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Ex1.xml" ContentType="application/vnd.ms-office.chartex+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EB6F" w14:textId="61AB63DE" w:rsidR="00351ACD" w:rsidRPr="0040425E" w:rsidRDefault="00087934" w:rsidP="00351ACD">
      <w:pPr>
        <w:pStyle w:val="paragraph"/>
        <w:spacing w:before="0" w:beforeAutospacing="0" w:after="0" w:afterAutospacing="0"/>
        <w:jc w:val="center"/>
        <w:textAlignment w:val="baseline"/>
        <w:rPr>
          <w:rStyle w:val="normaltextrun"/>
          <w:b/>
          <w:bCs/>
          <w:caps/>
          <w:sz w:val="32"/>
          <w:szCs w:val="32"/>
        </w:rPr>
      </w:pPr>
      <w:r w:rsidRPr="0040425E">
        <w:rPr>
          <w:rStyle w:val="normaltextrun"/>
          <w:b/>
          <w:bCs/>
          <w:caps/>
          <w:sz w:val="32"/>
          <w:szCs w:val="32"/>
        </w:rPr>
        <w:t xml:space="preserve">Exploring the application of the </w:t>
      </w:r>
      <w:r w:rsidR="00351ACD" w:rsidRPr="0040425E">
        <w:rPr>
          <w:rStyle w:val="normaltextrun"/>
          <w:b/>
          <w:bCs/>
          <w:caps/>
          <w:sz w:val="32"/>
          <w:szCs w:val="32"/>
        </w:rPr>
        <w:t>Carbon Risk Real Estate Monitor tool for Australian office buildings</w:t>
      </w:r>
    </w:p>
    <w:p w14:paraId="0E2E5D02" w14:textId="77777777" w:rsidR="003C6B9F" w:rsidRPr="003C6B9F" w:rsidRDefault="003C6B9F" w:rsidP="00351ACD">
      <w:pPr>
        <w:pStyle w:val="paragraph"/>
        <w:spacing w:before="0" w:beforeAutospacing="0" w:after="0" w:afterAutospacing="0"/>
        <w:jc w:val="center"/>
        <w:textAlignment w:val="baseline"/>
        <w:rPr>
          <w:rStyle w:val="normaltextrun"/>
          <w:b/>
          <w:bCs/>
          <w:sz w:val="32"/>
          <w:szCs w:val="32"/>
        </w:rPr>
      </w:pPr>
    </w:p>
    <w:p w14:paraId="18AA02DE" w14:textId="71028454" w:rsidR="00351ACD" w:rsidRPr="003C6B9F" w:rsidRDefault="00351ACD" w:rsidP="00351ACD">
      <w:pPr>
        <w:pStyle w:val="paragraph"/>
        <w:spacing w:before="0" w:beforeAutospacing="0" w:after="0" w:afterAutospacing="0"/>
        <w:jc w:val="center"/>
        <w:textAlignment w:val="baseline"/>
        <w:rPr>
          <w:sz w:val="18"/>
          <w:szCs w:val="18"/>
        </w:rPr>
      </w:pPr>
      <w:r w:rsidRPr="003C6B9F">
        <w:rPr>
          <w:rStyle w:val="normaltextrun"/>
          <w:sz w:val="22"/>
          <w:szCs w:val="22"/>
        </w:rPr>
        <w:t xml:space="preserve">Georgia Warren-Myers*, Monique Schmidt*, Robert </w:t>
      </w:r>
      <w:r w:rsidR="00111435" w:rsidRPr="003C6B9F">
        <w:rPr>
          <w:rStyle w:val="normaltextrun"/>
          <w:sz w:val="22"/>
          <w:szCs w:val="22"/>
        </w:rPr>
        <w:t xml:space="preserve">H. </w:t>
      </w:r>
      <w:r w:rsidRPr="003C6B9F">
        <w:rPr>
          <w:rStyle w:val="normaltextrun"/>
          <w:sz w:val="22"/>
          <w:szCs w:val="22"/>
        </w:rPr>
        <w:t xml:space="preserve">Crawford*, Christopher </w:t>
      </w:r>
      <w:r w:rsidR="006B2CCF" w:rsidRPr="003C6B9F">
        <w:rPr>
          <w:rStyle w:val="normaltextrun"/>
          <w:sz w:val="22"/>
          <w:szCs w:val="22"/>
        </w:rPr>
        <w:t xml:space="preserve">A. </w:t>
      </w:r>
      <w:r w:rsidRPr="003C6B9F">
        <w:rPr>
          <w:rStyle w:val="normaltextrun"/>
          <w:sz w:val="22"/>
          <w:szCs w:val="22"/>
        </w:rPr>
        <w:t>Jensen*,</w:t>
      </w:r>
      <w:r w:rsidR="003F4A0C" w:rsidRPr="003C6B9F">
        <w:rPr>
          <w:rStyle w:val="normaltextrun"/>
          <w:sz w:val="22"/>
          <w:szCs w:val="22"/>
        </w:rPr>
        <w:t xml:space="preserve"> </w:t>
      </w:r>
      <w:r w:rsidRPr="003C6B9F">
        <w:rPr>
          <w:rStyle w:val="normaltextrun"/>
          <w:sz w:val="22"/>
          <w:szCs w:val="22"/>
        </w:rPr>
        <w:t>James Helal*</w:t>
      </w:r>
      <w:r w:rsidRPr="003C6B9F">
        <w:rPr>
          <w:rStyle w:val="eop"/>
          <w:sz w:val="22"/>
          <w:szCs w:val="22"/>
        </w:rPr>
        <w:t> </w:t>
      </w:r>
    </w:p>
    <w:p w14:paraId="4D3CD035" w14:textId="77777777" w:rsidR="00351ACD" w:rsidRPr="003C6B9F" w:rsidRDefault="00351ACD" w:rsidP="00351ACD">
      <w:pPr>
        <w:pStyle w:val="Authors"/>
      </w:pPr>
      <w:r w:rsidRPr="003C6B9F">
        <w:t xml:space="preserve">*The University of Melbourne </w:t>
      </w:r>
    </w:p>
    <w:p w14:paraId="3530DDD8" w14:textId="77777777" w:rsidR="00E46457" w:rsidRPr="003C6B9F" w:rsidRDefault="00E46457" w:rsidP="00351ACD">
      <w:pPr>
        <w:pStyle w:val="Heading1"/>
        <w:rPr>
          <w:rFonts w:cs="Times New Roman"/>
        </w:rPr>
      </w:pPr>
      <w:r w:rsidRPr="003C6B9F">
        <w:rPr>
          <w:rFonts w:cs="Times New Roman"/>
        </w:rPr>
        <w:t xml:space="preserve">Abstract </w:t>
      </w:r>
    </w:p>
    <w:p w14:paraId="00364C2D" w14:textId="6B04627A" w:rsidR="00E46457" w:rsidRPr="003C6B9F" w:rsidRDefault="00E46457" w:rsidP="00144614">
      <w:pPr>
        <w:rPr>
          <w:rFonts w:cs="Times New Roman"/>
        </w:rPr>
      </w:pPr>
      <w:bookmarkStart w:id="0" w:name="_Hlk141700762"/>
      <w:r w:rsidRPr="003C6B9F">
        <w:rPr>
          <w:rFonts w:cs="Times New Roman"/>
        </w:rPr>
        <w:t>Urgent transitions to mitigate effects of climate change are needed. Policies and reduction targets for greenhouse gas emissions associated with the built environment are emerging. Meeting these targets will be essential to ensure built assets are not stranded. Asset ‘stranding’ occurs when a building no longer meets emissions targets and, as a result, may not be allowed to be occupied or rented, resulting in implications for asset income and occupancy. The Carbon Risk Real Estate Monitor (CRREM) tool was developed in Europe to enable emissions analysis of assets and portfolios to reduce the risk of stranding. CRREM is regarded as one of the most valuable tools for asset management and valuations in Europe and UK, however, in Australia it has only recently been adapted for local conditions. This research provides key insights into the effective use of CRREM for Australian built assets</w:t>
      </w:r>
      <w:r w:rsidR="00441557" w:rsidRPr="003C6B9F">
        <w:rPr>
          <w:rFonts w:cs="Times New Roman"/>
        </w:rPr>
        <w:t>.</w:t>
      </w:r>
      <w:r w:rsidRPr="003C6B9F">
        <w:rPr>
          <w:rFonts w:cs="Times New Roman"/>
        </w:rPr>
        <w:t xml:space="preserve"> </w:t>
      </w:r>
    </w:p>
    <w:bookmarkEnd w:id="0"/>
    <w:p w14:paraId="5F6EE2BB" w14:textId="54E7527C" w:rsidR="0017466F" w:rsidRPr="003C6B9F" w:rsidRDefault="00E46457">
      <w:pPr>
        <w:rPr>
          <w:rFonts w:cs="Times New Roman"/>
        </w:rPr>
      </w:pPr>
      <w:r w:rsidRPr="003C6B9F">
        <w:rPr>
          <w:rFonts w:cs="Times New Roman"/>
        </w:rPr>
        <w:t xml:space="preserve">Keywords: </w:t>
      </w:r>
      <w:bookmarkStart w:id="1" w:name="_Hlk141700772"/>
      <w:r w:rsidRPr="003C6B9F">
        <w:rPr>
          <w:rFonts w:cs="Times New Roman"/>
        </w:rPr>
        <w:t>GHG emissions, office buildings, asset management, valuation, CRREM, Australia</w:t>
      </w:r>
    </w:p>
    <w:p w14:paraId="2B694F38" w14:textId="5FD15E3D" w:rsidR="29C72F73" w:rsidRPr="003C6B9F" w:rsidRDefault="0017466F" w:rsidP="00C71CA6">
      <w:pPr>
        <w:pStyle w:val="Heading1"/>
        <w:rPr>
          <w:rFonts w:cs="Times New Roman"/>
        </w:rPr>
      </w:pPr>
      <w:bookmarkStart w:id="2" w:name="_Hlk141700797"/>
      <w:bookmarkEnd w:id="1"/>
      <w:r w:rsidRPr="003C6B9F">
        <w:rPr>
          <w:rFonts w:cs="Times New Roman"/>
        </w:rPr>
        <w:t>Introduction</w:t>
      </w:r>
    </w:p>
    <w:p w14:paraId="7546B307" w14:textId="2D45116F" w:rsidR="009D27D8" w:rsidRPr="003C6B9F" w:rsidRDefault="0017466F" w:rsidP="29C72F73">
      <w:pPr>
        <w:rPr>
          <w:rFonts w:cs="Times New Roman"/>
        </w:rPr>
      </w:pPr>
      <w:bookmarkStart w:id="3" w:name="_Hlk141700813"/>
      <w:bookmarkEnd w:id="2"/>
      <w:r w:rsidRPr="003C6B9F">
        <w:rPr>
          <w:rFonts w:cs="Times New Roman"/>
        </w:rPr>
        <w:t xml:space="preserve">The building sector has been identified as </w:t>
      </w:r>
      <w:r w:rsidR="00E46457" w:rsidRPr="003C6B9F">
        <w:rPr>
          <w:rFonts w:cs="Times New Roman"/>
        </w:rPr>
        <w:t xml:space="preserve">a </w:t>
      </w:r>
      <w:r w:rsidRPr="003C6B9F">
        <w:rPr>
          <w:rFonts w:cs="Times New Roman"/>
        </w:rPr>
        <w:t>substantial contributor</w:t>
      </w:r>
      <w:r w:rsidR="009D27D8" w:rsidRPr="003C6B9F">
        <w:rPr>
          <w:rFonts w:cs="Times New Roman"/>
        </w:rPr>
        <w:t xml:space="preserve"> to global warming</w:t>
      </w:r>
      <w:r w:rsidRPr="003C6B9F">
        <w:rPr>
          <w:rFonts w:cs="Times New Roman"/>
        </w:rPr>
        <w:t xml:space="preserve">, with some 37% of </w:t>
      </w:r>
      <w:r w:rsidR="009D27D8" w:rsidRPr="003C6B9F">
        <w:rPr>
          <w:rFonts w:cs="Times New Roman"/>
        </w:rPr>
        <w:t xml:space="preserve">greenhouse gas (GHG) </w:t>
      </w:r>
      <w:r w:rsidRPr="003C6B9F">
        <w:rPr>
          <w:rFonts w:cs="Times New Roman"/>
        </w:rPr>
        <w:t xml:space="preserve">emissions </w:t>
      </w:r>
      <w:r w:rsidR="00D97652" w:rsidRPr="003C6B9F">
        <w:rPr>
          <w:rFonts w:cs="Times New Roman"/>
        </w:rPr>
        <w:t>attributable to</w:t>
      </w:r>
      <w:r w:rsidRPr="003C6B9F">
        <w:rPr>
          <w:rFonts w:cs="Times New Roman"/>
        </w:rPr>
        <w:t xml:space="preserve"> buildings globally (UNEP, 2022). </w:t>
      </w:r>
      <w:r w:rsidR="00DA4FFD" w:rsidRPr="003C6B9F">
        <w:rPr>
          <w:rFonts w:cs="Times New Roman"/>
        </w:rPr>
        <w:t xml:space="preserve">It has been suggested that </w:t>
      </w:r>
      <w:r w:rsidR="00D97652" w:rsidRPr="003C6B9F">
        <w:rPr>
          <w:rFonts w:cs="Times New Roman"/>
        </w:rPr>
        <w:t>t</w:t>
      </w:r>
      <w:r w:rsidR="00DA4FFD" w:rsidRPr="003C6B9F">
        <w:rPr>
          <w:rFonts w:cs="Times New Roman"/>
        </w:rPr>
        <w:t xml:space="preserve">he global building sector carbon intensity will have to decline from </w:t>
      </w:r>
      <w:r w:rsidR="00D97652" w:rsidRPr="003C6B9F">
        <w:rPr>
          <w:rFonts w:cs="Times New Roman"/>
        </w:rPr>
        <w:t xml:space="preserve">the current </w:t>
      </w:r>
      <w:r w:rsidR="00DA4FFD" w:rsidRPr="003C6B9F">
        <w:rPr>
          <w:rFonts w:cs="Times New Roman"/>
        </w:rPr>
        <w:t xml:space="preserve"> 52 kgCO</w:t>
      </w:r>
      <w:r w:rsidR="00DA4FFD" w:rsidRPr="003C6B9F">
        <w:rPr>
          <w:rFonts w:cs="Times New Roman"/>
          <w:vertAlign w:val="subscript"/>
        </w:rPr>
        <w:t>2</w:t>
      </w:r>
      <w:r w:rsidR="00DA4FFD" w:rsidRPr="003C6B9F">
        <w:rPr>
          <w:rFonts w:cs="Times New Roman"/>
        </w:rPr>
        <w:t>e/m</w:t>
      </w:r>
      <w:r w:rsidR="00DA4FFD" w:rsidRPr="003C6B9F">
        <w:rPr>
          <w:rFonts w:cs="Times New Roman"/>
          <w:vertAlign w:val="superscript"/>
        </w:rPr>
        <w:t>2</w:t>
      </w:r>
      <w:r w:rsidR="00DA4FFD" w:rsidRPr="003C6B9F">
        <w:rPr>
          <w:rFonts w:cs="Times New Roman"/>
        </w:rPr>
        <w:t>/pa to below 10 kgCO</w:t>
      </w:r>
      <w:r w:rsidR="00DA4FFD" w:rsidRPr="003C6B9F">
        <w:rPr>
          <w:rFonts w:cs="Times New Roman"/>
          <w:vertAlign w:val="subscript"/>
        </w:rPr>
        <w:t>2</w:t>
      </w:r>
      <w:r w:rsidR="00DA4FFD" w:rsidRPr="003C6B9F">
        <w:rPr>
          <w:rFonts w:cs="Times New Roman"/>
        </w:rPr>
        <w:t>e/m</w:t>
      </w:r>
      <w:r w:rsidR="00DA4FFD" w:rsidRPr="003C6B9F">
        <w:rPr>
          <w:rFonts w:cs="Times New Roman"/>
          <w:vertAlign w:val="superscript"/>
        </w:rPr>
        <w:t>2</w:t>
      </w:r>
      <w:r w:rsidR="00DA4FFD" w:rsidRPr="003C6B9F">
        <w:rPr>
          <w:rFonts w:cs="Times New Roman"/>
        </w:rPr>
        <w:t>/pa by 2050 in order to be in line with the 2ºC global carbon budget</w:t>
      </w:r>
      <w:r w:rsidR="000A751F" w:rsidRPr="003C6B9F">
        <w:rPr>
          <w:rFonts w:cs="Times New Roman"/>
        </w:rPr>
        <w:t xml:space="preserve"> </w:t>
      </w:r>
      <w:r w:rsidR="000A751F" w:rsidRPr="003C6B9F">
        <w:rPr>
          <w:rFonts w:cs="Times New Roman"/>
        </w:rPr>
        <w:fldChar w:fldCharType="begin"/>
      </w:r>
      <w:r w:rsidR="003035ED" w:rsidRPr="003C6B9F">
        <w:rPr>
          <w:rFonts w:cs="Times New Roman"/>
        </w:rPr>
        <w:instrText xml:space="preserve"> ADDIN EN.CITE &lt;EndNote&gt;&lt;Cite&gt;&lt;Author&gt;Urban&lt;/Author&gt;&lt;Year&gt;2020&lt;/Year&gt;&lt;RecNum&gt;1239&lt;/RecNum&gt;&lt;DisplayText&gt;(Urban, 2020)&lt;/DisplayText&gt;&lt;record&gt;&lt;rec-number&gt;1239&lt;/rec-number&gt;&lt;foreign-keys&gt;&lt;key app="EN" db-id="ear29sre9ve0woevt0ix2wv1pvasrzaedp5f" timestamp="1689725158" guid="0c815684-3507-40eb-89e4-5b4f83851dc5"&gt;1239&lt;/key&gt;&lt;/foreign-keys&gt;&lt;ref-type name="Web Page"&gt;12&lt;/ref-type&gt;&lt;contributors&gt;&lt;authors&gt;&lt;author&gt;Urban  &lt;/author&gt;&lt;/authors&gt;&lt;/contributors&gt;&lt;titles&gt;&lt;title&gt;Carbon Risk Real Estate Monitor announces decarbonisation plan&lt;/title&gt;&lt;/titles&gt;&lt;volume&gt;Australia&lt;/volume&gt;&lt;number&gt;19/07/23&lt;/number&gt;&lt;dates&gt;&lt;year&gt;2020&lt;/year&gt;&lt;/dates&gt;&lt;publisher&gt;Urban&lt;/publisher&gt;&lt;urls&gt;&lt;related-urls&gt;&lt;url&gt;https://www.urban.com.au/news/carbon-risk-real-estate-monitor-announces-decarbonisation-plan&lt;/url&gt;&lt;/related-urls&gt;&lt;/urls&gt;&lt;/record&gt;&lt;/Cite&gt;&lt;/EndNote&gt;</w:instrText>
      </w:r>
      <w:r w:rsidR="000A751F" w:rsidRPr="003C6B9F">
        <w:rPr>
          <w:rFonts w:cs="Times New Roman"/>
        </w:rPr>
        <w:fldChar w:fldCharType="separate"/>
      </w:r>
      <w:r w:rsidR="000A751F" w:rsidRPr="003C6B9F">
        <w:rPr>
          <w:rFonts w:cs="Times New Roman"/>
          <w:noProof/>
        </w:rPr>
        <w:t>(Urban, 2020)</w:t>
      </w:r>
      <w:r w:rsidR="000A751F" w:rsidRPr="003C6B9F">
        <w:rPr>
          <w:rFonts w:cs="Times New Roman"/>
        </w:rPr>
        <w:fldChar w:fldCharType="end"/>
      </w:r>
      <w:r w:rsidR="00DA4FFD" w:rsidRPr="003C6B9F">
        <w:rPr>
          <w:rFonts w:cs="Times New Roman"/>
        </w:rPr>
        <w:t xml:space="preserve">. </w:t>
      </w:r>
      <w:r w:rsidRPr="003C6B9F">
        <w:rPr>
          <w:rFonts w:cs="Times New Roman"/>
        </w:rPr>
        <w:t xml:space="preserve">As such, buildings have been identified as a key asset class for </w:t>
      </w:r>
      <w:proofErr w:type="spellStart"/>
      <w:r w:rsidRPr="003C6B9F">
        <w:rPr>
          <w:rFonts w:cs="Times New Roman"/>
        </w:rPr>
        <w:t>decarboni</w:t>
      </w:r>
      <w:r w:rsidR="00D97652" w:rsidRPr="003C6B9F">
        <w:rPr>
          <w:rFonts w:cs="Times New Roman"/>
        </w:rPr>
        <w:t>s</w:t>
      </w:r>
      <w:r w:rsidRPr="003C6B9F">
        <w:rPr>
          <w:rFonts w:cs="Times New Roman"/>
        </w:rPr>
        <w:t>ation</w:t>
      </w:r>
      <w:proofErr w:type="spellEnd"/>
      <w:r w:rsidR="009D27D8" w:rsidRPr="003C6B9F">
        <w:rPr>
          <w:rFonts w:cs="Times New Roman"/>
        </w:rPr>
        <w:t xml:space="preserve"> </w:t>
      </w:r>
      <w:r w:rsidR="009D27D8" w:rsidRPr="003C6B9F">
        <w:rPr>
          <w:rFonts w:cs="Times New Roman"/>
        </w:rPr>
        <w:fldChar w:fldCharType="begin"/>
      </w:r>
      <w:r w:rsidR="00FD4F1A" w:rsidRPr="003C6B9F">
        <w:rPr>
          <w:rFonts w:cs="Times New Roman"/>
        </w:rPr>
        <w:instrText xml:space="preserve"> ADDIN EN.CITE &lt;EndNote&gt;&lt;Cite&gt;&lt;Author&gt;IPCC&lt;/Author&gt;&lt;Year&gt;2023&lt;/Year&gt;&lt;RecNum&gt;1232&lt;/RecNum&gt;&lt;DisplayText&gt;(IPCC, 2023)&lt;/DisplayText&gt;&lt;record&gt;&lt;rec-number&gt;1232&lt;/rec-number&gt;&lt;foreign-keys&gt;&lt;key app="EN" db-id="ear29sre9ve0woevt0ix2wv1pvasrzaedp5f" timestamp="1689551971" guid="8cf8ee8b-47ce-488d-ae76-c1429d65db7c"&gt;1232&lt;/key&gt;&lt;/foreign-keys&gt;&lt;ref-type name="Web Page"&gt;12&lt;/ref-type&gt;&lt;contributors&gt;&lt;authors&gt;&lt;author&gt;IPCC&lt;/author&gt;&lt;/authors&gt;&lt;/contributors&gt;&lt;titles&gt;&lt;title&gt;Buildings&lt;/title&gt;&lt;/titles&gt;&lt;number&gt;17/07/2023&lt;/number&gt;&lt;dates&gt;&lt;year&gt;2023&lt;/year&gt;&lt;/dates&gt;&lt;pub-location&gt;Switzerland&lt;/pub-location&gt;&lt;publisher&gt;IPCC&lt;/publisher&gt;&lt;urls&gt;&lt;related-urls&gt;&lt;url&gt;https://www.ipcc.ch/report/ar5/wg3/buildings/&lt;/url&gt;&lt;/related-urls&gt;&lt;/urls&gt;&lt;/record&gt;&lt;/Cite&gt;&lt;/EndNote&gt;</w:instrText>
      </w:r>
      <w:r w:rsidR="009D27D8" w:rsidRPr="003C6B9F">
        <w:rPr>
          <w:rFonts w:cs="Times New Roman"/>
        </w:rPr>
        <w:fldChar w:fldCharType="separate"/>
      </w:r>
      <w:r w:rsidR="009D27D8" w:rsidRPr="003C6B9F">
        <w:rPr>
          <w:rFonts w:cs="Times New Roman"/>
          <w:noProof/>
        </w:rPr>
        <w:t>(IPCC, 2023)</w:t>
      </w:r>
      <w:r w:rsidR="009D27D8" w:rsidRPr="003C6B9F">
        <w:rPr>
          <w:rFonts w:cs="Times New Roman"/>
        </w:rPr>
        <w:fldChar w:fldCharType="end"/>
      </w:r>
      <w:r w:rsidRPr="003C6B9F">
        <w:rPr>
          <w:rFonts w:cs="Times New Roman"/>
        </w:rPr>
        <w:t>, and</w:t>
      </w:r>
      <w:r w:rsidR="009D27D8" w:rsidRPr="003C6B9F">
        <w:rPr>
          <w:rFonts w:cs="Times New Roman"/>
        </w:rPr>
        <w:t xml:space="preserve"> consequently</w:t>
      </w:r>
      <w:r w:rsidRPr="003C6B9F">
        <w:rPr>
          <w:rFonts w:cs="Times New Roman"/>
        </w:rPr>
        <w:t xml:space="preserve"> the </w:t>
      </w:r>
      <w:r w:rsidR="009D27D8" w:rsidRPr="003C6B9F">
        <w:rPr>
          <w:rFonts w:cs="Times New Roman"/>
        </w:rPr>
        <w:t>need to set global and national</w:t>
      </w:r>
      <w:r w:rsidRPr="003C6B9F">
        <w:rPr>
          <w:rFonts w:cs="Times New Roman"/>
        </w:rPr>
        <w:t xml:space="preserve"> carbon targets. Already, in certain locations around the world, in particular Europe and the UK, buildings are subject to increasing regulation and legislation relating to </w:t>
      </w:r>
      <w:r w:rsidR="00D97652" w:rsidRPr="003C6B9F">
        <w:rPr>
          <w:rFonts w:cs="Times New Roman"/>
        </w:rPr>
        <w:t>GHG</w:t>
      </w:r>
      <w:r w:rsidRPr="003C6B9F">
        <w:rPr>
          <w:rFonts w:cs="Times New Roman"/>
        </w:rPr>
        <w:t xml:space="preserve"> emissions. </w:t>
      </w:r>
      <w:r w:rsidR="009D27D8" w:rsidRPr="003C6B9F">
        <w:rPr>
          <w:rFonts w:cs="Times New Roman"/>
        </w:rPr>
        <w:t>Australia, one of the highest GHG emitters per capita in the world, has set a goal of reaching net zero emissions by 2050</w:t>
      </w:r>
      <w:r w:rsidR="003035ED" w:rsidRPr="003C6B9F">
        <w:rPr>
          <w:rFonts w:cs="Times New Roman"/>
        </w:rPr>
        <w:t xml:space="preserve"> </w:t>
      </w:r>
      <w:r w:rsidR="003035ED" w:rsidRPr="003C6B9F">
        <w:rPr>
          <w:rFonts w:cs="Times New Roman"/>
        </w:rPr>
        <w:fldChar w:fldCharType="begin"/>
      </w:r>
      <w:r w:rsidR="003035ED" w:rsidRPr="003C6B9F">
        <w:rPr>
          <w:rFonts w:cs="Times New Roman"/>
        </w:rPr>
        <w:instrText xml:space="preserve"> ADDIN EN.CITE &lt;EndNote&gt;&lt;Cite&gt;&lt;Author&gt;Climate Change Authority&lt;/Author&gt;&lt;Year&gt;2019&lt;/Year&gt;&lt;RecNum&gt;917&lt;/RecNum&gt;&lt;DisplayText&gt;(Climate Change Authority, 2019)&lt;/DisplayText&gt;&lt;record&gt;&lt;rec-number&gt;917&lt;/rec-number&gt;&lt;foreign-keys&gt;&lt;key app="EN" db-id="ear29sre9ve0woevt0ix2wv1pvasrzaedp5f" timestamp="1571894708" guid="f5f91928-177c-41c6-ba7a-4dd67959ef19"&gt;917&lt;/key&gt;&lt;/foreign-keys&gt;&lt;ref-type name="Report"&gt;27&lt;/ref-type&gt;&lt;contributors&gt;&lt;authors&gt;&lt;author&gt;Climate Change Authority, &lt;/author&gt;&lt;/authors&gt;&lt;tertiary-authors&gt;&lt;author&gt;Commonwealth of Australia&lt;/author&gt;&lt;/tertiary-authors&gt;&lt;/contributors&gt;&lt;titles&gt;&lt;title&gt;Australia’s climate change policies at the australian and state and territory government levels: A stocktake&lt;/title&gt;&lt;/titles&gt;&lt;dates&gt;&lt;year&gt;2019&lt;/year&gt;&lt;/dates&gt;&lt;pub-location&gt;Australia&lt;/pub-location&gt;&lt;urls&gt;&lt;/urls&gt;&lt;/record&gt;&lt;/Cite&gt;&lt;/EndNote&gt;</w:instrText>
      </w:r>
      <w:r w:rsidR="003035ED" w:rsidRPr="003C6B9F">
        <w:rPr>
          <w:rFonts w:cs="Times New Roman"/>
        </w:rPr>
        <w:fldChar w:fldCharType="separate"/>
      </w:r>
      <w:r w:rsidR="003035ED" w:rsidRPr="003C6B9F">
        <w:rPr>
          <w:rFonts w:cs="Times New Roman"/>
          <w:noProof/>
        </w:rPr>
        <w:t>(Climate Change Authority, 2019)</w:t>
      </w:r>
      <w:r w:rsidR="003035ED" w:rsidRPr="003C6B9F">
        <w:rPr>
          <w:rFonts w:cs="Times New Roman"/>
        </w:rPr>
        <w:fldChar w:fldCharType="end"/>
      </w:r>
      <w:r w:rsidR="009D27D8" w:rsidRPr="003C6B9F">
        <w:rPr>
          <w:rFonts w:cs="Times New Roman"/>
        </w:rPr>
        <w:t xml:space="preserve">. The </w:t>
      </w:r>
      <w:r w:rsidR="006B2CCF" w:rsidRPr="003C6B9F">
        <w:rPr>
          <w:rFonts w:cs="Times New Roman"/>
        </w:rPr>
        <w:t>International Energy Agency (</w:t>
      </w:r>
      <w:r w:rsidR="009D27D8" w:rsidRPr="003C6B9F">
        <w:rPr>
          <w:rFonts w:cs="Times New Roman"/>
        </w:rPr>
        <w:t>IEA</w:t>
      </w:r>
      <w:r w:rsidR="006B2CCF" w:rsidRPr="003C6B9F">
        <w:rPr>
          <w:rFonts w:cs="Times New Roman"/>
        </w:rPr>
        <w:t>)</w:t>
      </w:r>
      <w:r w:rsidR="009D27D8" w:rsidRPr="003C6B9F">
        <w:rPr>
          <w:rFonts w:cs="Times New Roman"/>
        </w:rPr>
        <w:t xml:space="preserve"> has suggested that Australia improve</w:t>
      </w:r>
      <w:r w:rsidR="00FD4F1A" w:rsidRPr="003C6B9F">
        <w:rPr>
          <w:rFonts w:cs="Times New Roman"/>
        </w:rPr>
        <w:t xml:space="preserve"> its</w:t>
      </w:r>
      <w:r w:rsidR="009D27D8" w:rsidRPr="003C6B9F">
        <w:rPr>
          <w:rFonts w:cs="Times New Roman"/>
        </w:rPr>
        <w:t xml:space="preserve"> National </w:t>
      </w:r>
      <w:r w:rsidR="006B2CCF" w:rsidRPr="003C6B9F">
        <w:rPr>
          <w:rFonts w:cs="Times New Roman"/>
        </w:rPr>
        <w:t xml:space="preserve">Construction </w:t>
      </w:r>
      <w:r w:rsidR="009D27D8" w:rsidRPr="003C6B9F">
        <w:rPr>
          <w:rFonts w:cs="Times New Roman"/>
        </w:rPr>
        <w:t>Code and place g</w:t>
      </w:r>
      <w:r w:rsidR="00FD4F1A" w:rsidRPr="003C6B9F">
        <w:rPr>
          <w:rFonts w:cs="Times New Roman"/>
        </w:rPr>
        <w:t>r</w:t>
      </w:r>
      <w:r w:rsidR="009D27D8" w:rsidRPr="003C6B9F">
        <w:rPr>
          <w:rFonts w:cs="Times New Roman"/>
        </w:rPr>
        <w:t xml:space="preserve">eater emphasis on </w:t>
      </w:r>
      <w:r w:rsidR="00D97652" w:rsidRPr="003C6B9F">
        <w:rPr>
          <w:rFonts w:cs="Times New Roman"/>
        </w:rPr>
        <w:t xml:space="preserve">the </w:t>
      </w:r>
      <w:r w:rsidR="009D27D8" w:rsidRPr="003C6B9F">
        <w:rPr>
          <w:rFonts w:cs="Times New Roman"/>
        </w:rPr>
        <w:t>building and transport</w:t>
      </w:r>
      <w:r w:rsidR="00D97652" w:rsidRPr="003C6B9F">
        <w:rPr>
          <w:rFonts w:cs="Times New Roman"/>
        </w:rPr>
        <w:t xml:space="preserve"> sector’s</w:t>
      </w:r>
      <w:r w:rsidR="009D27D8" w:rsidRPr="003C6B9F">
        <w:rPr>
          <w:rFonts w:cs="Times New Roman"/>
        </w:rPr>
        <w:t xml:space="preserve"> environmental performance to help meet </w:t>
      </w:r>
      <w:r w:rsidR="00FD4F1A" w:rsidRPr="003C6B9F">
        <w:rPr>
          <w:rFonts w:cs="Times New Roman"/>
        </w:rPr>
        <w:t xml:space="preserve">these carbon targets </w:t>
      </w:r>
      <w:r w:rsidR="00FD4F1A" w:rsidRPr="003C6B9F">
        <w:rPr>
          <w:rFonts w:cs="Times New Roman"/>
        </w:rPr>
        <w:fldChar w:fldCharType="begin"/>
      </w:r>
      <w:r w:rsidR="0046614F" w:rsidRPr="003C6B9F">
        <w:rPr>
          <w:rFonts w:cs="Times New Roman"/>
        </w:rPr>
        <w:instrText xml:space="preserve"> ADDIN EN.CITE &lt;EndNote&gt;&lt;Cite&gt;&lt;Author&gt;IEA&lt;/Author&gt;&lt;Year&gt;2023&lt;/Year&gt;&lt;RecNum&gt;1234&lt;/RecNum&gt;&lt;DisplayText&gt;(IEA, 2023)&lt;/DisplayText&gt;&lt;record&gt;&lt;rec-number&gt;1234&lt;/rec-number&gt;&lt;foreign-keys&gt;&lt;key app="EN" db-id="ear29sre9ve0woevt0ix2wv1pvasrzaedp5f" timestamp="1689721222" guid="6d2b67bf-c4b2-4017-bec2-d9e6dbb49e04"&gt;1234&lt;/key&gt;&lt;/foreign-keys&gt;&lt;ref-type name="Web Page"&gt;12&lt;/ref-type&gt;&lt;contributors&gt;&lt;authors&gt;&lt;author&gt;IEA&lt;/author&gt;&lt;/authors&gt;&lt;/contributors&gt;&lt;titles&gt;&lt;title&gt;Australia has raised its climate targets and now needs to accelerate its clean energy transition, says new IEA review&lt;/title&gt;&lt;/titles&gt;&lt;number&gt;19/07/23&lt;/number&gt;&lt;dates&gt;&lt;year&gt;2023&lt;/year&gt;&lt;/dates&gt;&lt;pub-location&gt;France&lt;/pub-location&gt;&lt;publisher&gt;International Energy Agency&lt;/publisher&gt;&lt;urls&gt;&lt;related-urls&gt;&lt;url&gt;https://www.iea.org/news/australia-has-raised-its-climate-targets-and-now-needs-to-accelerate-its-clean-energy-transition-says-new-iea-review&lt;/url&gt;&lt;/related-urls&gt;&lt;/urls&gt;&lt;/record&gt;&lt;/Cite&gt;&lt;/EndNote&gt;</w:instrText>
      </w:r>
      <w:r w:rsidR="00FD4F1A" w:rsidRPr="003C6B9F">
        <w:rPr>
          <w:rFonts w:cs="Times New Roman"/>
        </w:rPr>
        <w:fldChar w:fldCharType="separate"/>
      </w:r>
      <w:r w:rsidR="00FD4F1A" w:rsidRPr="003C6B9F">
        <w:rPr>
          <w:rFonts w:cs="Times New Roman"/>
          <w:noProof/>
        </w:rPr>
        <w:t>(IEA, 2023)</w:t>
      </w:r>
      <w:r w:rsidR="00FD4F1A" w:rsidRPr="003C6B9F">
        <w:rPr>
          <w:rFonts w:cs="Times New Roman"/>
        </w:rPr>
        <w:fldChar w:fldCharType="end"/>
      </w:r>
      <w:r w:rsidR="00FD4F1A" w:rsidRPr="003C6B9F">
        <w:rPr>
          <w:rFonts w:cs="Times New Roman"/>
        </w:rPr>
        <w:t>. The IEA review estimates that a 60% productivity improvement would be needed for a net zero aligned trajectory.</w:t>
      </w:r>
      <w:r w:rsidR="00FD4F1A" w:rsidRPr="003C6B9F">
        <w:rPr>
          <w:rFonts w:cs="Times New Roman"/>
          <w:color w:val="000000"/>
          <w:sz w:val="26"/>
          <w:szCs w:val="26"/>
          <w:shd w:val="clear" w:color="auto" w:fill="FFFFFF"/>
        </w:rPr>
        <w:t xml:space="preserve"> </w:t>
      </w:r>
      <w:r w:rsidR="009D27D8" w:rsidRPr="003C6B9F">
        <w:rPr>
          <w:rFonts w:cs="Times New Roman"/>
        </w:rPr>
        <w:t>Potential penalties for failing to meet emission targets could be detrimental to property asset incomes and values, resulting in broader financial implications for Australia.</w:t>
      </w:r>
    </w:p>
    <w:p w14:paraId="164BF5B1" w14:textId="38D04468" w:rsidR="00441557" w:rsidRPr="003C6B9F" w:rsidRDefault="0017466F" w:rsidP="0017466F">
      <w:pPr>
        <w:rPr>
          <w:rFonts w:cs="Times New Roman"/>
        </w:rPr>
      </w:pPr>
      <w:r w:rsidRPr="003C6B9F">
        <w:rPr>
          <w:rFonts w:cs="Times New Roman"/>
        </w:rPr>
        <w:t>The Carbon Risk Real Estate Monitor (CRREM) tool was developed as part of a Horizon 2020 funded project to assist building owners to better understand the emissions profiles of their assets and to enable financial investment decisions that reduce carbon footprints</w:t>
      </w:r>
      <w:r w:rsidR="00E46457" w:rsidRPr="003C6B9F">
        <w:rPr>
          <w:rFonts w:cs="Times New Roman"/>
        </w:rPr>
        <w:t xml:space="preserve"> </w:t>
      </w:r>
      <w:r w:rsidR="00E46457" w:rsidRPr="003C6B9F">
        <w:rPr>
          <w:rFonts w:cs="Times New Roman"/>
        </w:rPr>
        <w:fldChar w:fldCharType="begin"/>
      </w:r>
      <w:r w:rsidR="00E46457" w:rsidRPr="003C6B9F">
        <w:rPr>
          <w:rFonts w:cs="Times New Roman"/>
        </w:rPr>
        <w:instrText xml:space="preserve"> ADDIN EN.CITE &lt;EndNote&gt;&lt;Cite&gt;&lt;Author&gt;CRREM&lt;/Author&gt;&lt;Year&gt;2023&lt;/Year&gt;&lt;RecNum&gt;1231&lt;/RecNum&gt;&lt;DisplayText&gt;(CRREM, 2023)&lt;/DisplayText&gt;&lt;record&gt;&lt;rec-number&gt;1231&lt;/rec-number&gt;&lt;foreign-keys&gt;&lt;key app="EN" db-id="ear29sre9ve0woevt0ix2wv1pvasrzaedp5f" timestamp="1679964356" guid="919a8f97-0bce-4b68-a524-5d6d8419f8e7"&gt;1231&lt;/key&gt;&lt;/foreign-keys&gt;&lt;ref-type name="Web Page"&gt;12&lt;/ref-type&gt;&lt;contributors&gt;&lt;authors&gt;&lt;author&gt;CRREM&lt;/author&gt;&lt;/authors&gt;&lt;/contributors&gt;&lt;titles&gt;&lt;title&gt;Carbon Risk Real Estate Monitor&lt;/title&gt;&lt;secondary-title&gt;About&lt;/secondary-title&gt;&lt;/titles&gt;&lt;number&gt;28/03/23&lt;/number&gt;&lt;dates&gt;&lt;year&gt;2023&lt;/year&gt;&lt;/dates&gt;&lt;pub-location&gt;Austria&lt;/pub-location&gt;&lt;urls&gt;&lt;related-urls&gt;&lt;url&gt;https://www.crrem.eu/about-crrem/&lt;/url&gt;&lt;/related-urls&gt;&lt;/urls&gt;&lt;/record&gt;&lt;/Cite&gt;&lt;/EndNote&gt;</w:instrText>
      </w:r>
      <w:r w:rsidR="00E46457" w:rsidRPr="003C6B9F">
        <w:rPr>
          <w:rFonts w:cs="Times New Roman"/>
        </w:rPr>
        <w:fldChar w:fldCharType="separate"/>
      </w:r>
      <w:r w:rsidR="00E46457" w:rsidRPr="003C6B9F">
        <w:rPr>
          <w:rFonts w:cs="Times New Roman"/>
          <w:noProof/>
        </w:rPr>
        <w:t>(CRREM, 2023</w:t>
      </w:r>
      <w:r w:rsidR="00262D8D" w:rsidRPr="003C6B9F">
        <w:rPr>
          <w:rFonts w:cs="Times New Roman"/>
          <w:noProof/>
        </w:rPr>
        <w:t>a</w:t>
      </w:r>
      <w:r w:rsidR="00E46457" w:rsidRPr="003C6B9F">
        <w:rPr>
          <w:rFonts w:cs="Times New Roman"/>
          <w:noProof/>
        </w:rPr>
        <w:t>)</w:t>
      </w:r>
      <w:r w:rsidR="00E46457" w:rsidRPr="003C6B9F">
        <w:rPr>
          <w:rFonts w:cs="Times New Roman"/>
        </w:rPr>
        <w:fldChar w:fldCharType="end"/>
      </w:r>
      <w:r w:rsidRPr="003C6B9F">
        <w:rPr>
          <w:rFonts w:cs="Times New Roman"/>
        </w:rPr>
        <w:t xml:space="preserve">. The idea behind this tool is to enable investment decisions to be made that </w:t>
      </w:r>
      <w:proofErr w:type="spellStart"/>
      <w:r w:rsidRPr="003C6B9F">
        <w:rPr>
          <w:rFonts w:cs="Times New Roman"/>
        </w:rPr>
        <w:t>minimise</w:t>
      </w:r>
      <w:proofErr w:type="spellEnd"/>
      <w:r w:rsidRPr="003C6B9F">
        <w:rPr>
          <w:rFonts w:cs="Times New Roman"/>
        </w:rPr>
        <w:t xml:space="preserve"> adverse impact</w:t>
      </w:r>
      <w:r w:rsidR="00D97652" w:rsidRPr="003C6B9F">
        <w:rPr>
          <w:rFonts w:cs="Times New Roman"/>
        </w:rPr>
        <w:t>s</w:t>
      </w:r>
      <w:r w:rsidRPr="003C6B9F">
        <w:rPr>
          <w:rFonts w:cs="Times New Roman"/>
        </w:rPr>
        <w:t xml:space="preserve"> on building value </w:t>
      </w:r>
      <w:r w:rsidR="00D97652" w:rsidRPr="003C6B9F">
        <w:rPr>
          <w:rFonts w:cs="Times New Roman"/>
        </w:rPr>
        <w:t xml:space="preserve">due to its </w:t>
      </w:r>
      <w:r w:rsidRPr="003C6B9F">
        <w:rPr>
          <w:rFonts w:cs="Times New Roman"/>
        </w:rPr>
        <w:t>carbon footprint. Whil</w:t>
      </w:r>
      <w:r w:rsidR="00423460" w:rsidRPr="003C6B9F">
        <w:rPr>
          <w:rFonts w:cs="Times New Roman"/>
        </w:rPr>
        <w:t>e</w:t>
      </w:r>
      <w:r w:rsidRPr="003C6B9F">
        <w:rPr>
          <w:rFonts w:cs="Times New Roman"/>
        </w:rPr>
        <w:t xml:space="preserve"> this development </w:t>
      </w:r>
      <w:r w:rsidR="00423460" w:rsidRPr="003C6B9F">
        <w:rPr>
          <w:rFonts w:cs="Times New Roman"/>
        </w:rPr>
        <w:t xml:space="preserve">is </w:t>
      </w:r>
      <w:r w:rsidRPr="003C6B9F">
        <w:rPr>
          <w:rFonts w:cs="Times New Roman"/>
        </w:rPr>
        <w:t xml:space="preserve">focused on the EU </w:t>
      </w:r>
      <w:r w:rsidR="007E6296" w:rsidRPr="003C6B9F">
        <w:rPr>
          <w:rFonts w:cs="Times New Roman"/>
        </w:rPr>
        <w:t xml:space="preserve">and UK </w:t>
      </w:r>
      <w:r w:rsidRPr="003C6B9F">
        <w:rPr>
          <w:rFonts w:cs="Times New Roman"/>
        </w:rPr>
        <w:t xml:space="preserve">specifically, it has since been expanded to include </w:t>
      </w:r>
      <w:r w:rsidR="00A91979" w:rsidRPr="003C6B9F">
        <w:rPr>
          <w:rFonts w:cs="Times New Roman"/>
        </w:rPr>
        <w:t>Asia</w:t>
      </w:r>
      <w:r w:rsidRPr="003C6B9F">
        <w:rPr>
          <w:rFonts w:cs="Times New Roman"/>
        </w:rPr>
        <w:t xml:space="preserve"> Pacific and the Americas. Despite its demonstrable benefits and widespread </w:t>
      </w:r>
      <w:r w:rsidRPr="003C6B9F">
        <w:rPr>
          <w:rFonts w:cs="Times New Roman"/>
        </w:rPr>
        <w:lastRenderedPageBreak/>
        <w:t>international use</w:t>
      </w:r>
      <w:r w:rsidR="0046614F" w:rsidRPr="003C6B9F">
        <w:rPr>
          <w:rFonts w:cs="Times New Roman"/>
        </w:rPr>
        <w:t xml:space="preserve"> </w:t>
      </w:r>
      <w:r w:rsidR="0046614F" w:rsidRPr="003C6B9F">
        <w:rPr>
          <w:rFonts w:cs="Times New Roman"/>
        </w:rPr>
        <w:fldChar w:fldCharType="begin"/>
      </w:r>
      <w:r w:rsidR="003035ED" w:rsidRPr="003C6B9F">
        <w:rPr>
          <w:rFonts w:cs="Times New Roman"/>
        </w:rPr>
        <w:instrText xml:space="preserve"> ADDIN EN.CITE &lt;EndNote&gt;&lt;Cite&gt;&lt;Author&gt;BRE&lt;/Author&gt;&lt;Year&gt;2022&lt;/Year&gt;&lt;RecNum&gt;1235&lt;/RecNum&gt;&lt;DisplayText&gt;(BRE, 2022, Stein, 2023)&lt;/DisplayText&gt;&lt;record&gt;&lt;rec-number&gt;1235&lt;/rec-number&gt;&lt;foreign-keys&gt;&lt;key app="EN" db-id="ear29sre9ve0woevt0ix2wv1pvasrzaedp5f" timestamp="1689722225" guid="0263283f-0d0f-46b6-9a7e-62c89fc322d7"&gt;1235&lt;/key&gt;&lt;/foreign-keys&gt;&lt;ref-type name="Web Page"&gt;12&lt;/ref-type&gt;&lt;contributors&gt;&lt;authors&gt;&lt;author&gt;BRE&lt;/author&gt;&lt;/authors&gt;&lt;/contributors&gt;&lt;titles&gt;&lt;title&gt;Navigating the Carbon Risk Real Estate Monitor (CRREM) Tool For A Stronger Pathway to Net Zero&lt;/title&gt;&lt;/titles&gt;&lt;number&gt;19/07/23&lt;/number&gt;&lt;dates&gt;&lt;year&gt;2022&lt;/year&gt;&lt;/dates&gt;&lt;pub-location&gt;Watford&lt;/pub-location&gt;&lt;publisher&gt;BRE&lt;/publisher&gt;&lt;urls&gt;&lt;related-urls&gt;&lt;url&gt;https://bregroup.com/breeam-news/breeam-usa-news/navigating-the-carbon-risk-real-estate-monitor-crrem-tool-for-a-stronger-pathway-to-net-zero/&lt;/url&gt;&lt;/related-urls&gt;&lt;/urls&gt;&lt;/record&gt;&lt;/Cite&gt;&lt;Cite&gt;&lt;Author&gt;Stein&lt;/Author&gt;&lt;Year&gt;2023&lt;/Year&gt;&lt;RecNum&gt;1238&lt;/RecNum&gt;&lt;record&gt;&lt;rec-number&gt;1238&lt;/rec-number&gt;&lt;foreign-keys&gt;&lt;key app="EN" db-id="ear29sre9ve0woevt0ix2wv1pvasrzaedp5f" timestamp="1689724733" guid="6e19e1c1-afb4-4a58-bd6f-e2258a07507b"&gt;1238&lt;/key&gt;&lt;/foreign-keys&gt;&lt;ref-type name="Web Page"&gt;12&lt;/ref-type&gt;&lt;contributors&gt;&lt;authors&gt;&lt;author&gt;Stein, Z&lt;/author&gt;&lt;/authors&gt;&lt;/contributors&gt;&lt;titles&gt;&lt;title&gt;Carbon Risk Real Estate Monitor (CRREM)&lt;/title&gt;&lt;/titles&gt;&lt;number&gt;19/07/23&lt;/number&gt;&lt;dates&gt;&lt;year&gt;2023&lt;/year&gt;&lt;/dates&gt;&lt;publisher&gt;Carbon Collective&lt;/publisher&gt;&lt;urls&gt;&lt;related-urls&gt;&lt;url&gt;https://www.carboncollective.co/sustainable-investing/carbon-risk-real-estate-monitor-crrem&lt;/url&gt;&lt;/related-urls&gt;&lt;/urls&gt;&lt;/record&gt;&lt;/Cite&gt;&lt;/EndNote&gt;</w:instrText>
      </w:r>
      <w:r w:rsidR="0046614F" w:rsidRPr="003C6B9F">
        <w:rPr>
          <w:rFonts w:cs="Times New Roman"/>
        </w:rPr>
        <w:fldChar w:fldCharType="separate"/>
      </w:r>
      <w:r w:rsidR="00A839FF" w:rsidRPr="003C6B9F">
        <w:rPr>
          <w:rFonts w:cs="Times New Roman"/>
          <w:noProof/>
        </w:rPr>
        <w:t>(BRE, 2022, Stein, 2023)</w:t>
      </w:r>
      <w:r w:rsidR="0046614F" w:rsidRPr="003C6B9F">
        <w:rPr>
          <w:rFonts w:cs="Times New Roman"/>
        </w:rPr>
        <w:fldChar w:fldCharType="end"/>
      </w:r>
      <w:r w:rsidRPr="003C6B9F">
        <w:rPr>
          <w:rFonts w:cs="Times New Roman"/>
        </w:rPr>
        <w:t>, CRREM only recently enter</w:t>
      </w:r>
      <w:r w:rsidR="00423460" w:rsidRPr="003C6B9F">
        <w:rPr>
          <w:rFonts w:cs="Times New Roman"/>
        </w:rPr>
        <w:t>ed</w:t>
      </w:r>
      <w:r w:rsidRPr="003C6B9F">
        <w:rPr>
          <w:rFonts w:cs="Times New Roman"/>
        </w:rPr>
        <w:t xml:space="preserve"> the Australian market, and </w:t>
      </w:r>
      <w:r w:rsidR="00423460" w:rsidRPr="003C6B9F">
        <w:rPr>
          <w:rFonts w:cs="Times New Roman"/>
        </w:rPr>
        <w:t xml:space="preserve">it has not yet </w:t>
      </w:r>
      <w:r w:rsidRPr="003C6B9F">
        <w:rPr>
          <w:rFonts w:cs="Times New Roman"/>
        </w:rPr>
        <w:t>been test</w:t>
      </w:r>
      <w:r w:rsidR="00423460" w:rsidRPr="003C6B9F">
        <w:rPr>
          <w:rFonts w:cs="Times New Roman"/>
        </w:rPr>
        <w:t>ed</w:t>
      </w:r>
      <w:r w:rsidRPr="003C6B9F">
        <w:rPr>
          <w:rFonts w:cs="Times New Roman"/>
        </w:rPr>
        <w:t xml:space="preserve">  in the Australian context.</w:t>
      </w:r>
    </w:p>
    <w:p w14:paraId="28705127" w14:textId="736E8A23" w:rsidR="00262D8D" w:rsidRPr="003C6B9F" w:rsidRDefault="00262D8D" w:rsidP="0017466F">
      <w:pPr>
        <w:rPr>
          <w:rFonts w:cs="Times New Roman"/>
        </w:rPr>
      </w:pPr>
      <w:r w:rsidRPr="003C6B9F">
        <w:rPr>
          <w:rFonts w:cs="Times New Roman"/>
        </w:rPr>
        <w:t xml:space="preserve">The CRREM tool enables the monitoring of energy performance of a single property, or portfolio. </w:t>
      </w:r>
      <w:proofErr w:type="spellStart"/>
      <w:r w:rsidRPr="003C6B9F">
        <w:rPr>
          <w:rFonts w:cs="Times New Roman"/>
        </w:rPr>
        <w:t>Utilising</w:t>
      </w:r>
      <w:proofErr w:type="spellEnd"/>
      <w:r w:rsidRPr="003C6B9F">
        <w:rPr>
          <w:rFonts w:cs="Times New Roman"/>
        </w:rPr>
        <w:t xml:space="preserve"> key inputs, the tool provides a visual graphic of the performance of the asset or </w:t>
      </w:r>
      <w:proofErr w:type="gramStart"/>
      <w:r w:rsidRPr="003C6B9F">
        <w:rPr>
          <w:rFonts w:cs="Times New Roman"/>
        </w:rPr>
        <w:t>portfolio, and</w:t>
      </w:r>
      <w:proofErr w:type="gramEnd"/>
      <w:r w:rsidRPr="003C6B9F">
        <w:rPr>
          <w:rFonts w:cs="Times New Roman"/>
        </w:rPr>
        <w:t xml:space="preserve"> identifies at which point the asset may be subject to ‘stranding risk’ as a result of regulatory requirements, and voluntary requirements like alignment with Science Based Targets Initiative (SBTIs) to minimize global warming to 1.5</w:t>
      </w:r>
      <w:r w:rsidRPr="003C6B9F">
        <w:rPr>
          <w:rFonts w:cs="Times New Roman"/>
          <w:vertAlign w:val="superscript"/>
        </w:rPr>
        <w:t>o</w:t>
      </w:r>
      <w:r w:rsidRPr="003C6B9F">
        <w:rPr>
          <w:rFonts w:cs="Times New Roman"/>
        </w:rPr>
        <w:t xml:space="preserve"> or 2</w:t>
      </w:r>
      <w:r w:rsidRPr="003C6B9F">
        <w:rPr>
          <w:rFonts w:cs="Times New Roman"/>
          <w:vertAlign w:val="superscript"/>
        </w:rPr>
        <w:t>o</w:t>
      </w:r>
      <w:r w:rsidRPr="003C6B9F">
        <w:rPr>
          <w:rFonts w:cs="Times New Roman"/>
        </w:rPr>
        <w:t xml:space="preserve">C (CRREM, 2023b). </w:t>
      </w:r>
      <w:proofErr w:type="gramStart"/>
      <w:r w:rsidRPr="003C6B9F">
        <w:rPr>
          <w:rFonts w:cs="Times New Roman"/>
        </w:rPr>
        <w:t>The objective of the tool,</w:t>
      </w:r>
      <w:proofErr w:type="gramEnd"/>
      <w:r w:rsidRPr="003C6B9F">
        <w:rPr>
          <w:rFonts w:cs="Times New Roman"/>
        </w:rPr>
        <w:t xml:space="preserve"> is not to just provide a graphical representation, but focuses on the decarbonization requirements of the asset in comparison to overall sector targets and Intended Nationally Determined Contributions (INDCs). The decarbonization pathways created by CRREM are in the context of meeting emissions targets from the Paris agreement, and the associated emission pathways and budgets which then are contributed from building sector pathways, which have been converted for various property types (CRREM, 2020b). CRREM provides these decarbonization pathways as a way in which to benchmark where the current asset or portfolio sits (the pathway is effectively a form of carbon budget), as a result a user can then see clearly (as shown in Figure 1) the timing of when their asset may be stranded based on this pathway, and generates the realization of the need for retrofits to improve the energy efficiency and carbon profile of the asset or portfolio. </w:t>
      </w:r>
    </w:p>
    <w:p w14:paraId="4DDC73F7" w14:textId="223DB44D" w:rsidR="00262D8D" w:rsidRPr="003C6B9F" w:rsidRDefault="00262D8D" w:rsidP="0017466F">
      <w:pPr>
        <w:rPr>
          <w:rFonts w:cs="Times New Roman"/>
        </w:rPr>
      </w:pPr>
      <w:r w:rsidRPr="003C6B9F">
        <w:rPr>
          <w:rFonts w:cs="Times New Roman"/>
        </w:rPr>
        <w:t>Figure 1. Example of CRREM decarbonization pathway and asset stranding</w:t>
      </w:r>
    </w:p>
    <w:p w14:paraId="4D1073BE" w14:textId="07FBF6C7" w:rsidR="00262D8D" w:rsidRPr="003C6B9F" w:rsidRDefault="00262D8D" w:rsidP="0017466F">
      <w:pPr>
        <w:rPr>
          <w:rFonts w:cs="Times New Roman"/>
        </w:rPr>
      </w:pPr>
      <w:r w:rsidRPr="003C6B9F">
        <w:rPr>
          <w:rFonts w:cs="Times New Roman"/>
          <w:noProof/>
        </w:rPr>
        <w:drawing>
          <wp:inline distT="0" distB="0" distL="0" distR="0" wp14:anchorId="6836E0C5" wp14:editId="40EFEACD">
            <wp:extent cx="5943600" cy="3150870"/>
            <wp:effectExtent l="0" t="0" r="0" b="0"/>
            <wp:docPr id="1290178712" name="Chart 1">
              <a:extLst xmlns:a="http://schemas.openxmlformats.org/drawingml/2006/main">
                <a:ext uri="{FF2B5EF4-FFF2-40B4-BE49-F238E27FC236}">
                  <a16:creationId xmlns:a16="http://schemas.microsoft.com/office/drawing/2014/main" id="{3D420E7C-20A7-4B56-9452-E5BDB74AAF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548386" w14:textId="16E8BB36" w:rsidR="00262D8D" w:rsidRPr="003C6B9F" w:rsidRDefault="00262D8D" w:rsidP="0017466F">
      <w:pPr>
        <w:rPr>
          <w:rFonts w:cs="Times New Roman"/>
        </w:rPr>
      </w:pPr>
      <w:r w:rsidRPr="003C6B9F">
        <w:rPr>
          <w:rFonts w:cs="Times New Roman"/>
        </w:rPr>
        <w:t xml:space="preserve">Source: CRREM (2022) v2.03 </w:t>
      </w:r>
      <w:proofErr w:type="spellStart"/>
      <w:r w:rsidRPr="003C6B9F">
        <w:rPr>
          <w:rFonts w:cs="Times New Roman"/>
        </w:rPr>
        <w:t>utilising</w:t>
      </w:r>
      <w:proofErr w:type="spellEnd"/>
      <w:r w:rsidRPr="003C6B9F">
        <w:rPr>
          <w:rFonts w:cs="Times New Roman"/>
        </w:rPr>
        <w:t xml:space="preserve"> Melbourne Case study building</w:t>
      </w:r>
    </w:p>
    <w:p w14:paraId="0217BC66" w14:textId="5C872E6D" w:rsidR="0017466F" w:rsidRPr="003C6B9F" w:rsidRDefault="0017466F" w:rsidP="0017466F">
      <w:pPr>
        <w:rPr>
          <w:rFonts w:cs="Times New Roman"/>
        </w:rPr>
      </w:pPr>
      <w:r w:rsidRPr="003C6B9F">
        <w:rPr>
          <w:rFonts w:cs="Times New Roman"/>
        </w:rPr>
        <w:t xml:space="preserve">This </w:t>
      </w:r>
      <w:r w:rsidR="00423460" w:rsidRPr="003C6B9F">
        <w:rPr>
          <w:rFonts w:cs="Times New Roman"/>
        </w:rPr>
        <w:t xml:space="preserve">study </w:t>
      </w:r>
      <w:r w:rsidRPr="003C6B9F">
        <w:rPr>
          <w:rFonts w:cs="Times New Roman"/>
        </w:rPr>
        <w:t>aims to apply CRREM to a series of Australian commercial property case studies to evaluate the pathways, assumptions and data inputs for the Australian context</w:t>
      </w:r>
      <w:r w:rsidR="0046614F" w:rsidRPr="003C6B9F">
        <w:rPr>
          <w:rFonts w:cs="Times New Roman"/>
        </w:rPr>
        <w:t xml:space="preserve">. </w:t>
      </w:r>
      <w:r w:rsidRPr="003C6B9F">
        <w:rPr>
          <w:rFonts w:cs="Times New Roman"/>
        </w:rPr>
        <w:t xml:space="preserve">The objective is to explore the potential of CRREM as an innovative tool </w:t>
      </w:r>
      <w:r w:rsidR="004C4B48" w:rsidRPr="003C6B9F">
        <w:rPr>
          <w:rFonts w:cs="Times New Roman"/>
        </w:rPr>
        <w:t xml:space="preserve">for industry and </w:t>
      </w:r>
      <w:r w:rsidR="00441557" w:rsidRPr="003C6B9F">
        <w:rPr>
          <w:rFonts w:cs="Times New Roman"/>
        </w:rPr>
        <w:t xml:space="preserve">understand the nuances for its’ application in the Australian context. </w:t>
      </w:r>
    </w:p>
    <w:p w14:paraId="11322B80" w14:textId="1A209994" w:rsidR="000F4491" w:rsidRPr="003C6B9F" w:rsidRDefault="000F4491" w:rsidP="0017466F">
      <w:pPr>
        <w:rPr>
          <w:rFonts w:cs="Times New Roman"/>
        </w:rPr>
      </w:pPr>
      <w:r w:rsidRPr="003C6B9F">
        <w:rPr>
          <w:rFonts w:cs="Times New Roman"/>
        </w:rPr>
        <w:lastRenderedPageBreak/>
        <w:t xml:space="preserve">This paper </w:t>
      </w:r>
      <w:r w:rsidR="00423460" w:rsidRPr="003C6B9F">
        <w:rPr>
          <w:rFonts w:cs="Times New Roman"/>
        </w:rPr>
        <w:t xml:space="preserve">begins by </w:t>
      </w:r>
      <w:r w:rsidRPr="003C6B9F">
        <w:rPr>
          <w:rFonts w:cs="Times New Roman"/>
        </w:rPr>
        <w:t>provid</w:t>
      </w:r>
      <w:r w:rsidR="00423460" w:rsidRPr="003C6B9F">
        <w:rPr>
          <w:rFonts w:cs="Times New Roman"/>
        </w:rPr>
        <w:t>ing</w:t>
      </w:r>
      <w:r w:rsidRPr="003C6B9F">
        <w:rPr>
          <w:rFonts w:cs="Times New Roman"/>
        </w:rPr>
        <w:t xml:space="preserve"> some background information about Australia and its carbon targets and the development of CRREM. This is followed by the Research Approach (with reference to the Data Collection and Data Analysis methods), the Results and then finally the Discussion and Conclusion.</w:t>
      </w:r>
    </w:p>
    <w:p w14:paraId="077BF99B" w14:textId="48FBA664" w:rsidR="0017466F" w:rsidRPr="003C6B9F" w:rsidRDefault="0017466F" w:rsidP="00C71CA6">
      <w:pPr>
        <w:pStyle w:val="Heading1"/>
        <w:rPr>
          <w:rFonts w:cs="Times New Roman"/>
        </w:rPr>
      </w:pPr>
      <w:bookmarkStart w:id="4" w:name="_Hlk141701344"/>
      <w:bookmarkEnd w:id="3"/>
      <w:r w:rsidRPr="003C6B9F">
        <w:rPr>
          <w:rFonts w:cs="Times New Roman"/>
        </w:rPr>
        <w:t>Background</w:t>
      </w:r>
    </w:p>
    <w:p w14:paraId="5A02D8A2" w14:textId="7FE124A4" w:rsidR="00C71CA6" w:rsidRPr="003C6B9F" w:rsidRDefault="00C71CA6" w:rsidP="00C71CA6">
      <w:pPr>
        <w:pStyle w:val="Heading2"/>
        <w:rPr>
          <w:rFonts w:cs="Times New Roman"/>
        </w:rPr>
      </w:pPr>
      <w:r w:rsidRPr="003C6B9F">
        <w:rPr>
          <w:rFonts w:cs="Times New Roman"/>
        </w:rPr>
        <w:t xml:space="preserve">The Australian Context </w:t>
      </w:r>
    </w:p>
    <w:p w14:paraId="6631AC38" w14:textId="6ED584C8" w:rsidR="00DD2DB7" w:rsidRPr="003C6B9F" w:rsidRDefault="00C1724C" w:rsidP="00DD2DB7">
      <w:pPr>
        <w:rPr>
          <w:rFonts w:cs="Times New Roman"/>
        </w:rPr>
      </w:pPr>
      <w:r w:rsidRPr="003C6B9F">
        <w:rPr>
          <w:rFonts w:cs="Times New Roman"/>
        </w:rPr>
        <w:t xml:space="preserve">Australia has recently committed to reducing its GHG emissions to 26-28% below 2005 levels by 2030 and net zero by 2050 </w:t>
      </w:r>
      <w:r w:rsidRPr="003C6B9F">
        <w:rPr>
          <w:rFonts w:cs="Times New Roman"/>
        </w:rPr>
        <w:fldChar w:fldCharType="begin"/>
      </w:r>
      <w:r w:rsidRPr="003C6B9F">
        <w:rPr>
          <w:rFonts w:cs="Times New Roman"/>
        </w:rPr>
        <w:instrText xml:space="preserve"> ADDIN EN.CITE &lt;EndNote&gt;&lt;Cite&gt;&lt;Author&gt;IEA&lt;/Author&gt;&lt;Year&gt;2023&lt;/Year&gt;&lt;RecNum&gt;1234&lt;/RecNum&gt;&lt;DisplayText&gt;(IEA, 2023)&lt;/DisplayText&gt;&lt;record&gt;&lt;rec-number&gt;1234&lt;/rec-number&gt;&lt;foreign-keys&gt;&lt;key app="EN" db-id="ear29sre9ve0woevt0ix2wv1pvasrzaedp5f" timestamp="1689721222" guid="6d2b67bf-c4b2-4017-bec2-d9e6dbb49e04"&gt;1234&lt;/key&gt;&lt;/foreign-keys&gt;&lt;ref-type name="Web Page"&gt;12&lt;/ref-type&gt;&lt;contributors&gt;&lt;authors&gt;&lt;author&gt;IEA&lt;/author&gt;&lt;/authors&gt;&lt;/contributors&gt;&lt;titles&gt;&lt;title&gt;Australia has raised its climate targets and now needs to accelerate its clean energy transition, says new IEA review&lt;/title&gt;&lt;/titles&gt;&lt;number&gt;19/07/23&lt;/number&gt;&lt;dates&gt;&lt;year&gt;2023&lt;/year&gt;&lt;/dates&gt;&lt;pub-location&gt;France&lt;/pub-location&gt;&lt;publisher&gt;International Energy Agency&lt;/publisher&gt;&lt;urls&gt;&lt;related-urls&gt;&lt;url&gt;https://www.iea.org/news/australia-has-raised-its-climate-targets-and-now-needs-to-accelerate-its-clean-energy-transition-says-new-iea-review&lt;/url&gt;&lt;/related-urls&gt;&lt;/urls&gt;&lt;/record&gt;&lt;/Cite&gt;&lt;/EndNote&gt;</w:instrText>
      </w:r>
      <w:r w:rsidRPr="003C6B9F">
        <w:rPr>
          <w:rFonts w:cs="Times New Roman"/>
        </w:rPr>
        <w:fldChar w:fldCharType="separate"/>
      </w:r>
      <w:r w:rsidRPr="003C6B9F">
        <w:rPr>
          <w:rFonts w:cs="Times New Roman"/>
          <w:noProof/>
        </w:rPr>
        <w:t>(IEA, 2023)</w:t>
      </w:r>
      <w:r w:rsidRPr="003C6B9F">
        <w:rPr>
          <w:rFonts w:cs="Times New Roman"/>
        </w:rPr>
        <w:fldChar w:fldCharType="end"/>
      </w:r>
      <w:r w:rsidRPr="003C6B9F">
        <w:rPr>
          <w:rFonts w:cs="Times New Roman"/>
        </w:rPr>
        <w:t xml:space="preserve">. Several </w:t>
      </w:r>
      <w:r w:rsidR="00D933D7" w:rsidRPr="003C6B9F">
        <w:rPr>
          <w:rFonts w:cs="Times New Roman"/>
        </w:rPr>
        <w:t>state governments and local councils</w:t>
      </w:r>
      <w:r w:rsidRPr="003C6B9F">
        <w:rPr>
          <w:rFonts w:cs="Times New Roman"/>
        </w:rPr>
        <w:t xml:space="preserve"> have followed this up with setting their own carbon reduction targets, such as New South Wales (one of Australia’s </w:t>
      </w:r>
      <w:r w:rsidR="00DD2DB7" w:rsidRPr="003C6B9F">
        <w:rPr>
          <w:rFonts w:cs="Times New Roman"/>
        </w:rPr>
        <w:t>m</w:t>
      </w:r>
      <w:r w:rsidRPr="003C6B9F">
        <w:rPr>
          <w:rFonts w:cs="Times New Roman"/>
        </w:rPr>
        <w:t xml:space="preserve">ost populous states) </w:t>
      </w:r>
      <w:r w:rsidR="008540F6" w:rsidRPr="003C6B9F">
        <w:rPr>
          <w:rFonts w:cs="Times New Roman"/>
        </w:rPr>
        <w:t xml:space="preserve">which </w:t>
      </w:r>
      <w:r w:rsidRPr="003C6B9F">
        <w:rPr>
          <w:rFonts w:cs="Times New Roman"/>
        </w:rPr>
        <w:t xml:space="preserve">have committed to reducing their emissions by 50% </w:t>
      </w:r>
      <w:r w:rsidR="008540F6" w:rsidRPr="003C6B9F">
        <w:rPr>
          <w:rFonts w:cs="Times New Roman"/>
        </w:rPr>
        <w:t>from</w:t>
      </w:r>
      <w:r w:rsidRPr="003C6B9F">
        <w:rPr>
          <w:rFonts w:cs="Times New Roman"/>
        </w:rPr>
        <w:t xml:space="preserve"> 2005 levels by 2030</w:t>
      </w:r>
      <w:r w:rsidR="001514C5" w:rsidRPr="003C6B9F">
        <w:rPr>
          <w:rFonts w:cs="Times New Roman"/>
        </w:rPr>
        <w:t xml:space="preserve"> and net zero by 2050; while Victoria has committed to achieving net zero emissions by 2045 </w:t>
      </w:r>
      <w:r w:rsidR="001514C5" w:rsidRPr="003C6B9F">
        <w:rPr>
          <w:rFonts w:cs="Times New Roman"/>
        </w:rPr>
        <w:fldChar w:fldCharType="begin"/>
      </w:r>
      <w:r w:rsidR="00DD2DB7" w:rsidRPr="003C6B9F">
        <w:rPr>
          <w:rFonts w:cs="Times New Roman"/>
        </w:rPr>
        <w:instrText xml:space="preserve"> ADDIN EN.CITE &lt;EndNote&gt;&lt;Cite&gt;&lt;Author&gt;NSW Government&lt;/Author&gt;&lt;Year&gt;2020&lt;/Year&gt;&lt;RecNum&gt;1236&lt;/RecNum&gt;&lt;DisplayText&gt;(NSW Government, 2020, Victoria State Government, 2023)&lt;/DisplayText&gt;&lt;record&gt;&lt;rec-number&gt;1236&lt;/rec-number&gt;&lt;foreign-keys&gt;&lt;key app="EN" db-id="ear29sre9ve0woevt0ix2wv1pvasrzaedp5f" timestamp="1689723322" guid="91251084-188d-4d59-9caf-fba4cf13bab0"&gt;1236&lt;/key&gt;&lt;/foreign-keys&gt;&lt;ref-type name="Web Page"&gt;12&lt;/ref-type&gt;&lt;contributors&gt;&lt;authors&gt;&lt;author&gt;NSW Government,&lt;/author&gt;&lt;/authors&gt;&lt;/contributors&gt;&lt;titles&gt;&lt;title&gt;NSW Government action on climate change&lt;/title&gt;&lt;/titles&gt;&lt;number&gt;19/07/23&lt;/number&gt;&lt;dates&gt;&lt;year&gt;2020&lt;/year&gt;&lt;/dates&gt;&lt;pub-location&gt;Australia&lt;/pub-location&gt;&lt;urls&gt;&lt;related-urls&gt;&lt;url&gt;https://www.climatechange.environment.nsw.gov.au/nsw-government-action-climate-change#:~:text=The%20Net%20Zero%20Plan%20Stage,net%20zero%20emissions%20by%202050.&lt;/url&gt;&lt;/related-urls&gt;&lt;/urls&gt;&lt;/record&gt;&lt;/Cite&gt;&lt;Cite&gt;&lt;Author&gt;Victoria State Government&lt;/Author&gt;&lt;Year&gt;2023&lt;/Year&gt;&lt;RecNum&gt;1237&lt;/RecNum&gt;&lt;record&gt;&lt;rec-number&gt;1237&lt;/rec-number&gt;&lt;foreign-keys&gt;&lt;key app="EN" db-id="ear29sre9ve0woevt0ix2wv1pvasrzaedp5f" timestamp="1689723473" guid="93e76fc7-49d8-4a2e-af14-41b59b4e8287"&gt;1237&lt;/key&gt;&lt;/foreign-keys&gt;&lt;ref-type name="Web Page"&gt;12&lt;/ref-type&gt;&lt;contributors&gt;&lt;authors&gt;&lt;author&gt;Victoria State Government,&lt;/author&gt;&lt;/authors&gt;&lt;/contributors&gt;&lt;titles&gt;&lt;title&gt;Climate action targets&lt;/title&gt;&lt;/titles&gt;&lt;number&gt;19/07/23&lt;/number&gt;&lt;dates&gt;&lt;year&gt;2023&lt;/year&gt;&lt;/dates&gt;&lt;pub-location&gt;Australia&lt;/pub-location&gt;&lt;publisher&gt;State Government of Victoria&lt;/publisher&gt;&lt;urls&gt;&lt;related-urls&gt;&lt;url&gt;https://www.climatechange.vic.gov.au/climate-action-targets&lt;/url&gt;&lt;/related-urls&gt;&lt;/urls&gt;&lt;/record&gt;&lt;/Cite&gt;&lt;/EndNote&gt;</w:instrText>
      </w:r>
      <w:r w:rsidR="001514C5" w:rsidRPr="003C6B9F">
        <w:rPr>
          <w:rFonts w:cs="Times New Roman"/>
        </w:rPr>
        <w:fldChar w:fldCharType="separate"/>
      </w:r>
      <w:r w:rsidR="001514C5" w:rsidRPr="003C6B9F">
        <w:rPr>
          <w:rFonts w:cs="Times New Roman"/>
          <w:noProof/>
        </w:rPr>
        <w:t>(NSW Government, 2020, Victoria State Government, 2023)</w:t>
      </w:r>
      <w:r w:rsidR="001514C5" w:rsidRPr="003C6B9F">
        <w:rPr>
          <w:rFonts w:cs="Times New Roman"/>
        </w:rPr>
        <w:fldChar w:fldCharType="end"/>
      </w:r>
      <w:r w:rsidRPr="003C6B9F">
        <w:rPr>
          <w:rFonts w:cs="Times New Roman"/>
        </w:rPr>
        <w:t xml:space="preserve">. </w:t>
      </w:r>
      <w:r w:rsidR="00362E18" w:rsidRPr="003C6B9F">
        <w:rPr>
          <w:rFonts w:cs="Times New Roman"/>
        </w:rPr>
        <w:t>In particular, the City of Melbourne has estimated to meet their ambitious emissions reduction targets for 2030 to achieve net zero emissions before 2050 and align their strategy to the C40 Climate Action Plan framework</w:t>
      </w:r>
      <w:r w:rsidR="00E40982" w:rsidRPr="003C6B9F">
        <w:rPr>
          <w:rFonts w:cs="Times New Roman"/>
        </w:rPr>
        <w:t xml:space="preserve"> </w:t>
      </w:r>
      <w:r w:rsidR="00E40982" w:rsidRPr="003C6B9F">
        <w:rPr>
          <w:rFonts w:cs="Times New Roman"/>
        </w:rPr>
        <w:fldChar w:fldCharType="begin"/>
      </w:r>
      <w:r w:rsidR="00FD4F1A" w:rsidRPr="003C6B9F">
        <w:rPr>
          <w:rFonts w:cs="Times New Roman"/>
        </w:rPr>
        <w:instrText xml:space="preserve"> ADDIN EN.CITE &lt;EndNote&gt;&lt;Cite&gt;&lt;Author&gt;C40 Cities&lt;/Author&gt;&lt;Year&gt;2022&lt;/Year&gt;&lt;RecNum&gt;1233&lt;/RecNum&gt;&lt;DisplayText&gt;(C40 Cities, 2022)&lt;/DisplayText&gt;&lt;record&gt;&lt;rec-number&gt;1233&lt;/rec-number&gt;&lt;foreign-keys&gt;&lt;key app="EN" db-id="ear29sre9ve0woevt0ix2wv1pvasrzaedp5f" timestamp="1689552384" guid="36b3ed67-710e-4766-9bea-97d1912174cd"&gt;1233&lt;/key&gt;&lt;/foreign-keys&gt;&lt;ref-type name="Web Page"&gt;12&lt;/ref-type&gt;&lt;contributors&gt;&lt;authors&gt;&lt;author&gt;C40 Cities,&lt;/author&gt;&lt;/authors&gt;&lt;/contributors&gt;&lt;titles&gt;&lt;title&gt;Climate Change Mitigation Strategy to 2050: Melbourne Together for 1.5°C&lt;/title&gt;&lt;/titles&gt;&lt;number&gt;17/07/2023&lt;/number&gt;&lt;dates&gt;&lt;year&gt;2022&lt;/year&gt;&lt;/dates&gt;&lt;publisher&gt;C40 Cities Climate Leadership Group, Inc&lt;/publisher&gt;&lt;urls&gt;&lt;related-urls&gt;&lt;url&gt;https://www.c40knowledgehub.org/s/article/Climate-Change-Mitigation-Strategy-to-2050-Melbourne-Together-for-1-5-C?language=en_US&lt;/url&gt;&lt;/related-urls&gt;&lt;/urls&gt;&lt;/record&gt;&lt;/Cite&gt;&lt;/EndNote&gt;</w:instrText>
      </w:r>
      <w:r w:rsidR="00E40982" w:rsidRPr="003C6B9F">
        <w:rPr>
          <w:rFonts w:cs="Times New Roman"/>
        </w:rPr>
        <w:fldChar w:fldCharType="separate"/>
      </w:r>
      <w:r w:rsidR="00FD4F1A" w:rsidRPr="003C6B9F">
        <w:rPr>
          <w:rFonts w:cs="Times New Roman"/>
          <w:noProof/>
        </w:rPr>
        <w:t>(C40 Cities, 2022)</w:t>
      </w:r>
      <w:r w:rsidR="00E40982" w:rsidRPr="003C6B9F">
        <w:rPr>
          <w:rFonts w:cs="Times New Roman"/>
        </w:rPr>
        <w:fldChar w:fldCharType="end"/>
      </w:r>
      <w:r w:rsidR="00362E18" w:rsidRPr="003C6B9F">
        <w:rPr>
          <w:rFonts w:cs="Times New Roman"/>
        </w:rPr>
        <w:t xml:space="preserve">. </w:t>
      </w:r>
      <w:r w:rsidR="00A21E68" w:rsidRPr="003C6B9F">
        <w:rPr>
          <w:rFonts w:cs="Times New Roman"/>
        </w:rPr>
        <w:t>To</w:t>
      </w:r>
      <w:r w:rsidR="00362E18" w:rsidRPr="003C6B9F">
        <w:rPr>
          <w:rFonts w:cs="Times New Roman"/>
        </w:rPr>
        <w:t xml:space="preserve"> meet these targets, there is a need to retrofit 77 buildings within the City of Melbourne every year </w:t>
      </w:r>
      <w:r w:rsidR="008540F6" w:rsidRPr="003C6B9F">
        <w:rPr>
          <w:rFonts w:cs="Times New Roman"/>
        </w:rPr>
        <w:t>un</w:t>
      </w:r>
      <w:r w:rsidR="00362E18" w:rsidRPr="003C6B9F">
        <w:rPr>
          <w:rFonts w:cs="Times New Roman"/>
        </w:rPr>
        <w:t xml:space="preserve">til 2050. With every year of inaction, building owners and tenants increase their risk exposure to adverse effects on building occupancies, </w:t>
      </w:r>
      <w:r w:rsidR="00A21E68" w:rsidRPr="003C6B9F">
        <w:rPr>
          <w:rFonts w:cs="Times New Roman"/>
        </w:rPr>
        <w:t>rents,</w:t>
      </w:r>
      <w:r w:rsidR="00362E18" w:rsidRPr="003C6B9F">
        <w:rPr>
          <w:rFonts w:cs="Times New Roman"/>
        </w:rPr>
        <w:t xml:space="preserve"> and assets values.</w:t>
      </w:r>
      <w:r w:rsidR="00D933D7" w:rsidRPr="003C6B9F">
        <w:rPr>
          <w:rFonts w:cs="Times New Roman"/>
        </w:rPr>
        <w:t xml:space="preserve"> </w:t>
      </w:r>
      <w:r w:rsidR="00DD2DB7" w:rsidRPr="003C6B9F">
        <w:rPr>
          <w:rFonts w:cs="Times New Roman"/>
        </w:rPr>
        <w:t>The IEA has welcomed Australia’s commitment to carbon mitigation</w:t>
      </w:r>
      <w:r w:rsidR="00A21E68" w:rsidRPr="003C6B9F">
        <w:rPr>
          <w:rFonts w:cs="Times New Roman"/>
        </w:rPr>
        <w:t>,</w:t>
      </w:r>
      <w:r w:rsidR="00DD2DB7" w:rsidRPr="003C6B9F">
        <w:rPr>
          <w:rFonts w:cs="Times New Roman"/>
        </w:rPr>
        <w:t xml:space="preserve"> but has stated that stronger efforts are needed to improve energy efficiency and carbon target alignment and that there is room for improvement on the country’s transport and building</w:t>
      </w:r>
      <w:r w:rsidR="00836918" w:rsidRPr="003C6B9F">
        <w:rPr>
          <w:rFonts w:cs="Times New Roman"/>
        </w:rPr>
        <w:t xml:space="preserve"> sector’s</w:t>
      </w:r>
      <w:r w:rsidR="00DD2DB7" w:rsidRPr="003C6B9F">
        <w:rPr>
          <w:rFonts w:cs="Times New Roman"/>
        </w:rPr>
        <w:t xml:space="preserve"> energy efficiency performance </w:t>
      </w:r>
      <w:r w:rsidR="00DD2DB7" w:rsidRPr="003C6B9F">
        <w:rPr>
          <w:rFonts w:cs="Times New Roman"/>
        </w:rPr>
        <w:fldChar w:fldCharType="begin"/>
      </w:r>
      <w:r w:rsidR="00DD2DB7" w:rsidRPr="003C6B9F">
        <w:rPr>
          <w:rFonts w:cs="Times New Roman"/>
        </w:rPr>
        <w:instrText xml:space="preserve"> ADDIN EN.CITE &lt;EndNote&gt;&lt;Cite&gt;&lt;Author&gt;IEA&lt;/Author&gt;&lt;Year&gt;2023&lt;/Year&gt;&lt;RecNum&gt;1234&lt;/RecNum&gt;&lt;DisplayText&gt;(IEA, 2023)&lt;/DisplayText&gt;&lt;record&gt;&lt;rec-number&gt;1234&lt;/rec-number&gt;&lt;foreign-keys&gt;&lt;key app="EN" db-id="ear29sre9ve0woevt0ix2wv1pvasrzaedp5f" timestamp="1689721222" guid="6d2b67bf-c4b2-4017-bec2-d9e6dbb49e04"&gt;1234&lt;/key&gt;&lt;/foreign-keys&gt;&lt;ref-type name="Web Page"&gt;12&lt;/ref-type&gt;&lt;contributors&gt;&lt;authors&gt;&lt;author&gt;IEA&lt;/author&gt;&lt;/authors&gt;&lt;/contributors&gt;&lt;titles&gt;&lt;title&gt;Australia has raised its climate targets and now needs to accelerate its clean energy transition, says new IEA review&lt;/title&gt;&lt;/titles&gt;&lt;number&gt;19/07/23&lt;/number&gt;&lt;dates&gt;&lt;year&gt;2023&lt;/year&gt;&lt;/dates&gt;&lt;pub-location&gt;France&lt;/pub-location&gt;&lt;publisher&gt;International Energy Agency&lt;/publisher&gt;&lt;urls&gt;&lt;related-urls&gt;&lt;url&gt;https://www.iea.org/news/australia-has-raised-its-climate-targets-and-now-needs-to-accelerate-its-clean-energy-transition-says-new-iea-review&lt;/url&gt;&lt;/related-urls&gt;&lt;/urls&gt;&lt;/record&gt;&lt;/Cite&gt;&lt;/EndNote&gt;</w:instrText>
      </w:r>
      <w:r w:rsidR="00DD2DB7" w:rsidRPr="003C6B9F">
        <w:rPr>
          <w:rFonts w:cs="Times New Roman"/>
        </w:rPr>
        <w:fldChar w:fldCharType="separate"/>
      </w:r>
      <w:r w:rsidR="00DD2DB7" w:rsidRPr="003C6B9F">
        <w:rPr>
          <w:rFonts w:cs="Times New Roman"/>
          <w:noProof/>
        </w:rPr>
        <w:t>(IEA, 2023)</w:t>
      </w:r>
      <w:r w:rsidR="00DD2DB7" w:rsidRPr="003C6B9F">
        <w:rPr>
          <w:rFonts w:cs="Times New Roman"/>
        </w:rPr>
        <w:fldChar w:fldCharType="end"/>
      </w:r>
      <w:r w:rsidR="00DD2DB7" w:rsidRPr="003C6B9F">
        <w:rPr>
          <w:rFonts w:cs="Times New Roman"/>
        </w:rPr>
        <w:t>.</w:t>
      </w:r>
    </w:p>
    <w:p w14:paraId="3F9B0DE3" w14:textId="4EF89192" w:rsidR="00454A3E" w:rsidRPr="003C6B9F" w:rsidRDefault="00454A3E" w:rsidP="00454A3E">
      <w:pPr>
        <w:rPr>
          <w:rFonts w:cs="Times New Roman"/>
        </w:rPr>
      </w:pPr>
      <w:r w:rsidRPr="003C6B9F">
        <w:rPr>
          <w:rFonts w:cs="Times New Roman"/>
        </w:rPr>
        <w:t xml:space="preserve">Enacted in 2010, the Commercial Building Disclosure Program (CBDP) </w:t>
      </w:r>
      <w:r w:rsidR="003035ED" w:rsidRPr="003C6B9F">
        <w:rPr>
          <w:rFonts w:cs="Times New Roman"/>
        </w:rPr>
        <w:fldChar w:fldCharType="begin"/>
      </w:r>
      <w:r w:rsidR="003035ED" w:rsidRPr="003C6B9F">
        <w:rPr>
          <w:rFonts w:cs="Times New Roman"/>
        </w:rPr>
        <w:instrText xml:space="preserve"> ADDIN EN.CITE &lt;EndNote&gt;&lt;Cite&gt;&lt;Author&gt;CBD&lt;/Author&gt;&lt;Year&gt;2020&lt;/Year&gt;&lt;RecNum&gt;1064&lt;/RecNum&gt;&lt;DisplayText&gt;(CBD, 2020)&lt;/DisplayText&gt;&lt;record&gt;&lt;rec-number&gt;1064&lt;/rec-number&gt;&lt;foreign-keys&gt;&lt;key app="EN" db-id="ear29sre9ve0woevt0ix2wv1pvasrzaedp5f" timestamp="1591043536" guid="47c9ee38-0e19-4b87-887d-b85f0e3a16d5"&gt;1064&lt;/key&gt;&lt;/foreign-keys&gt;&lt;ref-type name="Web Page"&gt;12&lt;/ref-type&gt;&lt;contributors&gt;&lt;authors&gt;&lt;author&gt;CBD&lt;/author&gt;&lt;/authors&gt;&lt;/contributors&gt;&lt;titles&gt;&lt;title&gt;Welcome to the Commercial Building Disclosure Program&lt;/title&gt;&lt;/titles&gt;&lt;number&gt;01/06/2020&lt;/number&gt;&lt;dates&gt;&lt;year&gt;2020&lt;/year&gt;&lt;/dates&gt;&lt;pub-location&gt;Australia&lt;/pub-location&gt;&lt;publisher&gt; Australian Government Department of the Environment and Energy&lt;/publisher&gt;&lt;urls&gt;&lt;related-urls&gt;&lt;url&gt;http://www.cbd.gov.au/ &lt;/url&gt;&lt;/related-urls&gt;&lt;/urls&gt;&lt;/record&gt;&lt;/Cite&gt;&lt;/EndNote&gt;</w:instrText>
      </w:r>
      <w:r w:rsidR="003035ED" w:rsidRPr="003C6B9F">
        <w:rPr>
          <w:rFonts w:cs="Times New Roman"/>
        </w:rPr>
        <w:fldChar w:fldCharType="separate"/>
      </w:r>
      <w:r w:rsidR="003035ED" w:rsidRPr="003C6B9F">
        <w:rPr>
          <w:rFonts w:cs="Times New Roman"/>
          <w:noProof/>
        </w:rPr>
        <w:t>(CBD, 2020)</w:t>
      </w:r>
      <w:r w:rsidR="003035ED" w:rsidRPr="003C6B9F">
        <w:rPr>
          <w:rFonts w:cs="Times New Roman"/>
        </w:rPr>
        <w:fldChar w:fldCharType="end"/>
      </w:r>
      <w:r w:rsidR="003035ED" w:rsidRPr="003C6B9F">
        <w:rPr>
          <w:rFonts w:cs="Times New Roman"/>
        </w:rPr>
        <w:t xml:space="preserve">, </w:t>
      </w:r>
      <w:r w:rsidRPr="003C6B9F">
        <w:rPr>
          <w:rFonts w:cs="Times New Roman"/>
        </w:rPr>
        <w:t>mandates the declaration of energy efficiency for all commercial buildings, for sale or rent</w:t>
      </w:r>
      <w:r w:rsidR="00BD4659" w:rsidRPr="003C6B9F">
        <w:rPr>
          <w:rFonts w:cs="Times New Roman"/>
        </w:rPr>
        <w:t xml:space="preserve"> in Australia</w:t>
      </w:r>
      <w:r w:rsidRPr="003C6B9F">
        <w:rPr>
          <w:rFonts w:cs="Times New Roman"/>
        </w:rPr>
        <w:t>, as measured by certified energy ratings based on the National Australian Built Environment Rating System (NABERS). However, CBDP solely focuses on past emissions over a period of 12 months (referred to as base building) and does not require the future forecasting of emissions. Further</w:t>
      </w:r>
      <w:r w:rsidR="009C5FC7" w:rsidRPr="003C6B9F">
        <w:rPr>
          <w:rFonts w:cs="Times New Roman"/>
        </w:rPr>
        <w:t>more</w:t>
      </w:r>
      <w:r w:rsidRPr="003C6B9F">
        <w:rPr>
          <w:rFonts w:cs="Times New Roman"/>
        </w:rPr>
        <w:t>, as there is only a requirement to consider the base building energy considerations, the ratings are</w:t>
      </w:r>
      <w:r w:rsidR="009C5FC7" w:rsidRPr="003C6B9F">
        <w:rPr>
          <w:rFonts w:cs="Times New Roman"/>
        </w:rPr>
        <w:t xml:space="preserve"> often</w:t>
      </w:r>
      <w:r w:rsidRPr="003C6B9F">
        <w:rPr>
          <w:rFonts w:cs="Times New Roman"/>
        </w:rPr>
        <w:t xml:space="preserve"> </w:t>
      </w:r>
      <w:r w:rsidR="007E6296" w:rsidRPr="003C6B9F">
        <w:rPr>
          <w:rFonts w:cs="Times New Roman"/>
        </w:rPr>
        <w:t xml:space="preserve">underestimated </w:t>
      </w:r>
      <w:r w:rsidR="00C1724C" w:rsidRPr="003C6B9F">
        <w:rPr>
          <w:rFonts w:cs="Times New Roman"/>
        </w:rPr>
        <w:t>due to the lack of</w:t>
      </w:r>
      <w:r w:rsidRPr="003C6B9F">
        <w:rPr>
          <w:rFonts w:cs="Times New Roman"/>
        </w:rPr>
        <w:t xml:space="preserve"> whole building assessment. As such, Australia’s mandatory energy efficiency disclosure program neglects the need to consider and reduce future climate-risk factors and more holistically consider whole</w:t>
      </w:r>
      <w:r w:rsidR="002243F9" w:rsidRPr="003C6B9F">
        <w:rPr>
          <w:rFonts w:cs="Times New Roman"/>
        </w:rPr>
        <w:t>-of-building</w:t>
      </w:r>
      <w:r w:rsidRPr="003C6B9F">
        <w:rPr>
          <w:rFonts w:cs="Times New Roman"/>
        </w:rPr>
        <w:t xml:space="preserve"> emissions.</w:t>
      </w:r>
      <w:r w:rsidR="00D07A4B" w:rsidRPr="003C6B9F">
        <w:rPr>
          <w:rFonts w:cs="Times New Roman"/>
        </w:rPr>
        <w:t xml:space="preserve"> </w:t>
      </w:r>
      <w:r w:rsidR="00441557" w:rsidRPr="003C6B9F">
        <w:rPr>
          <w:rFonts w:cs="Times New Roman"/>
        </w:rPr>
        <w:t xml:space="preserve">The CRREM tool provides a more forward-looking tool that has a broader consideration of the emissions profile of a building into the </w:t>
      </w:r>
      <w:proofErr w:type="gramStart"/>
      <w:r w:rsidR="00441557" w:rsidRPr="003C6B9F">
        <w:rPr>
          <w:rFonts w:cs="Times New Roman"/>
        </w:rPr>
        <w:t>future, and</w:t>
      </w:r>
      <w:proofErr w:type="gramEnd"/>
      <w:r w:rsidR="00441557" w:rsidRPr="003C6B9F">
        <w:rPr>
          <w:rFonts w:cs="Times New Roman"/>
        </w:rPr>
        <w:t xml:space="preserve"> exploring potential asset stranding considerations. Asset ‘stranding’ is where a building does not meet</w:t>
      </w:r>
      <w:r w:rsidR="007E6296" w:rsidRPr="003C6B9F">
        <w:rPr>
          <w:rFonts w:cs="Times New Roman"/>
        </w:rPr>
        <w:t xml:space="preserve"> Paris </w:t>
      </w:r>
      <w:proofErr w:type="gramStart"/>
      <w:r w:rsidR="007E6296" w:rsidRPr="003C6B9F">
        <w:rPr>
          <w:rFonts w:cs="Times New Roman"/>
        </w:rPr>
        <w:t>aligned</w:t>
      </w:r>
      <w:r w:rsidR="00441557" w:rsidRPr="003C6B9F">
        <w:rPr>
          <w:rFonts w:cs="Times New Roman"/>
        </w:rPr>
        <w:t xml:space="preserve">  emission</w:t>
      </w:r>
      <w:proofErr w:type="gramEnd"/>
      <w:r w:rsidR="00441557" w:rsidRPr="003C6B9F">
        <w:rPr>
          <w:rFonts w:cs="Times New Roman"/>
        </w:rPr>
        <w:t xml:space="preserve"> targets, which could comprise organizational, sector or </w:t>
      </w:r>
      <w:r w:rsidR="00292AD3" w:rsidRPr="003C6B9F">
        <w:rPr>
          <w:rFonts w:cs="Times New Roman"/>
        </w:rPr>
        <w:t>government-based</w:t>
      </w:r>
      <w:r w:rsidR="00441557" w:rsidRPr="003C6B9F">
        <w:rPr>
          <w:rFonts w:cs="Times New Roman"/>
        </w:rPr>
        <w:t xml:space="preserve"> targets or </w:t>
      </w:r>
      <w:r w:rsidR="007E6296" w:rsidRPr="003C6B9F">
        <w:rPr>
          <w:rFonts w:cs="Times New Roman"/>
        </w:rPr>
        <w:t>requirements</w:t>
      </w:r>
      <w:r w:rsidR="00441557" w:rsidRPr="003C6B9F">
        <w:rPr>
          <w:rFonts w:cs="Times New Roman"/>
        </w:rPr>
        <w:t xml:space="preserve">. For example, a building may not be allowed to be occupied or rented if it is performing beyond a specified target. (a penalty already occurring in the UK for buildings with poor energy efficiency) </w:t>
      </w:r>
      <w:r w:rsidR="00441557" w:rsidRPr="003C6B9F">
        <w:rPr>
          <w:rFonts w:cs="Times New Roman"/>
        </w:rPr>
        <w:fldChar w:fldCharType="begin"/>
      </w:r>
      <w:r w:rsidR="00441557" w:rsidRPr="003C6B9F">
        <w:rPr>
          <w:rFonts w:cs="Times New Roman"/>
        </w:rPr>
        <w:instrText xml:space="preserve"> ADDIN EN.CITE &lt;EndNote&gt;&lt;Cite&gt;&lt;Author&gt;Hirsch&lt;/Author&gt;&lt;Year&gt;2019&lt;/Year&gt;&lt;RecNum&gt;1070&lt;/RecNum&gt;&lt;DisplayText&gt;(Hirsch et al., 2019)&lt;/DisplayText&gt;&lt;record&gt;&lt;rec-number&gt;1070&lt;/rec-number&gt;&lt;foreign-keys&gt;&lt;key app="EN" db-id="ear29sre9ve0woevt0ix2wv1pvasrzaedp5f" timestamp="1592340531" guid="f780fd00-d9b2-49d9-96f9-fd57b9d5e2ef"&gt;1070&lt;/key&gt;&lt;/foreign-keys&gt;&lt;ref-type name="Report"&gt;27&lt;/ref-type&gt;&lt;contributors&gt;&lt;authors&gt;&lt;author&gt;Hirsch, Jens&lt;/author&gt;&lt;author&gt;Lafuente, Juan José&lt;/author&gt;&lt;author&gt;Recourt, Rik&lt;/author&gt;&lt;author&gt;Spanner, Maximilian&lt;/author&gt;&lt;author&gt;Geiger, Peter&lt;/author&gt;&lt;author&gt;Haran, Martin&lt;/author&gt;&lt;author&gt;McGreal, Stanley&lt;/author&gt;&lt;author&gt;Davis, Peadar&lt;/author&gt;&lt;author&gt;Taltavull, Paloma&lt;/author&gt;&lt;author&gt;Perez, Raul&lt;/author&gt;&lt;author&gt;Juárez, Francisco&lt;/author&gt;&lt;author&gt;Martinez, Ana Maria&lt;/author&gt;&lt;author&gt;Brounen, Dirk &lt;/author&gt;&lt;/authors&gt;&lt;/contributors&gt;&lt;titles&gt;&lt;title&gt;Stranding Risk &amp;amp; Carbon. Science-based decarbonising of the EU commercial real estate sector&lt;/title&gt;&lt;secondary-title&gt;CRREM report No.1&lt;/secondary-title&gt;&lt;/titles&gt;&lt;dates&gt;&lt;year&gt;2019&lt;/year&gt;&lt;/dates&gt;&lt;pub-location&gt;Wörgl, Austria&lt;/pub-location&gt;&lt;urls&gt;&lt;/urls&gt;&lt;/record&gt;&lt;/Cite&gt;&lt;/EndNote&gt;</w:instrText>
      </w:r>
      <w:r w:rsidR="00441557" w:rsidRPr="003C6B9F">
        <w:rPr>
          <w:rFonts w:cs="Times New Roman"/>
        </w:rPr>
        <w:fldChar w:fldCharType="separate"/>
      </w:r>
      <w:r w:rsidR="00441557" w:rsidRPr="003C6B9F">
        <w:rPr>
          <w:rFonts w:cs="Times New Roman"/>
          <w:noProof/>
        </w:rPr>
        <w:t>(Hirsch et al., 2019)</w:t>
      </w:r>
      <w:r w:rsidR="00441557" w:rsidRPr="003C6B9F">
        <w:rPr>
          <w:rFonts w:cs="Times New Roman"/>
        </w:rPr>
        <w:fldChar w:fldCharType="end"/>
      </w:r>
      <w:r w:rsidR="00441557" w:rsidRPr="003C6B9F">
        <w:rPr>
          <w:rFonts w:cs="Times New Roman"/>
        </w:rPr>
        <w:t xml:space="preserve">. The stranding of an asset leads to detrimental loss of income due to an inability for the space to be rented or occupied. Thus, property owners need a way in which to assess stranding potential and the ability to identify opportunities for retrofits and upgrades to ensure the property asset meets the emission target levels, and ensure continuity of income and occupancy </w:t>
      </w:r>
      <w:r w:rsidR="00441557" w:rsidRPr="003C6B9F">
        <w:rPr>
          <w:rFonts w:cs="Times New Roman"/>
        </w:rPr>
        <w:fldChar w:fldCharType="begin"/>
      </w:r>
      <w:r w:rsidR="00441557" w:rsidRPr="003C6B9F">
        <w:rPr>
          <w:rFonts w:cs="Times New Roman"/>
        </w:rPr>
        <w:instrText xml:space="preserve"> ADDIN EN.CITE &lt;EndNote&gt;&lt;Cite&gt;&lt;Author&gt;CRREM&lt;/Author&gt;&lt;Year&gt;2020&lt;/Year&gt;&lt;RecNum&gt;1226&lt;/RecNum&gt;&lt;DisplayText&gt;(CRREM, 2020b)&lt;/DisplayText&gt;&lt;record&gt;&lt;rec-number&gt;1226&lt;/rec-number&gt;&lt;foreign-keys&gt;&lt;key app="EN" db-id="ear29sre9ve0woevt0ix2wv1pvasrzaedp5f" timestamp="1675734671" guid="b4b1646b-25e4-40a9-9126-e59b1f83f1f0"&gt;1226&lt;/key&gt;&lt;/foreign-keys&gt;&lt;ref-type name="Report"&gt;27&lt;/ref-type&gt;&lt;contributors&gt;&lt;authors&gt;&lt;author&gt;CRREM&lt;/author&gt;&lt;/authors&gt;&lt;/contributors&gt;&lt;titles&gt;&lt;title&gt;From global emission budgets to decarbonisation pathways at property level: Crrem downscaling and carbon performance assessment methodology&lt;/title&gt;&lt;/titles&gt;&lt;volume&gt;Version 1.36 – 30.07.2020&lt;/volume&gt;&lt;dates&gt;&lt;year&gt;2020&lt;/year&gt;&lt;/dates&gt;&lt;pub-location&gt;Austria&lt;/pub-location&gt;&lt;publisher&gt;IIÖ Institute for Real Estate Economics&lt;/publisher&gt;&lt;urls&gt;&lt;/urls&gt;&lt;/record&gt;&lt;/Cite&gt;&lt;/EndNote&gt;</w:instrText>
      </w:r>
      <w:r w:rsidR="00441557" w:rsidRPr="003C6B9F">
        <w:rPr>
          <w:rFonts w:cs="Times New Roman"/>
        </w:rPr>
        <w:fldChar w:fldCharType="separate"/>
      </w:r>
      <w:r w:rsidR="00441557" w:rsidRPr="003C6B9F">
        <w:rPr>
          <w:rFonts w:cs="Times New Roman"/>
          <w:noProof/>
        </w:rPr>
        <w:t>(CRREM, 2020b)</w:t>
      </w:r>
      <w:r w:rsidR="00441557" w:rsidRPr="003C6B9F">
        <w:rPr>
          <w:rFonts w:cs="Times New Roman"/>
        </w:rPr>
        <w:fldChar w:fldCharType="end"/>
      </w:r>
      <w:r w:rsidR="00441557" w:rsidRPr="003C6B9F">
        <w:rPr>
          <w:rFonts w:cs="Times New Roman"/>
        </w:rPr>
        <w:t>.</w:t>
      </w:r>
      <w:r w:rsidR="00D07A4B" w:rsidRPr="003C6B9F">
        <w:rPr>
          <w:rFonts w:cs="Times New Roman"/>
        </w:rPr>
        <w:t>The next section provide</w:t>
      </w:r>
      <w:r w:rsidR="00A402A8" w:rsidRPr="003C6B9F">
        <w:rPr>
          <w:rFonts w:cs="Times New Roman"/>
        </w:rPr>
        <w:t>s</w:t>
      </w:r>
      <w:r w:rsidR="00D07A4B" w:rsidRPr="003C6B9F">
        <w:rPr>
          <w:rFonts w:cs="Times New Roman"/>
        </w:rPr>
        <w:t xml:space="preserve"> more detail of the CRREM tool</w:t>
      </w:r>
      <w:r w:rsidR="00B72A95" w:rsidRPr="003C6B9F">
        <w:rPr>
          <w:rFonts w:cs="Times New Roman"/>
        </w:rPr>
        <w:t xml:space="preserve">, </w:t>
      </w:r>
      <w:r w:rsidR="00D07A4B" w:rsidRPr="003C6B9F">
        <w:rPr>
          <w:rFonts w:cs="Times New Roman"/>
        </w:rPr>
        <w:t xml:space="preserve">its development and application within Australia. </w:t>
      </w:r>
    </w:p>
    <w:p w14:paraId="33A54965" w14:textId="56DEC960" w:rsidR="00C71CA6" w:rsidRPr="003C6B9F" w:rsidRDefault="00B72A95" w:rsidP="00C71CA6">
      <w:pPr>
        <w:pStyle w:val="Heading2"/>
        <w:rPr>
          <w:rFonts w:cs="Times New Roman"/>
        </w:rPr>
      </w:pPr>
      <w:bookmarkStart w:id="5" w:name="_Hlk141701515"/>
      <w:bookmarkEnd w:id="4"/>
      <w:r w:rsidRPr="003C6B9F">
        <w:rPr>
          <w:rFonts w:cs="Times New Roman"/>
        </w:rPr>
        <w:t>The CRREM Tool</w:t>
      </w:r>
    </w:p>
    <w:p w14:paraId="0BF705B7" w14:textId="6BBC72DA" w:rsidR="00454A3E" w:rsidRPr="003C6B9F" w:rsidRDefault="00454A3E" w:rsidP="00454A3E">
      <w:pPr>
        <w:rPr>
          <w:rFonts w:cs="Times New Roman"/>
        </w:rPr>
      </w:pPr>
      <w:r w:rsidRPr="003C6B9F">
        <w:rPr>
          <w:rFonts w:cs="Times New Roman"/>
        </w:rPr>
        <w:t>Funded by the European Union</w:t>
      </w:r>
      <w:r w:rsidR="00035F44" w:rsidRPr="003C6B9F">
        <w:rPr>
          <w:rFonts w:cs="Times New Roman"/>
        </w:rPr>
        <w:t xml:space="preserve"> (EU)</w:t>
      </w:r>
      <w:r w:rsidRPr="003C6B9F">
        <w:rPr>
          <w:rFonts w:cs="Times New Roman"/>
        </w:rPr>
        <w:t xml:space="preserve">, </w:t>
      </w:r>
      <w:r w:rsidR="00C71CA6" w:rsidRPr="003C6B9F">
        <w:rPr>
          <w:rFonts w:cs="Times New Roman"/>
        </w:rPr>
        <w:t>the Carbon Risk Real Estate Monitor (</w:t>
      </w:r>
      <w:r w:rsidRPr="003C6B9F">
        <w:rPr>
          <w:rFonts w:cs="Times New Roman"/>
        </w:rPr>
        <w:t>CRREM</w:t>
      </w:r>
      <w:r w:rsidR="00C71CA6" w:rsidRPr="003C6B9F">
        <w:rPr>
          <w:rFonts w:cs="Times New Roman"/>
        </w:rPr>
        <w:t>)</w:t>
      </w:r>
      <w:r w:rsidRPr="003C6B9F">
        <w:rPr>
          <w:rFonts w:cs="Times New Roman"/>
        </w:rPr>
        <w:t xml:space="preserve"> was developed to alleviate risks associated with asset ‘stranding’ and avoid </w:t>
      </w:r>
      <w:r w:rsidR="00262D8D" w:rsidRPr="003C6B9F">
        <w:rPr>
          <w:rFonts w:cs="Times New Roman"/>
        </w:rPr>
        <w:t xml:space="preserve">obsolescence, accelerated </w:t>
      </w:r>
      <w:r w:rsidRPr="003C6B9F">
        <w:rPr>
          <w:rFonts w:cs="Times New Roman"/>
        </w:rPr>
        <w:t>depreciation and loss of income due to climate change, changing market expectations, and legal regulations. CRREM has been described as a tool that</w:t>
      </w:r>
      <w:r w:rsidR="00A839FF" w:rsidRPr="003C6B9F">
        <w:rPr>
          <w:rFonts w:cs="Times New Roman"/>
        </w:rPr>
        <w:t xml:space="preserve">: </w:t>
      </w:r>
    </w:p>
    <w:p w14:paraId="0B5D8439" w14:textId="54ACD13C" w:rsidR="00454A3E" w:rsidRPr="003C6B9F" w:rsidRDefault="00454A3E" w:rsidP="00454A3E">
      <w:pPr>
        <w:ind w:left="720"/>
        <w:rPr>
          <w:rFonts w:cs="Times New Roman"/>
          <w:i/>
          <w:iCs/>
        </w:rPr>
      </w:pPr>
      <w:r w:rsidRPr="003C6B9F">
        <w:rPr>
          <w:rFonts w:cs="Times New Roman"/>
        </w:rPr>
        <w:lastRenderedPageBreak/>
        <w:t>“</w:t>
      </w:r>
      <w:r w:rsidRPr="003C6B9F">
        <w:rPr>
          <w:rFonts w:cs="Times New Roman"/>
          <w:i/>
          <w:iCs/>
        </w:rPr>
        <w:t xml:space="preserve">will accelerate the </w:t>
      </w:r>
      <w:proofErr w:type="spellStart"/>
      <w:r w:rsidRPr="003C6B9F">
        <w:rPr>
          <w:rFonts w:cs="Times New Roman"/>
          <w:i/>
          <w:iCs/>
        </w:rPr>
        <w:t>decarbonisation</w:t>
      </w:r>
      <w:proofErr w:type="spellEnd"/>
      <w:r w:rsidRPr="003C6B9F">
        <w:rPr>
          <w:rFonts w:cs="Times New Roman"/>
          <w:i/>
          <w:iCs/>
        </w:rPr>
        <w:t xml:space="preserve"> and climate change resilience of the EU commercial real estate state sector by clearly communicating the downside financial risks associated with poor energy performance and the quantification of financial implications of climate change on the building stock”</w:t>
      </w:r>
      <w:r w:rsidR="00B72A95" w:rsidRPr="003C6B9F">
        <w:rPr>
          <w:rFonts w:cs="Times New Roman"/>
          <w:i/>
          <w:iCs/>
        </w:rPr>
        <w:t xml:space="preserve"> </w:t>
      </w:r>
      <w:r w:rsidR="00B72A95" w:rsidRPr="003C6B9F">
        <w:rPr>
          <w:rFonts w:cs="Times New Roman"/>
          <w:i/>
          <w:iCs/>
        </w:rPr>
        <w:fldChar w:fldCharType="begin"/>
      </w:r>
      <w:r w:rsidR="00C02BC6" w:rsidRPr="003C6B9F">
        <w:rPr>
          <w:rFonts w:cs="Times New Roman"/>
          <w:i/>
          <w:iCs/>
        </w:rPr>
        <w:instrText xml:space="preserve"> ADDIN EN.CITE &lt;EndNote&gt;&lt;Cite&gt;&lt;Author&gt;CRREM&lt;/Author&gt;&lt;Year&gt;2020&lt;/Year&gt;&lt;RecNum&gt;1226&lt;/RecNum&gt;&lt;DisplayText&gt;(CRREM, 2020b)&lt;/DisplayText&gt;&lt;record&gt;&lt;rec-number&gt;1226&lt;/rec-number&gt;&lt;foreign-keys&gt;&lt;key app="EN" db-id="ear29sre9ve0woevt0ix2wv1pvasrzaedp5f" timestamp="1675734671" guid="b4b1646b-25e4-40a9-9126-e59b1f83f1f0"&gt;1226&lt;/key&gt;&lt;/foreign-keys&gt;&lt;ref-type name="Report"&gt;27&lt;/ref-type&gt;&lt;contributors&gt;&lt;authors&gt;&lt;author&gt;CRREM&lt;/author&gt;&lt;/authors&gt;&lt;/contributors&gt;&lt;titles&gt;&lt;title&gt;From global emission budgets to decarbonisation pathways at property level: Crrem downscaling and carbon performance assessment methodology&lt;/title&gt;&lt;/titles&gt;&lt;volume&gt;Version 1.36 – 30.07.2020&lt;/volume&gt;&lt;dates&gt;&lt;year&gt;2020&lt;/year&gt;&lt;/dates&gt;&lt;pub-location&gt;Austria&lt;/pub-location&gt;&lt;publisher&gt;IIÖ Institute for Real Estate Economics&lt;/publisher&gt;&lt;urls&gt;&lt;/urls&gt;&lt;/record&gt;&lt;/Cite&gt;&lt;/EndNote&gt;</w:instrText>
      </w:r>
      <w:r w:rsidR="00B72A95" w:rsidRPr="003C6B9F">
        <w:rPr>
          <w:rFonts w:cs="Times New Roman"/>
          <w:i/>
          <w:iCs/>
        </w:rPr>
        <w:fldChar w:fldCharType="separate"/>
      </w:r>
      <w:r w:rsidR="00C02BC6" w:rsidRPr="003C6B9F">
        <w:rPr>
          <w:rFonts w:cs="Times New Roman"/>
          <w:i/>
          <w:iCs/>
          <w:noProof/>
        </w:rPr>
        <w:t>(CRREM, 2020b)</w:t>
      </w:r>
      <w:r w:rsidR="00B72A95" w:rsidRPr="003C6B9F">
        <w:rPr>
          <w:rFonts w:cs="Times New Roman"/>
          <w:i/>
          <w:iCs/>
        </w:rPr>
        <w:fldChar w:fldCharType="end"/>
      </w:r>
      <w:r w:rsidR="00B72A95" w:rsidRPr="003C6B9F">
        <w:rPr>
          <w:rFonts w:cs="Times New Roman"/>
          <w:i/>
          <w:iCs/>
        </w:rPr>
        <w:t>.</w:t>
      </w:r>
    </w:p>
    <w:p w14:paraId="0108B2D4" w14:textId="7A015D34" w:rsidR="00262D8D" w:rsidRPr="003C6B9F" w:rsidRDefault="007D5563" w:rsidP="00262D8D">
      <w:pPr>
        <w:rPr>
          <w:rFonts w:cs="Times New Roman"/>
        </w:rPr>
      </w:pPr>
      <w:r w:rsidRPr="003C6B9F">
        <w:rPr>
          <w:rFonts w:cs="Times New Roman"/>
        </w:rPr>
        <w:t xml:space="preserve">The CRREM project has created a free to use Excel based tool which has been funded by the H2020 program </w:t>
      </w:r>
      <w:r w:rsidRPr="003C6B9F">
        <w:rPr>
          <w:rFonts w:cs="Times New Roman"/>
        </w:rPr>
        <w:fldChar w:fldCharType="begin"/>
      </w:r>
      <w:r w:rsidRPr="003C6B9F">
        <w:rPr>
          <w:rFonts w:cs="Times New Roman"/>
        </w:rPr>
        <w:instrText xml:space="preserve"> ADDIN EN.CITE &lt;EndNote&gt;&lt;Cite&gt;&lt;Author&gt;European Commission&lt;/Author&gt;&lt;Year&gt;2022&lt;/Year&gt;&lt;RecNum&gt;1227&lt;/RecNum&gt;&lt;DisplayText&gt;(European Commission, 2022)&lt;/DisplayText&gt;&lt;record&gt;&lt;rec-number&gt;1227&lt;/rec-number&gt;&lt;foreign-keys&gt;&lt;key app="EN" db-id="ear29sre9ve0woevt0ix2wv1pvasrzaedp5f" timestamp="1676937419" guid="d5896e03-7240-4318-852b-6ddb9c80f0d4"&gt;1227&lt;/key&gt;&lt;/foreign-keys&gt;&lt;ref-type name="Web Page"&gt;12&lt;/ref-type&gt;&lt;contributors&gt;&lt;authors&gt;&lt;author&gt;European Commission,&lt;/author&gt;&lt;/authors&gt;&lt;/contributors&gt;&lt;titles&gt;&lt;title&gt;Carbon Risk Real Estate Monitor: A tool to align asset investments with Paris Agreement objectives&lt;/title&gt;&lt;/titles&gt;&lt;number&gt;21/02/23&lt;/number&gt;&lt;dates&gt;&lt;year&gt;2022&lt;/year&gt;&lt;/dates&gt;&lt;pub-location&gt;Belgium&lt;/pub-location&gt;&lt;publisher&gt;European Union&amp;apos;s LIFE programme&lt;/publisher&gt;&lt;urls&gt;&lt;related-urls&gt;&lt;url&gt;https://www.youtube.com/watch?v=HZh5DHyvOW8&lt;/url&gt;&lt;/related-urls&gt;&lt;/urls&gt;&lt;/record&gt;&lt;/Cite&gt;&lt;/EndNote&gt;</w:instrText>
      </w:r>
      <w:r w:rsidRPr="003C6B9F">
        <w:rPr>
          <w:rFonts w:cs="Times New Roman"/>
        </w:rPr>
        <w:fldChar w:fldCharType="separate"/>
      </w:r>
      <w:r w:rsidRPr="003C6B9F">
        <w:rPr>
          <w:rFonts w:cs="Times New Roman"/>
          <w:noProof/>
        </w:rPr>
        <w:t>(European Commission, 2022)</w:t>
      </w:r>
      <w:r w:rsidRPr="003C6B9F">
        <w:rPr>
          <w:rFonts w:cs="Times New Roman"/>
        </w:rPr>
        <w:fldChar w:fldCharType="end"/>
      </w:r>
      <w:r w:rsidRPr="003C6B9F">
        <w:rPr>
          <w:rFonts w:cs="Times New Roman"/>
        </w:rPr>
        <w:t xml:space="preserve">. </w:t>
      </w:r>
      <w:r w:rsidR="00A839FF" w:rsidRPr="003C6B9F">
        <w:rPr>
          <w:rFonts w:cs="Times New Roman"/>
        </w:rPr>
        <w:t xml:space="preserve">The tool provides country specific energy-reduction pathways that are aligned with the requirements of the Paris Agreement to limit global warming to </w:t>
      </w:r>
      <w:r w:rsidR="002D4F12" w:rsidRPr="003C6B9F">
        <w:rPr>
          <w:rFonts w:cs="Times New Roman"/>
        </w:rPr>
        <w:t>1.5°C</w:t>
      </w:r>
      <w:r w:rsidR="00A839FF" w:rsidRPr="003C6B9F">
        <w:rPr>
          <w:rFonts w:cs="Times New Roman"/>
        </w:rPr>
        <w:t xml:space="preserve">. The tool </w:t>
      </w:r>
      <w:r w:rsidR="002D4F12" w:rsidRPr="003C6B9F">
        <w:rPr>
          <w:rFonts w:cs="Times New Roman"/>
          <w:szCs w:val="20"/>
        </w:rPr>
        <w:t xml:space="preserve">allows </w:t>
      </w:r>
      <w:r w:rsidR="00A839FF" w:rsidRPr="003C6B9F">
        <w:rPr>
          <w:rFonts w:cs="Times New Roman"/>
          <w:szCs w:val="20"/>
        </w:rPr>
        <w:t xml:space="preserve">its potential users to assess the carbon and energy performance of </w:t>
      </w:r>
      <w:r w:rsidR="007E6296" w:rsidRPr="003C6B9F">
        <w:rPr>
          <w:rFonts w:cs="Times New Roman"/>
          <w:szCs w:val="20"/>
        </w:rPr>
        <w:t xml:space="preserve">their </w:t>
      </w:r>
      <w:r w:rsidR="00A839FF" w:rsidRPr="003C6B9F">
        <w:rPr>
          <w:rFonts w:cs="Times New Roman"/>
          <w:szCs w:val="20"/>
        </w:rPr>
        <w:t>buildings and portfolios</w:t>
      </w:r>
      <w:r w:rsidR="007E6296" w:rsidRPr="003C6B9F">
        <w:rPr>
          <w:rFonts w:cs="Times New Roman"/>
          <w:szCs w:val="20"/>
        </w:rPr>
        <w:t>,</w:t>
      </w:r>
      <w:r w:rsidR="00A839FF" w:rsidRPr="003C6B9F">
        <w:rPr>
          <w:rFonts w:cs="Times New Roman"/>
          <w:szCs w:val="20"/>
        </w:rPr>
        <w:t xml:space="preserve"> and</w:t>
      </w:r>
      <w:r w:rsidR="007E6296" w:rsidRPr="003C6B9F">
        <w:rPr>
          <w:rFonts w:cs="Times New Roman"/>
          <w:szCs w:val="20"/>
        </w:rPr>
        <w:t xml:space="preserve"> then</w:t>
      </w:r>
      <w:r w:rsidR="00A839FF" w:rsidRPr="003C6B9F">
        <w:rPr>
          <w:rFonts w:cs="Times New Roman"/>
          <w:szCs w:val="20"/>
        </w:rPr>
        <w:t xml:space="preserve"> benchmark </w:t>
      </w:r>
      <w:r w:rsidR="007E6296" w:rsidRPr="003C6B9F">
        <w:rPr>
          <w:rFonts w:cs="Times New Roman"/>
          <w:szCs w:val="20"/>
        </w:rPr>
        <w:t xml:space="preserve">these </w:t>
      </w:r>
      <w:r w:rsidR="00A839FF" w:rsidRPr="003C6B9F">
        <w:rPr>
          <w:rFonts w:cs="Times New Roman"/>
        </w:rPr>
        <w:t>assets against the CRREM pathways,</w:t>
      </w:r>
      <w:r w:rsidR="007E6296" w:rsidRPr="003C6B9F">
        <w:rPr>
          <w:rFonts w:cs="Times New Roman"/>
        </w:rPr>
        <w:t xml:space="preserve"> thus</w:t>
      </w:r>
      <w:r w:rsidR="00A839FF" w:rsidRPr="003C6B9F">
        <w:rPr>
          <w:rFonts w:cs="Times New Roman"/>
          <w:szCs w:val="20"/>
        </w:rPr>
        <w:t xml:space="preserve"> supporting effective carbon risk</w:t>
      </w:r>
      <w:r w:rsidR="00035F44" w:rsidRPr="003C6B9F">
        <w:rPr>
          <w:rFonts w:cs="Times New Roman"/>
          <w:szCs w:val="20"/>
        </w:rPr>
        <w:t xml:space="preserve"> management</w:t>
      </w:r>
      <w:r w:rsidR="00A839FF" w:rsidRPr="003C6B9F">
        <w:rPr>
          <w:rFonts w:cs="Times New Roman"/>
          <w:szCs w:val="20"/>
        </w:rPr>
        <w:t>.</w:t>
      </w:r>
      <w:r w:rsidR="00D933D7" w:rsidRPr="003C6B9F">
        <w:rPr>
          <w:rFonts w:cs="Times New Roman"/>
        </w:rPr>
        <w:t xml:space="preserve"> </w:t>
      </w:r>
      <w:r w:rsidR="00362E18" w:rsidRPr="003C6B9F">
        <w:rPr>
          <w:rFonts w:cs="Times New Roman"/>
        </w:rPr>
        <w:t xml:space="preserve">The </w:t>
      </w:r>
      <w:r w:rsidR="00D933D7" w:rsidRPr="003C6B9F">
        <w:rPr>
          <w:rFonts w:cs="Times New Roman"/>
        </w:rPr>
        <w:t xml:space="preserve">unique feature of the </w:t>
      </w:r>
      <w:r w:rsidR="00362E18" w:rsidRPr="003C6B9F">
        <w:rPr>
          <w:rFonts w:cs="Times New Roman"/>
        </w:rPr>
        <w:t xml:space="preserve">CRREM tool </w:t>
      </w:r>
      <w:r w:rsidR="00D933D7" w:rsidRPr="003C6B9F">
        <w:rPr>
          <w:rFonts w:cs="Times New Roman"/>
        </w:rPr>
        <w:t xml:space="preserve">is its ability to </w:t>
      </w:r>
      <w:r w:rsidR="00CB7EC2" w:rsidRPr="003C6B9F">
        <w:rPr>
          <w:rFonts w:cs="Times New Roman"/>
        </w:rPr>
        <w:t xml:space="preserve">enable </w:t>
      </w:r>
      <w:r w:rsidR="00362E18" w:rsidRPr="003C6B9F">
        <w:rPr>
          <w:rFonts w:cs="Times New Roman"/>
        </w:rPr>
        <w:t xml:space="preserve">building owners to evaluate their commercial properties’ capacity to meet targets while considering future retrofitting plans that are costed and planned within the assets’ life cycle strategies. </w:t>
      </w:r>
      <w:r w:rsidR="00441557" w:rsidRPr="003C6B9F">
        <w:rPr>
          <w:rFonts w:cs="Times New Roman"/>
        </w:rPr>
        <w:t xml:space="preserve">It also allows a portfolio analysis and may assist in developing future investment strategies for management and ownership. Further, the tool could </w:t>
      </w:r>
      <w:r w:rsidR="00362E18" w:rsidRPr="003C6B9F">
        <w:rPr>
          <w:rFonts w:cs="Times New Roman"/>
        </w:rPr>
        <w:t xml:space="preserve">assist in the measurement and reporting of emissions and </w:t>
      </w:r>
      <w:proofErr w:type="spellStart"/>
      <w:r w:rsidR="00362E18" w:rsidRPr="003C6B9F">
        <w:rPr>
          <w:rFonts w:cs="Times New Roman"/>
        </w:rPr>
        <w:t>organisations’</w:t>
      </w:r>
      <w:proofErr w:type="spellEnd"/>
      <w:r w:rsidR="00362E18" w:rsidRPr="003C6B9F">
        <w:rPr>
          <w:rFonts w:cs="Times New Roman"/>
        </w:rPr>
        <w:t xml:space="preserve"> action plans for built assets</w:t>
      </w:r>
      <w:r w:rsidR="00087934" w:rsidRPr="003C6B9F">
        <w:rPr>
          <w:rFonts w:cs="Times New Roman"/>
        </w:rPr>
        <w:t xml:space="preserve"> to achieve net zero</w:t>
      </w:r>
      <w:r w:rsidR="00362E18" w:rsidRPr="003C6B9F">
        <w:rPr>
          <w:rFonts w:cs="Times New Roman"/>
        </w:rPr>
        <w:t xml:space="preserve">. </w:t>
      </w:r>
      <w:r w:rsidR="00D933D7" w:rsidRPr="003C6B9F">
        <w:rPr>
          <w:rFonts w:cs="Times New Roman"/>
        </w:rPr>
        <w:t>However,</w:t>
      </w:r>
      <w:r w:rsidR="00D4112C" w:rsidRPr="003C6B9F">
        <w:rPr>
          <w:rFonts w:cs="Times New Roman"/>
        </w:rPr>
        <w:t xml:space="preserve"> </w:t>
      </w:r>
      <w:r w:rsidR="00D933D7" w:rsidRPr="003C6B9F">
        <w:rPr>
          <w:rFonts w:cs="Times New Roman"/>
        </w:rPr>
        <w:t>t</w:t>
      </w:r>
      <w:r w:rsidR="00454A3E" w:rsidRPr="003C6B9F">
        <w:rPr>
          <w:rFonts w:cs="Times New Roman"/>
        </w:rPr>
        <w:t xml:space="preserve">he application of CRREM within an Australian context </w:t>
      </w:r>
      <w:r w:rsidR="00334F31" w:rsidRPr="003C6B9F">
        <w:rPr>
          <w:rFonts w:cs="Times New Roman"/>
        </w:rPr>
        <w:t>has limited testing and application</w:t>
      </w:r>
      <w:r w:rsidR="00454A3E" w:rsidRPr="003C6B9F">
        <w:rPr>
          <w:rFonts w:cs="Times New Roman"/>
        </w:rPr>
        <w:t xml:space="preserve"> and </w:t>
      </w:r>
      <w:r w:rsidR="00334F31" w:rsidRPr="003C6B9F">
        <w:rPr>
          <w:rFonts w:cs="Times New Roman"/>
        </w:rPr>
        <w:t xml:space="preserve">further exploration of how the tool works on commercial </w:t>
      </w:r>
      <w:r w:rsidR="00454A3E" w:rsidRPr="003C6B9F">
        <w:rPr>
          <w:rFonts w:cs="Times New Roman"/>
        </w:rPr>
        <w:t xml:space="preserve">building stock </w:t>
      </w:r>
      <w:r w:rsidR="00334F31" w:rsidRPr="003C6B9F">
        <w:rPr>
          <w:rFonts w:cs="Times New Roman"/>
        </w:rPr>
        <w:t>in</w:t>
      </w:r>
      <w:r w:rsidR="00454A3E" w:rsidRPr="003C6B9F">
        <w:rPr>
          <w:rFonts w:cs="Times New Roman"/>
        </w:rPr>
        <w:t xml:space="preserve"> Australia</w:t>
      </w:r>
      <w:r w:rsidR="00334F31" w:rsidRPr="003C6B9F">
        <w:rPr>
          <w:rFonts w:cs="Times New Roman"/>
        </w:rPr>
        <w:t xml:space="preserve"> to understand the nuances is required to assist industry in their comprehension and utilization of the CRREM tool</w:t>
      </w:r>
      <w:r w:rsidR="00454A3E" w:rsidRPr="003C6B9F">
        <w:rPr>
          <w:rFonts w:cs="Times New Roman"/>
        </w:rPr>
        <w:t xml:space="preserve">. </w:t>
      </w:r>
      <w:r w:rsidR="00262D8D" w:rsidRPr="003C6B9F">
        <w:rPr>
          <w:rFonts w:cs="Times New Roman"/>
        </w:rPr>
        <w:t xml:space="preserve">Initially developed for the EU, the expansion of CRREM has meant that calculation of the pathways for each country are required. These are generated by calculating the carbon that could be emitted by the country (and sector) till 2050 and the trajectory of these pathways, start at the current energy intensity of each country’s building stock but converge to a comparable target (CRREM, 2023b). The CRREM tool has then utilized information and data from GRESB to develop individual pathways (per country) for the various property types which creates specific decarbonization trajectories to a target amount based on the property type. In Australia, due to our geographic variety, further extension of the nuance has been included to enable the consideration the climate zones to reflect the different heating and cooling requirements of different locations and how this subsequently affects the energy intensity of buildings (CRREM, 2023b).   </w:t>
      </w:r>
    </w:p>
    <w:p w14:paraId="3D9B1009" w14:textId="45C12916" w:rsidR="0017466F" w:rsidRPr="003C6B9F" w:rsidRDefault="00454A3E" w:rsidP="00454A3E">
      <w:pPr>
        <w:rPr>
          <w:rFonts w:cs="Times New Roman"/>
        </w:rPr>
      </w:pPr>
      <w:r w:rsidRPr="003C6B9F">
        <w:rPr>
          <w:rFonts w:cs="Times New Roman"/>
        </w:rPr>
        <w:t>Whil</w:t>
      </w:r>
      <w:r w:rsidR="004132FB" w:rsidRPr="003C6B9F">
        <w:rPr>
          <w:rFonts w:cs="Times New Roman"/>
        </w:rPr>
        <w:t>e</w:t>
      </w:r>
      <w:r w:rsidRPr="003C6B9F">
        <w:rPr>
          <w:rFonts w:cs="Times New Roman"/>
        </w:rPr>
        <w:t xml:space="preserve"> several versions have been released for Australia, the consistency and comparability when applied to Australian assets needs further investigation. CRREM </w:t>
      </w:r>
      <w:r w:rsidR="00C83A7A" w:rsidRPr="003C6B9F">
        <w:rPr>
          <w:rFonts w:cs="Times New Roman"/>
        </w:rPr>
        <w:t xml:space="preserve">may </w:t>
      </w:r>
      <w:r w:rsidRPr="003C6B9F">
        <w:rPr>
          <w:rFonts w:cs="Times New Roman"/>
        </w:rPr>
        <w:t xml:space="preserve">be </w:t>
      </w:r>
      <w:proofErr w:type="spellStart"/>
      <w:r w:rsidRPr="003C6B9F">
        <w:rPr>
          <w:rFonts w:cs="Times New Roman"/>
        </w:rPr>
        <w:t>utilised</w:t>
      </w:r>
      <w:proofErr w:type="spellEnd"/>
      <w:r w:rsidRPr="003C6B9F">
        <w:rPr>
          <w:rFonts w:cs="Times New Roman"/>
        </w:rPr>
        <w:t xml:space="preserve"> to assist asset owners in Australia to develop and refine their future retrofitting and upgrading plans that integrate asset life cycle planning towards net zero emissions. The testing of the CRREM tool and </w:t>
      </w:r>
      <w:r w:rsidR="00D933D7" w:rsidRPr="003C6B9F">
        <w:rPr>
          <w:rFonts w:cs="Times New Roman"/>
        </w:rPr>
        <w:t xml:space="preserve">its </w:t>
      </w:r>
      <w:r w:rsidRPr="003C6B9F">
        <w:rPr>
          <w:rFonts w:cs="Times New Roman"/>
        </w:rPr>
        <w:t xml:space="preserve">different versions, </w:t>
      </w:r>
      <w:r w:rsidR="00334F31" w:rsidRPr="003C6B9F">
        <w:rPr>
          <w:rFonts w:cs="Times New Roman"/>
        </w:rPr>
        <w:t xml:space="preserve">and the implications and outcomes of the various optional inputs are explored in this study. </w:t>
      </w:r>
    </w:p>
    <w:bookmarkEnd w:id="5"/>
    <w:p w14:paraId="531EE912" w14:textId="185AE9EC" w:rsidR="0017466F" w:rsidRPr="003C6B9F" w:rsidRDefault="0017466F" w:rsidP="001B524B">
      <w:pPr>
        <w:pStyle w:val="Heading1"/>
        <w:rPr>
          <w:rFonts w:cs="Times New Roman"/>
        </w:rPr>
      </w:pPr>
      <w:r w:rsidRPr="003C6B9F">
        <w:rPr>
          <w:rFonts w:cs="Times New Roman"/>
        </w:rPr>
        <w:t xml:space="preserve">Research Approach </w:t>
      </w:r>
    </w:p>
    <w:p w14:paraId="68D56D29" w14:textId="4AD6ADBC" w:rsidR="00334F31" w:rsidRPr="003C6B9F" w:rsidRDefault="00B54612" w:rsidP="00552773">
      <w:pPr>
        <w:rPr>
          <w:rFonts w:cs="Times New Roman"/>
        </w:rPr>
      </w:pPr>
      <w:r w:rsidRPr="003C6B9F">
        <w:rPr>
          <w:rFonts w:cs="Times New Roman"/>
        </w:rPr>
        <w:t xml:space="preserve">This section </w:t>
      </w:r>
      <w:r w:rsidR="007A6D0A" w:rsidRPr="003C6B9F">
        <w:rPr>
          <w:rFonts w:cs="Times New Roman"/>
        </w:rPr>
        <w:t xml:space="preserve">describes </w:t>
      </w:r>
      <w:r w:rsidRPr="003C6B9F">
        <w:rPr>
          <w:rFonts w:cs="Times New Roman"/>
        </w:rPr>
        <w:t>the data collection and analysis approach</w:t>
      </w:r>
      <w:r w:rsidR="00552773" w:rsidRPr="003C6B9F">
        <w:rPr>
          <w:rFonts w:cs="Times New Roman"/>
        </w:rPr>
        <w:t xml:space="preserve"> used</w:t>
      </w:r>
      <w:r w:rsidRPr="003C6B9F">
        <w:rPr>
          <w:rFonts w:cs="Times New Roman"/>
        </w:rPr>
        <w:t>.</w:t>
      </w:r>
      <w:r w:rsidR="00552773" w:rsidRPr="003C6B9F">
        <w:rPr>
          <w:rFonts w:cs="Times New Roman"/>
        </w:rPr>
        <w:t xml:space="preserve"> The latest CRREM tool (</w:t>
      </w:r>
      <w:proofErr w:type="gramStart"/>
      <w:r w:rsidR="00552773" w:rsidRPr="003C6B9F">
        <w:rPr>
          <w:rFonts w:cs="Times New Roman"/>
        </w:rPr>
        <w:t>Version  V2.03</w:t>
      </w:r>
      <w:proofErr w:type="gramEnd"/>
      <w:r w:rsidR="00552773" w:rsidRPr="003C6B9F">
        <w:rPr>
          <w:rFonts w:cs="Times New Roman"/>
        </w:rPr>
        <w:t xml:space="preserve">) </w:t>
      </w:r>
      <w:r w:rsidR="0051212F" w:rsidRPr="003C6B9F">
        <w:rPr>
          <w:rFonts w:cs="Times New Roman"/>
        </w:rPr>
        <w:t xml:space="preserve">as </w:t>
      </w:r>
      <w:r w:rsidR="00292AD3" w:rsidRPr="003C6B9F">
        <w:rPr>
          <w:rFonts w:cs="Times New Roman"/>
        </w:rPr>
        <w:t>well as</w:t>
      </w:r>
      <w:r w:rsidR="0051212F" w:rsidRPr="003C6B9F">
        <w:rPr>
          <w:rFonts w:cs="Times New Roman"/>
        </w:rPr>
        <w:t xml:space="preserve"> previous releases (Version V1.22 and V2.02) </w:t>
      </w:r>
      <w:r w:rsidR="00552773" w:rsidRPr="003C6B9F">
        <w:rPr>
          <w:rFonts w:cs="Times New Roman"/>
        </w:rPr>
        <w:t>w</w:t>
      </w:r>
      <w:r w:rsidR="0051212F" w:rsidRPr="003C6B9F">
        <w:rPr>
          <w:rFonts w:cs="Times New Roman"/>
        </w:rPr>
        <w:t>ere</w:t>
      </w:r>
      <w:r w:rsidR="00552773" w:rsidRPr="003C6B9F">
        <w:rPr>
          <w:rFonts w:cs="Times New Roman"/>
        </w:rPr>
        <w:t xml:space="preserve"> used to assess a portfolio of buildings from across Australia. </w:t>
      </w:r>
      <w:r w:rsidR="00334F31" w:rsidRPr="003C6B9F">
        <w:rPr>
          <w:rFonts w:cs="Times New Roman"/>
        </w:rPr>
        <w:t xml:space="preserve">The purpose of examining the different versions is to highlight how updates may affect the results, and in the context of decision making and asset planning, appropriate caution should be taken which version used in the assessment </w:t>
      </w:r>
      <w:r w:rsidR="00292AD3" w:rsidRPr="003C6B9F">
        <w:rPr>
          <w:rFonts w:cs="Times New Roman"/>
        </w:rPr>
        <w:t xml:space="preserve">(especially seeing as this is a continuously evolving tool and constantly being updated). </w:t>
      </w:r>
    </w:p>
    <w:p w14:paraId="29A506F6" w14:textId="4CE2881F" w:rsidR="00552773" w:rsidRPr="003C6B9F" w:rsidRDefault="00334F31" w:rsidP="00552773">
      <w:pPr>
        <w:rPr>
          <w:rFonts w:cs="Times New Roman"/>
        </w:rPr>
      </w:pPr>
      <w:r w:rsidRPr="003C6B9F">
        <w:rPr>
          <w:rFonts w:cs="Times New Roman"/>
        </w:rPr>
        <w:t>There were 70 o</w:t>
      </w:r>
      <w:r w:rsidR="00552773" w:rsidRPr="003C6B9F">
        <w:rPr>
          <w:rFonts w:cs="Times New Roman"/>
        </w:rPr>
        <w:t>ffice buildings selected</w:t>
      </w:r>
      <w:r w:rsidRPr="003C6B9F">
        <w:rPr>
          <w:rFonts w:cs="Times New Roman"/>
        </w:rPr>
        <w:t xml:space="preserve"> from three different Asset Owner’s portfolios</w:t>
      </w:r>
      <w:r w:rsidR="00552773" w:rsidRPr="003C6B9F">
        <w:rPr>
          <w:rFonts w:cs="Times New Roman"/>
        </w:rPr>
        <w:t xml:space="preserve">, located in New South Wales, Victoria, Queensland, Northern Territory and Western Australia. </w:t>
      </w:r>
      <w:r w:rsidR="00292AD3" w:rsidRPr="003C6B9F">
        <w:rPr>
          <w:rFonts w:cs="Times New Roman"/>
        </w:rPr>
        <w:t xml:space="preserve">Data collection is discussed first followed by analysis approach. </w:t>
      </w:r>
    </w:p>
    <w:p w14:paraId="63F7AEA0" w14:textId="6F961693" w:rsidR="007A420B" w:rsidRPr="003C6B9F" w:rsidRDefault="007A420B" w:rsidP="00F74BCA">
      <w:pPr>
        <w:pStyle w:val="Heading2"/>
        <w:rPr>
          <w:rFonts w:cs="Times New Roman"/>
        </w:rPr>
      </w:pPr>
      <w:bookmarkStart w:id="6" w:name="_Hlk141701688"/>
      <w:r w:rsidRPr="003C6B9F">
        <w:rPr>
          <w:rFonts w:cs="Times New Roman"/>
        </w:rPr>
        <w:lastRenderedPageBreak/>
        <w:t>Data collection</w:t>
      </w:r>
    </w:p>
    <w:p w14:paraId="1D13F22D" w14:textId="2BE38A8A" w:rsidR="00262D8D" w:rsidRPr="003C6B9F" w:rsidRDefault="007A420B" w:rsidP="000C0AB1">
      <w:pPr>
        <w:rPr>
          <w:rFonts w:cs="Times New Roman"/>
          <w:b/>
          <w:bCs/>
          <w:szCs w:val="16"/>
        </w:rPr>
      </w:pPr>
      <w:r w:rsidRPr="003C6B9F">
        <w:rPr>
          <w:rFonts w:cs="Times New Roman"/>
        </w:rPr>
        <w:t>Data for the portfolio of buildings was attained through publicly available</w:t>
      </w:r>
      <w:r w:rsidR="00F74BCA" w:rsidRPr="003C6B9F">
        <w:rPr>
          <w:rFonts w:cs="Times New Roman"/>
        </w:rPr>
        <w:t xml:space="preserve"> online</w:t>
      </w:r>
      <w:r w:rsidRPr="003C6B9F">
        <w:rPr>
          <w:rFonts w:cs="Times New Roman"/>
        </w:rPr>
        <w:t xml:space="preserve"> information from </w:t>
      </w:r>
      <w:r w:rsidR="00F74BCA" w:rsidRPr="003C6B9F">
        <w:rPr>
          <w:rFonts w:cs="Times New Roman"/>
        </w:rPr>
        <w:t xml:space="preserve">three leading Australian property </w:t>
      </w:r>
      <w:r w:rsidR="00334F31" w:rsidRPr="003C6B9F">
        <w:rPr>
          <w:rFonts w:cs="Times New Roman"/>
        </w:rPr>
        <w:t>Asset Owner</w:t>
      </w:r>
      <w:r w:rsidR="00F74BCA" w:rsidRPr="003C6B9F">
        <w:rPr>
          <w:rFonts w:cs="Times New Roman"/>
        </w:rPr>
        <w:t xml:space="preserve">s (referred to throughout this report as </w:t>
      </w:r>
      <w:r w:rsidR="00334F31" w:rsidRPr="003C6B9F">
        <w:rPr>
          <w:rFonts w:cs="Times New Roman"/>
        </w:rPr>
        <w:t>Asset Owner</w:t>
      </w:r>
      <w:r w:rsidR="00F74BCA" w:rsidRPr="003C6B9F">
        <w:rPr>
          <w:rFonts w:cs="Times New Roman"/>
        </w:rPr>
        <w:t xml:space="preserve"> 1 to 3). </w:t>
      </w:r>
      <w:r w:rsidRPr="003C6B9F">
        <w:rPr>
          <w:rFonts w:cs="Times New Roman"/>
        </w:rPr>
        <w:t xml:space="preserve">Information </w:t>
      </w:r>
      <w:r w:rsidR="006664C7" w:rsidRPr="003C6B9F">
        <w:rPr>
          <w:rFonts w:cs="Times New Roman"/>
        </w:rPr>
        <w:t xml:space="preserve">on </w:t>
      </w:r>
      <w:r w:rsidRPr="003C6B9F">
        <w:rPr>
          <w:rFonts w:cs="Times New Roman"/>
        </w:rPr>
        <w:t>a total of 7</w:t>
      </w:r>
      <w:r w:rsidR="00EE4610" w:rsidRPr="003C6B9F">
        <w:rPr>
          <w:rFonts w:cs="Times New Roman"/>
        </w:rPr>
        <w:t>0</w:t>
      </w:r>
      <w:r w:rsidRPr="003C6B9F">
        <w:rPr>
          <w:rFonts w:cs="Times New Roman"/>
        </w:rPr>
        <w:t xml:space="preserve"> buildings was collected, </w:t>
      </w:r>
      <w:r w:rsidR="006664C7" w:rsidRPr="003C6B9F">
        <w:rPr>
          <w:rFonts w:cs="Times New Roman"/>
        </w:rPr>
        <w:t xml:space="preserve">with </w:t>
      </w:r>
      <w:r w:rsidRPr="003C6B9F">
        <w:rPr>
          <w:rFonts w:cs="Times New Roman"/>
        </w:rPr>
        <w:t>some data limitations</w:t>
      </w:r>
      <w:r w:rsidR="006664C7" w:rsidRPr="003C6B9F">
        <w:rPr>
          <w:rFonts w:cs="Times New Roman"/>
        </w:rPr>
        <w:t xml:space="preserve">, </w:t>
      </w:r>
      <w:r w:rsidRPr="003C6B9F">
        <w:rPr>
          <w:rFonts w:cs="Times New Roman"/>
        </w:rPr>
        <w:t xml:space="preserve">as described in Table 1. </w:t>
      </w:r>
      <w:bookmarkStart w:id="7" w:name="_Hlk141701700"/>
      <w:bookmarkEnd w:id="6"/>
    </w:p>
    <w:p w14:paraId="763EBA07" w14:textId="77777777" w:rsidR="00262D8D" w:rsidRPr="003C6B9F" w:rsidRDefault="00262D8D">
      <w:pPr>
        <w:rPr>
          <w:rFonts w:cs="Times New Roman"/>
          <w:bCs/>
          <w:iCs/>
          <w:szCs w:val="16"/>
        </w:rPr>
      </w:pPr>
      <w:r w:rsidRPr="003C6B9F">
        <w:rPr>
          <w:rFonts w:cs="Times New Roman"/>
          <w:b/>
          <w:bCs/>
          <w:szCs w:val="16"/>
        </w:rPr>
        <w:br w:type="page"/>
      </w:r>
    </w:p>
    <w:p w14:paraId="3E0BD627" w14:textId="108916DC" w:rsidR="00FC063D" w:rsidRPr="003C6B9F" w:rsidRDefault="00FC063D" w:rsidP="00FC063D">
      <w:pPr>
        <w:pStyle w:val="Caption"/>
        <w:keepNext/>
        <w:rPr>
          <w:rFonts w:cs="Times New Roman"/>
          <w:b w:val="0"/>
          <w:bCs/>
          <w:sz w:val="22"/>
          <w:szCs w:val="16"/>
        </w:rPr>
      </w:pPr>
      <w:r w:rsidRPr="003C6B9F">
        <w:rPr>
          <w:rFonts w:cs="Times New Roman"/>
          <w:b w:val="0"/>
          <w:bCs/>
          <w:sz w:val="22"/>
          <w:szCs w:val="16"/>
        </w:rPr>
        <w:lastRenderedPageBreak/>
        <w:t xml:space="preserve">Table </w:t>
      </w:r>
      <w:r w:rsidRPr="003C6B9F">
        <w:rPr>
          <w:rFonts w:cs="Times New Roman"/>
          <w:b w:val="0"/>
          <w:bCs/>
          <w:sz w:val="22"/>
          <w:szCs w:val="16"/>
        </w:rPr>
        <w:fldChar w:fldCharType="begin"/>
      </w:r>
      <w:r w:rsidRPr="003C6B9F">
        <w:rPr>
          <w:rFonts w:cs="Times New Roman"/>
          <w:b w:val="0"/>
          <w:bCs/>
          <w:sz w:val="22"/>
          <w:szCs w:val="16"/>
        </w:rPr>
        <w:instrText xml:space="preserve"> SEQ Table \* ARABIC </w:instrText>
      </w:r>
      <w:r w:rsidRPr="003C6B9F">
        <w:rPr>
          <w:rFonts w:cs="Times New Roman"/>
          <w:b w:val="0"/>
          <w:bCs/>
          <w:sz w:val="22"/>
          <w:szCs w:val="16"/>
        </w:rPr>
        <w:fldChar w:fldCharType="separate"/>
      </w:r>
      <w:r w:rsidR="00C40EB5" w:rsidRPr="003C6B9F">
        <w:rPr>
          <w:rFonts w:cs="Times New Roman"/>
          <w:b w:val="0"/>
          <w:bCs/>
          <w:noProof/>
          <w:sz w:val="22"/>
          <w:szCs w:val="16"/>
        </w:rPr>
        <w:t>1</w:t>
      </w:r>
      <w:r w:rsidRPr="003C6B9F">
        <w:rPr>
          <w:rFonts w:cs="Times New Roman"/>
          <w:b w:val="0"/>
          <w:bCs/>
          <w:noProof/>
          <w:sz w:val="22"/>
          <w:szCs w:val="16"/>
        </w:rPr>
        <w:fldChar w:fldCharType="end"/>
      </w:r>
      <w:r w:rsidRPr="003C6B9F">
        <w:rPr>
          <w:rFonts w:cs="Times New Roman"/>
          <w:b w:val="0"/>
          <w:bCs/>
          <w:sz w:val="22"/>
          <w:szCs w:val="16"/>
        </w:rPr>
        <w:t xml:space="preserve"> Case study data</w:t>
      </w:r>
    </w:p>
    <w:tbl>
      <w:tblPr>
        <w:tblStyle w:val="TableGrid"/>
        <w:tblW w:w="0" w:type="auto"/>
        <w:tblLook w:val="04A0" w:firstRow="1" w:lastRow="0" w:firstColumn="1" w:lastColumn="0" w:noHBand="0" w:noVBand="1"/>
      </w:tblPr>
      <w:tblGrid>
        <w:gridCol w:w="2337"/>
        <w:gridCol w:w="2337"/>
        <w:gridCol w:w="2338"/>
        <w:gridCol w:w="2338"/>
      </w:tblGrid>
      <w:tr w:rsidR="007A420B" w:rsidRPr="003C6B9F" w14:paraId="78232123" w14:textId="77777777" w:rsidTr="00BC172B">
        <w:tc>
          <w:tcPr>
            <w:tcW w:w="2337" w:type="dxa"/>
            <w:shd w:val="clear" w:color="auto" w:fill="D9D9D9" w:themeFill="background1" w:themeFillShade="D9"/>
          </w:tcPr>
          <w:p w14:paraId="42D2BF5C" w14:textId="32A69FDD" w:rsidR="007A420B" w:rsidRPr="003C6B9F" w:rsidRDefault="007A420B" w:rsidP="29C72F73">
            <w:pPr>
              <w:rPr>
                <w:rFonts w:cs="Times New Roman"/>
                <w:b/>
                <w:bCs/>
              </w:rPr>
            </w:pPr>
            <w:r w:rsidRPr="003C6B9F">
              <w:rPr>
                <w:rFonts w:cs="Times New Roman"/>
                <w:b/>
                <w:bCs/>
              </w:rPr>
              <w:t>Case Study Portfolio</w:t>
            </w:r>
          </w:p>
        </w:tc>
        <w:tc>
          <w:tcPr>
            <w:tcW w:w="2337" w:type="dxa"/>
            <w:shd w:val="clear" w:color="auto" w:fill="D9D9D9" w:themeFill="background1" w:themeFillShade="D9"/>
          </w:tcPr>
          <w:p w14:paraId="2A03FFAB" w14:textId="24B627A7" w:rsidR="007A420B" w:rsidRPr="003C6B9F" w:rsidRDefault="00334F31" w:rsidP="29C72F73">
            <w:pPr>
              <w:rPr>
                <w:rFonts w:cs="Times New Roman"/>
                <w:b/>
                <w:bCs/>
              </w:rPr>
            </w:pPr>
            <w:r w:rsidRPr="003C6B9F">
              <w:rPr>
                <w:rFonts w:cs="Times New Roman"/>
                <w:b/>
                <w:bCs/>
              </w:rPr>
              <w:t xml:space="preserve">Asset Owner </w:t>
            </w:r>
            <w:r w:rsidR="00F74BCA" w:rsidRPr="003C6B9F">
              <w:rPr>
                <w:rFonts w:cs="Times New Roman"/>
                <w:b/>
                <w:bCs/>
              </w:rPr>
              <w:t>1</w:t>
            </w:r>
          </w:p>
        </w:tc>
        <w:tc>
          <w:tcPr>
            <w:tcW w:w="2338" w:type="dxa"/>
            <w:shd w:val="clear" w:color="auto" w:fill="D9D9D9" w:themeFill="background1" w:themeFillShade="D9"/>
          </w:tcPr>
          <w:p w14:paraId="76741564" w14:textId="7B1BECA2" w:rsidR="007A420B" w:rsidRPr="003C6B9F" w:rsidRDefault="00334F31" w:rsidP="29C72F73">
            <w:pPr>
              <w:rPr>
                <w:rFonts w:cs="Times New Roman"/>
                <w:b/>
                <w:bCs/>
              </w:rPr>
            </w:pPr>
            <w:r w:rsidRPr="003C6B9F">
              <w:rPr>
                <w:rFonts w:cs="Times New Roman"/>
                <w:b/>
                <w:bCs/>
              </w:rPr>
              <w:t xml:space="preserve">Asset Owner </w:t>
            </w:r>
            <w:r w:rsidR="00F74BCA" w:rsidRPr="003C6B9F">
              <w:rPr>
                <w:rFonts w:cs="Times New Roman"/>
                <w:b/>
                <w:bCs/>
              </w:rPr>
              <w:t>2</w:t>
            </w:r>
          </w:p>
        </w:tc>
        <w:tc>
          <w:tcPr>
            <w:tcW w:w="2338" w:type="dxa"/>
            <w:shd w:val="clear" w:color="auto" w:fill="D9D9D9" w:themeFill="background1" w:themeFillShade="D9"/>
          </w:tcPr>
          <w:p w14:paraId="5E658819" w14:textId="7952012D" w:rsidR="007A420B" w:rsidRPr="003C6B9F" w:rsidRDefault="00334F31" w:rsidP="29C72F73">
            <w:pPr>
              <w:rPr>
                <w:rFonts w:cs="Times New Roman"/>
                <w:b/>
                <w:bCs/>
              </w:rPr>
            </w:pPr>
            <w:r w:rsidRPr="003C6B9F">
              <w:rPr>
                <w:rFonts w:cs="Times New Roman"/>
                <w:b/>
                <w:bCs/>
              </w:rPr>
              <w:t xml:space="preserve">Asset Owner </w:t>
            </w:r>
            <w:r w:rsidR="00F74BCA" w:rsidRPr="003C6B9F">
              <w:rPr>
                <w:rFonts w:cs="Times New Roman"/>
                <w:b/>
                <w:bCs/>
              </w:rPr>
              <w:t>3</w:t>
            </w:r>
          </w:p>
        </w:tc>
      </w:tr>
      <w:tr w:rsidR="007A420B" w:rsidRPr="003C6B9F" w14:paraId="60E3EB26" w14:textId="77777777" w:rsidTr="007A420B">
        <w:tc>
          <w:tcPr>
            <w:tcW w:w="2337" w:type="dxa"/>
          </w:tcPr>
          <w:p w14:paraId="76BB37CB" w14:textId="46A63510" w:rsidR="007A420B" w:rsidRPr="003C6B9F" w:rsidRDefault="007A420B" w:rsidP="29C72F73">
            <w:pPr>
              <w:rPr>
                <w:rFonts w:cs="Times New Roman"/>
                <w:b/>
                <w:bCs/>
              </w:rPr>
            </w:pPr>
            <w:r w:rsidRPr="003C6B9F">
              <w:rPr>
                <w:rFonts w:cs="Times New Roman"/>
                <w:b/>
                <w:bCs/>
              </w:rPr>
              <w:t>Assets</w:t>
            </w:r>
          </w:p>
        </w:tc>
        <w:tc>
          <w:tcPr>
            <w:tcW w:w="2337" w:type="dxa"/>
          </w:tcPr>
          <w:p w14:paraId="7F13FCA5" w14:textId="77777777" w:rsidR="007A420B" w:rsidRPr="003C6B9F" w:rsidRDefault="007A420B" w:rsidP="29C72F73">
            <w:pPr>
              <w:rPr>
                <w:rFonts w:cs="Times New Roman"/>
              </w:rPr>
            </w:pPr>
            <w:r w:rsidRPr="003C6B9F">
              <w:rPr>
                <w:rFonts w:cs="Times New Roman"/>
              </w:rPr>
              <w:t>9 Offices</w:t>
            </w:r>
          </w:p>
          <w:p w14:paraId="07585F29" w14:textId="46001BFB" w:rsidR="007A420B" w:rsidRPr="003C6B9F" w:rsidRDefault="00EE4610" w:rsidP="29C72F73">
            <w:pPr>
              <w:rPr>
                <w:rFonts w:cs="Times New Roman"/>
              </w:rPr>
            </w:pPr>
            <w:r w:rsidRPr="003C6B9F">
              <w:rPr>
                <w:rFonts w:cs="Times New Roman"/>
              </w:rPr>
              <w:t>2</w:t>
            </w:r>
            <w:r w:rsidR="007A420B" w:rsidRPr="003C6B9F">
              <w:rPr>
                <w:rFonts w:cs="Times New Roman"/>
              </w:rPr>
              <w:t xml:space="preserve"> Retail</w:t>
            </w:r>
          </w:p>
        </w:tc>
        <w:tc>
          <w:tcPr>
            <w:tcW w:w="2338" w:type="dxa"/>
          </w:tcPr>
          <w:p w14:paraId="628A9E07" w14:textId="77777777" w:rsidR="007A420B" w:rsidRPr="003C6B9F" w:rsidRDefault="007A420B" w:rsidP="29C72F73">
            <w:pPr>
              <w:rPr>
                <w:rFonts w:cs="Times New Roman"/>
              </w:rPr>
            </w:pPr>
            <w:r w:rsidRPr="003C6B9F">
              <w:rPr>
                <w:rFonts w:cs="Times New Roman"/>
              </w:rPr>
              <w:t>24 Offices</w:t>
            </w:r>
          </w:p>
          <w:p w14:paraId="64475779" w14:textId="049C1DF6" w:rsidR="007A420B" w:rsidRPr="003C6B9F" w:rsidRDefault="007A420B" w:rsidP="29C72F73">
            <w:pPr>
              <w:rPr>
                <w:rFonts w:cs="Times New Roman"/>
              </w:rPr>
            </w:pPr>
            <w:r w:rsidRPr="003C6B9F">
              <w:rPr>
                <w:rFonts w:cs="Times New Roman"/>
              </w:rPr>
              <w:t>12 Retail</w:t>
            </w:r>
          </w:p>
        </w:tc>
        <w:tc>
          <w:tcPr>
            <w:tcW w:w="2338" w:type="dxa"/>
          </w:tcPr>
          <w:p w14:paraId="1FF3A3E9" w14:textId="2E0BCF76" w:rsidR="007A420B" w:rsidRPr="003C6B9F" w:rsidRDefault="007A420B" w:rsidP="29C72F73">
            <w:pPr>
              <w:rPr>
                <w:rFonts w:cs="Times New Roman"/>
              </w:rPr>
            </w:pPr>
            <w:r w:rsidRPr="003C6B9F">
              <w:rPr>
                <w:rFonts w:cs="Times New Roman"/>
              </w:rPr>
              <w:t>23 Offices</w:t>
            </w:r>
          </w:p>
        </w:tc>
      </w:tr>
      <w:tr w:rsidR="007A420B" w:rsidRPr="003C6B9F" w14:paraId="404DDD33" w14:textId="77777777" w:rsidTr="007A420B">
        <w:tc>
          <w:tcPr>
            <w:tcW w:w="2337" w:type="dxa"/>
          </w:tcPr>
          <w:p w14:paraId="22C0F1EA" w14:textId="7698B0E5" w:rsidR="007A420B" w:rsidRPr="003C6B9F" w:rsidRDefault="007A420B" w:rsidP="29C72F73">
            <w:pPr>
              <w:rPr>
                <w:rFonts w:cs="Times New Roman"/>
                <w:b/>
                <w:bCs/>
              </w:rPr>
            </w:pPr>
            <w:r w:rsidRPr="003C6B9F">
              <w:rPr>
                <w:rFonts w:cs="Times New Roman"/>
                <w:b/>
                <w:bCs/>
              </w:rPr>
              <w:t>Locations</w:t>
            </w:r>
          </w:p>
        </w:tc>
        <w:tc>
          <w:tcPr>
            <w:tcW w:w="2337" w:type="dxa"/>
          </w:tcPr>
          <w:p w14:paraId="7355A9A1" w14:textId="77777777" w:rsidR="007A420B" w:rsidRPr="003C6B9F" w:rsidRDefault="007A420B" w:rsidP="007A420B">
            <w:pPr>
              <w:rPr>
                <w:rFonts w:cs="Times New Roman"/>
                <w:lang w:val="en-AU"/>
              </w:rPr>
            </w:pPr>
            <w:r w:rsidRPr="003C6B9F">
              <w:rPr>
                <w:rFonts w:cs="Times New Roman"/>
              </w:rPr>
              <w:t>Sydney</w:t>
            </w:r>
          </w:p>
          <w:p w14:paraId="3859762E" w14:textId="77777777" w:rsidR="007A420B" w:rsidRPr="003C6B9F" w:rsidRDefault="007A420B" w:rsidP="007A420B">
            <w:pPr>
              <w:rPr>
                <w:rFonts w:cs="Times New Roman"/>
                <w:lang w:val="en-AU"/>
              </w:rPr>
            </w:pPr>
            <w:r w:rsidRPr="003C6B9F">
              <w:rPr>
                <w:rFonts w:cs="Times New Roman"/>
              </w:rPr>
              <w:t xml:space="preserve">Melbourne </w:t>
            </w:r>
          </w:p>
          <w:p w14:paraId="5B17A3BE" w14:textId="77777777" w:rsidR="007A420B" w:rsidRPr="003C6B9F" w:rsidRDefault="007A420B" w:rsidP="007A420B">
            <w:pPr>
              <w:rPr>
                <w:rFonts w:cs="Times New Roman"/>
                <w:lang w:val="en-AU"/>
              </w:rPr>
            </w:pPr>
            <w:r w:rsidRPr="003C6B9F">
              <w:rPr>
                <w:rFonts w:cs="Times New Roman"/>
              </w:rPr>
              <w:t>Gold Coast</w:t>
            </w:r>
          </w:p>
          <w:p w14:paraId="34F1927B" w14:textId="77777777" w:rsidR="007A420B" w:rsidRPr="003C6B9F" w:rsidRDefault="007A420B" w:rsidP="007A420B">
            <w:pPr>
              <w:rPr>
                <w:rFonts w:cs="Times New Roman"/>
                <w:lang w:val="en-AU"/>
              </w:rPr>
            </w:pPr>
            <w:r w:rsidRPr="003C6B9F">
              <w:rPr>
                <w:rFonts w:cs="Times New Roman"/>
              </w:rPr>
              <w:t>Perth</w:t>
            </w:r>
          </w:p>
          <w:p w14:paraId="5F0D6111" w14:textId="67434BB3" w:rsidR="007A420B" w:rsidRPr="003C6B9F" w:rsidRDefault="007A420B" w:rsidP="29C72F73">
            <w:pPr>
              <w:rPr>
                <w:rFonts w:cs="Times New Roman"/>
                <w:lang w:val="en-AU"/>
              </w:rPr>
            </w:pPr>
            <w:r w:rsidRPr="003C6B9F">
              <w:rPr>
                <w:rFonts w:cs="Times New Roman"/>
              </w:rPr>
              <w:t>Brisbane</w:t>
            </w:r>
          </w:p>
        </w:tc>
        <w:tc>
          <w:tcPr>
            <w:tcW w:w="2338" w:type="dxa"/>
          </w:tcPr>
          <w:p w14:paraId="2782DA86" w14:textId="77777777" w:rsidR="007A420B" w:rsidRPr="003C6B9F" w:rsidRDefault="007A420B" w:rsidP="007A420B">
            <w:pPr>
              <w:rPr>
                <w:rFonts w:cs="Times New Roman"/>
                <w:lang w:val="en-AU"/>
              </w:rPr>
            </w:pPr>
            <w:r w:rsidRPr="003C6B9F">
              <w:rPr>
                <w:rFonts w:cs="Times New Roman"/>
              </w:rPr>
              <w:t>Sydney</w:t>
            </w:r>
          </w:p>
          <w:p w14:paraId="6206023F" w14:textId="77777777" w:rsidR="007A420B" w:rsidRPr="003C6B9F" w:rsidRDefault="007A420B" w:rsidP="007A420B">
            <w:pPr>
              <w:rPr>
                <w:rFonts w:cs="Times New Roman"/>
                <w:lang w:val="en-AU"/>
              </w:rPr>
            </w:pPr>
            <w:r w:rsidRPr="003C6B9F">
              <w:rPr>
                <w:rFonts w:cs="Times New Roman"/>
              </w:rPr>
              <w:t xml:space="preserve">Melbourne </w:t>
            </w:r>
          </w:p>
          <w:p w14:paraId="1B91143D" w14:textId="7D011D92" w:rsidR="007A420B" w:rsidRPr="003C6B9F" w:rsidRDefault="007A420B" w:rsidP="007A420B">
            <w:pPr>
              <w:rPr>
                <w:rFonts w:cs="Times New Roman"/>
                <w:lang w:val="en-AU"/>
              </w:rPr>
            </w:pPr>
            <w:r w:rsidRPr="003C6B9F">
              <w:rPr>
                <w:rFonts w:cs="Times New Roman"/>
              </w:rPr>
              <w:t>Northern Territory</w:t>
            </w:r>
          </w:p>
          <w:p w14:paraId="27C22A79" w14:textId="77777777" w:rsidR="007A420B" w:rsidRPr="003C6B9F" w:rsidRDefault="007A420B" w:rsidP="007A420B">
            <w:pPr>
              <w:rPr>
                <w:rFonts w:cs="Times New Roman"/>
                <w:lang w:val="en-AU"/>
              </w:rPr>
            </w:pPr>
            <w:r w:rsidRPr="003C6B9F">
              <w:rPr>
                <w:rFonts w:cs="Times New Roman"/>
              </w:rPr>
              <w:t>Brisbane</w:t>
            </w:r>
          </w:p>
          <w:p w14:paraId="1F51B8D2" w14:textId="77777777" w:rsidR="007A420B" w:rsidRPr="003C6B9F" w:rsidRDefault="007A420B" w:rsidP="29C72F73">
            <w:pPr>
              <w:rPr>
                <w:rFonts w:cs="Times New Roman"/>
              </w:rPr>
            </w:pPr>
          </w:p>
        </w:tc>
        <w:tc>
          <w:tcPr>
            <w:tcW w:w="2338" w:type="dxa"/>
          </w:tcPr>
          <w:p w14:paraId="3E5268D0" w14:textId="77777777" w:rsidR="007A420B" w:rsidRPr="003C6B9F" w:rsidRDefault="007A420B" w:rsidP="007A420B">
            <w:pPr>
              <w:rPr>
                <w:rFonts w:cs="Times New Roman"/>
                <w:lang w:val="en-AU"/>
              </w:rPr>
            </w:pPr>
            <w:r w:rsidRPr="003C6B9F">
              <w:rPr>
                <w:rFonts w:cs="Times New Roman"/>
              </w:rPr>
              <w:t>Sydney</w:t>
            </w:r>
          </w:p>
          <w:p w14:paraId="7A8BC575" w14:textId="77777777" w:rsidR="007A420B" w:rsidRPr="003C6B9F" w:rsidRDefault="007A420B" w:rsidP="007A420B">
            <w:pPr>
              <w:rPr>
                <w:rFonts w:cs="Times New Roman"/>
                <w:lang w:val="en-AU"/>
              </w:rPr>
            </w:pPr>
            <w:r w:rsidRPr="003C6B9F">
              <w:rPr>
                <w:rFonts w:cs="Times New Roman"/>
              </w:rPr>
              <w:t xml:space="preserve">Melbourne </w:t>
            </w:r>
          </w:p>
          <w:p w14:paraId="5F2307CC" w14:textId="77777777" w:rsidR="007A420B" w:rsidRPr="003C6B9F" w:rsidRDefault="007A420B" w:rsidP="007A420B">
            <w:pPr>
              <w:rPr>
                <w:rFonts w:cs="Times New Roman"/>
                <w:lang w:val="en-AU"/>
              </w:rPr>
            </w:pPr>
            <w:r w:rsidRPr="003C6B9F">
              <w:rPr>
                <w:rFonts w:cs="Times New Roman"/>
              </w:rPr>
              <w:t>Perth</w:t>
            </w:r>
          </w:p>
          <w:p w14:paraId="5DEF0555" w14:textId="77777777" w:rsidR="007A420B" w:rsidRPr="003C6B9F" w:rsidRDefault="007A420B" w:rsidP="007A420B">
            <w:pPr>
              <w:rPr>
                <w:rFonts w:cs="Times New Roman"/>
                <w:lang w:val="en-AU"/>
              </w:rPr>
            </w:pPr>
            <w:r w:rsidRPr="003C6B9F">
              <w:rPr>
                <w:rFonts w:cs="Times New Roman"/>
              </w:rPr>
              <w:t>Brisbane</w:t>
            </w:r>
          </w:p>
          <w:p w14:paraId="1D2C1C7E" w14:textId="77777777" w:rsidR="007A420B" w:rsidRPr="003C6B9F" w:rsidRDefault="007A420B" w:rsidP="29C72F73">
            <w:pPr>
              <w:rPr>
                <w:rFonts w:cs="Times New Roman"/>
              </w:rPr>
            </w:pPr>
          </w:p>
        </w:tc>
      </w:tr>
      <w:tr w:rsidR="00F74BCA" w:rsidRPr="003C6B9F" w14:paraId="2C8E28FF" w14:textId="77777777" w:rsidTr="007A420B">
        <w:tc>
          <w:tcPr>
            <w:tcW w:w="2337" w:type="dxa"/>
          </w:tcPr>
          <w:p w14:paraId="3A53CA04" w14:textId="50C2BEB0" w:rsidR="00F74BCA" w:rsidRPr="003C6B9F" w:rsidRDefault="00F74BCA" w:rsidP="29C72F73">
            <w:pPr>
              <w:rPr>
                <w:rFonts w:cs="Times New Roman"/>
                <w:b/>
                <w:bCs/>
              </w:rPr>
            </w:pPr>
            <w:r w:rsidRPr="003C6B9F">
              <w:rPr>
                <w:rFonts w:cs="Times New Roman"/>
                <w:b/>
                <w:bCs/>
              </w:rPr>
              <w:t xml:space="preserve">Collected data </w:t>
            </w:r>
          </w:p>
        </w:tc>
        <w:tc>
          <w:tcPr>
            <w:tcW w:w="2337" w:type="dxa"/>
          </w:tcPr>
          <w:p w14:paraId="5F8CD168" w14:textId="77777777" w:rsidR="00F74BCA" w:rsidRPr="003C6B9F" w:rsidRDefault="00F74BCA" w:rsidP="007A420B">
            <w:pPr>
              <w:rPr>
                <w:rFonts w:cs="Times New Roman"/>
              </w:rPr>
            </w:pPr>
            <w:r w:rsidRPr="003C6B9F">
              <w:rPr>
                <w:rFonts w:cs="Times New Roman"/>
              </w:rPr>
              <w:t>Reporting period</w:t>
            </w:r>
          </w:p>
          <w:p w14:paraId="0B216F40" w14:textId="77777777" w:rsidR="00F74BCA" w:rsidRPr="003C6B9F" w:rsidRDefault="00F74BCA" w:rsidP="007A420B">
            <w:pPr>
              <w:rPr>
                <w:rFonts w:cs="Times New Roman"/>
              </w:rPr>
            </w:pPr>
            <w:r w:rsidRPr="003C6B9F">
              <w:rPr>
                <w:rFonts w:cs="Times New Roman"/>
              </w:rPr>
              <w:t>Total gross internal area (m</w:t>
            </w:r>
            <w:r w:rsidRPr="003C6B9F">
              <w:rPr>
                <w:rFonts w:cs="Times New Roman"/>
                <w:vertAlign w:val="superscript"/>
              </w:rPr>
              <w:t>2</w:t>
            </w:r>
            <w:r w:rsidRPr="003C6B9F">
              <w:rPr>
                <w:rFonts w:cs="Times New Roman"/>
              </w:rPr>
              <w:t>)</w:t>
            </w:r>
          </w:p>
          <w:p w14:paraId="4EEB98C2" w14:textId="77777777" w:rsidR="00F74BCA" w:rsidRPr="003C6B9F" w:rsidRDefault="00F74BCA" w:rsidP="007A420B">
            <w:pPr>
              <w:rPr>
                <w:rFonts w:cs="Times New Roman"/>
              </w:rPr>
            </w:pPr>
            <w:r w:rsidRPr="003C6B9F">
              <w:rPr>
                <w:rFonts w:cs="Times New Roman"/>
              </w:rPr>
              <w:t>Grid electricity usage (kWh)</w:t>
            </w:r>
          </w:p>
          <w:p w14:paraId="0CB4858B" w14:textId="77777777" w:rsidR="00F74BCA" w:rsidRPr="003C6B9F" w:rsidRDefault="00F74BCA" w:rsidP="007A420B">
            <w:pPr>
              <w:rPr>
                <w:rFonts w:cs="Times New Roman"/>
              </w:rPr>
            </w:pPr>
            <w:r w:rsidRPr="003C6B9F">
              <w:rPr>
                <w:rFonts w:cs="Times New Roman"/>
              </w:rPr>
              <w:t>Natural gas usage (kWh)</w:t>
            </w:r>
          </w:p>
          <w:p w14:paraId="3B79D36B" w14:textId="1F2D97D9" w:rsidR="00F74BCA" w:rsidRPr="003C6B9F" w:rsidRDefault="00F74BCA" w:rsidP="007A420B">
            <w:pPr>
              <w:rPr>
                <w:rFonts w:cs="Times New Roman"/>
              </w:rPr>
            </w:pPr>
            <w:r w:rsidRPr="003C6B9F">
              <w:rPr>
                <w:rFonts w:cs="Times New Roman"/>
              </w:rPr>
              <w:t>Renewable energy usage (kWh)</w:t>
            </w:r>
          </w:p>
        </w:tc>
        <w:tc>
          <w:tcPr>
            <w:tcW w:w="2338" w:type="dxa"/>
          </w:tcPr>
          <w:p w14:paraId="60EDEC47" w14:textId="77777777" w:rsidR="00F74BCA" w:rsidRPr="003C6B9F" w:rsidRDefault="00F74BCA" w:rsidP="00F74BCA">
            <w:pPr>
              <w:rPr>
                <w:rFonts w:cs="Times New Roman"/>
              </w:rPr>
            </w:pPr>
            <w:r w:rsidRPr="003C6B9F">
              <w:rPr>
                <w:rFonts w:cs="Times New Roman"/>
              </w:rPr>
              <w:t>Reporting period</w:t>
            </w:r>
          </w:p>
          <w:p w14:paraId="228E3883" w14:textId="77777777" w:rsidR="00F74BCA" w:rsidRPr="003C6B9F" w:rsidRDefault="00F74BCA" w:rsidP="00F74BCA">
            <w:pPr>
              <w:rPr>
                <w:rFonts w:cs="Times New Roman"/>
              </w:rPr>
            </w:pPr>
            <w:r w:rsidRPr="003C6B9F">
              <w:rPr>
                <w:rFonts w:cs="Times New Roman"/>
              </w:rPr>
              <w:t>Total gross internal area (m</w:t>
            </w:r>
            <w:r w:rsidRPr="003C6B9F">
              <w:rPr>
                <w:rFonts w:cs="Times New Roman"/>
                <w:vertAlign w:val="superscript"/>
              </w:rPr>
              <w:t>2</w:t>
            </w:r>
            <w:r w:rsidRPr="003C6B9F">
              <w:rPr>
                <w:rFonts w:cs="Times New Roman"/>
              </w:rPr>
              <w:t>)</w:t>
            </w:r>
          </w:p>
          <w:p w14:paraId="451AAF77" w14:textId="77777777" w:rsidR="00F74BCA" w:rsidRPr="003C6B9F" w:rsidRDefault="00F74BCA" w:rsidP="00F74BCA">
            <w:pPr>
              <w:rPr>
                <w:rFonts w:cs="Times New Roman"/>
              </w:rPr>
            </w:pPr>
            <w:r w:rsidRPr="003C6B9F">
              <w:rPr>
                <w:rFonts w:cs="Times New Roman"/>
              </w:rPr>
              <w:t>Grid electricity usage (kWh)</w:t>
            </w:r>
          </w:p>
          <w:p w14:paraId="47F14419" w14:textId="0DCE5B89" w:rsidR="00F74BCA" w:rsidRPr="003C6B9F" w:rsidRDefault="00F74BCA" w:rsidP="00F74BCA">
            <w:pPr>
              <w:rPr>
                <w:rFonts w:cs="Times New Roman"/>
              </w:rPr>
            </w:pPr>
            <w:r w:rsidRPr="003C6B9F">
              <w:rPr>
                <w:rFonts w:cs="Times New Roman"/>
              </w:rPr>
              <w:t>Renewable energy usage (kWh)</w:t>
            </w:r>
          </w:p>
          <w:p w14:paraId="4BB09327" w14:textId="77777777" w:rsidR="00F74BCA" w:rsidRPr="003C6B9F" w:rsidRDefault="00F74BCA" w:rsidP="007A420B">
            <w:pPr>
              <w:rPr>
                <w:rFonts w:cs="Times New Roman"/>
              </w:rPr>
            </w:pPr>
          </w:p>
        </w:tc>
        <w:tc>
          <w:tcPr>
            <w:tcW w:w="2338" w:type="dxa"/>
          </w:tcPr>
          <w:p w14:paraId="2BCA32B6" w14:textId="77777777" w:rsidR="00F74BCA" w:rsidRPr="003C6B9F" w:rsidRDefault="00F74BCA" w:rsidP="00F74BCA">
            <w:pPr>
              <w:rPr>
                <w:rFonts w:cs="Times New Roman"/>
              </w:rPr>
            </w:pPr>
            <w:r w:rsidRPr="003C6B9F">
              <w:rPr>
                <w:rFonts w:cs="Times New Roman"/>
              </w:rPr>
              <w:t>Reporting period</w:t>
            </w:r>
          </w:p>
          <w:p w14:paraId="070838BA" w14:textId="77777777" w:rsidR="00F74BCA" w:rsidRPr="003C6B9F" w:rsidRDefault="00F74BCA" w:rsidP="00F74BCA">
            <w:pPr>
              <w:rPr>
                <w:rFonts w:cs="Times New Roman"/>
              </w:rPr>
            </w:pPr>
            <w:r w:rsidRPr="003C6B9F">
              <w:rPr>
                <w:rFonts w:cs="Times New Roman"/>
              </w:rPr>
              <w:t>Total gross internal area (m</w:t>
            </w:r>
            <w:r w:rsidRPr="003C6B9F">
              <w:rPr>
                <w:rFonts w:cs="Times New Roman"/>
                <w:vertAlign w:val="superscript"/>
              </w:rPr>
              <w:t>2</w:t>
            </w:r>
            <w:r w:rsidRPr="003C6B9F">
              <w:rPr>
                <w:rFonts w:cs="Times New Roman"/>
              </w:rPr>
              <w:t>)</w:t>
            </w:r>
          </w:p>
          <w:p w14:paraId="6174EB6B" w14:textId="77777777" w:rsidR="00F74BCA" w:rsidRPr="003C6B9F" w:rsidRDefault="00F74BCA" w:rsidP="00F74BCA">
            <w:pPr>
              <w:rPr>
                <w:rFonts w:cs="Times New Roman"/>
              </w:rPr>
            </w:pPr>
            <w:r w:rsidRPr="003C6B9F">
              <w:rPr>
                <w:rFonts w:cs="Times New Roman"/>
              </w:rPr>
              <w:t>Grid electricity usage (kWh)</w:t>
            </w:r>
          </w:p>
          <w:p w14:paraId="63FE3C6A" w14:textId="77777777" w:rsidR="00F74BCA" w:rsidRPr="003C6B9F" w:rsidRDefault="00F74BCA" w:rsidP="00F74BCA">
            <w:pPr>
              <w:rPr>
                <w:rFonts w:cs="Times New Roman"/>
              </w:rPr>
            </w:pPr>
            <w:r w:rsidRPr="003C6B9F">
              <w:rPr>
                <w:rFonts w:cs="Times New Roman"/>
              </w:rPr>
              <w:t>Natural gas usage (kWh)</w:t>
            </w:r>
          </w:p>
          <w:p w14:paraId="7078C3D9" w14:textId="77777777" w:rsidR="00F74BCA" w:rsidRPr="003C6B9F" w:rsidRDefault="00F74BCA" w:rsidP="00F74BCA">
            <w:pPr>
              <w:rPr>
                <w:rFonts w:cs="Times New Roman"/>
              </w:rPr>
            </w:pPr>
          </w:p>
          <w:p w14:paraId="500A0C7E" w14:textId="77777777" w:rsidR="00F74BCA" w:rsidRPr="003C6B9F" w:rsidRDefault="00F74BCA" w:rsidP="007A420B">
            <w:pPr>
              <w:rPr>
                <w:rFonts w:cs="Times New Roman"/>
              </w:rPr>
            </w:pPr>
          </w:p>
        </w:tc>
      </w:tr>
      <w:tr w:rsidR="007A420B" w:rsidRPr="003C6B9F" w14:paraId="15C2595C" w14:textId="77777777" w:rsidTr="007A420B">
        <w:tc>
          <w:tcPr>
            <w:tcW w:w="2337" w:type="dxa"/>
          </w:tcPr>
          <w:p w14:paraId="062BB5B0" w14:textId="28AD1D5A" w:rsidR="007A420B" w:rsidRPr="003C6B9F" w:rsidRDefault="007A420B" w:rsidP="29C72F73">
            <w:pPr>
              <w:rPr>
                <w:rFonts w:cs="Times New Roman"/>
                <w:b/>
                <w:bCs/>
              </w:rPr>
            </w:pPr>
            <w:r w:rsidRPr="003C6B9F">
              <w:rPr>
                <w:rFonts w:cs="Times New Roman"/>
                <w:b/>
                <w:bCs/>
              </w:rPr>
              <w:t>Missing data</w:t>
            </w:r>
          </w:p>
        </w:tc>
        <w:tc>
          <w:tcPr>
            <w:tcW w:w="2337" w:type="dxa"/>
          </w:tcPr>
          <w:p w14:paraId="1AD71AFF" w14:textId="6E01088D" w:rsidR="007A420B" w:rsidRPr="003C6B9F" w:rsidRDefault="007A3FFC" w:rsidP="007A420B">
            <w:pPr>
              <w:rPr>
                <w:rFonts w:cs="Times New Roman"/>
                <w:lang w:val="en-AU"/>
              </w:rPr>
            </w:pPr>
            <w:r w:rsidRPr="003C6B9F">
              <w:rPr>
                <w:rFonts w:cs="Times New Roman"/>
              </w:rPr>
              <w:t>Average annual vacant area (m</w:t>
            </w:r>
            <w:r w:rsidRPr="003C6B9F">
              <w:rPr>
                <w:rFonts w:cs="Times New Roman"/>
                <w:vertAlign w:val="superscript"/>
              </w:rPr>
              <w:t>2</w:t>
            </w:r>
            <w:r w:rsidRPr="003C6B9F">
              <w:rPr>
                <w:rFonts w:cs="Times New Roman"/>
              </w:rPr>
              <w:t>)</w:t>
            </w:r>
          </w:p>
          <w:p w14:paraId="55E5D157" w14:textId="77777777" w:rsidR="007A420B" w:rsidRPr="003C6B9F" w:rsidRDefault="007A420B" w:rsidP="29C72F73">
            <w:pPr>
              <w:rPr>
                <w:rFonts w:cs="Times New Roman"/>
              </w:rPr>
            </w:pPr>
          </w:p>
        </w:tc>
        <w:tc>
          <w:tcPr>
            <w:tcW w:w="2338" w:type="dxa"/>
          </w:tcPr>
          <w:p w14:paraId="54BC2AA8" w14:textId="77777777" w:rsidR="007A420B" w:rsidRPr="003C6B9F" w:rsidRDefault="007A420B" w:rsidP="007A420B">
            <w:pPr>
              <w:rPr>
                <w:rFonts w:cs="Times New Roman"/>
                <w:lang w:val="en-AU"/>
              </w:rPr>
            </w:pPr>
            <w:r w:rsidRPr="003C6B9F">
              <w:rPr>
                <w:rFonts w:cs="Times New Roman"/>
              </w:rPr>
              <w:t>Natural Gas</w:t>
            </w:r>
          </w:p>
          <w:p w14:paraId="4096CBF5" w14:textId="77777777" w:rsidR="007A420B" w:rsidRPr="003C6B9F" w:rsidRDefault="007A420B" w:rsidP="29C72F73">
            <w:pPr>
              <w:rPr>
                <w:rFonts w:cs="Times New Roman"/>
              </w:rPr>
            </w:pPr>
            <w:r w:rsidRPr="003C6B9F">
              <w:rPr>
                <w:rFonts w:cs="Times New Roman"/>
              </w:rPr>
              <w:t>Limited Renewable Energy</w:t>
            </w:r>
          </w:p>
          <w:p w14:paraId="6C9CDD7B" w14:textId="54F2D8BD" w:rsidR="007A3FFC" w:rsidRPr="003C6B9F" w:rsidRDefault="007A3FFC" w:rsidP="29C72F73">
            <w:pPr>
              <w:rPr>
                <w:rFonts w:cs="Times New Roman"/>
                <w:lang w:val="en-AU"/>
              </w:rPr>
            </w:pPr>
            <w:r w:rsidRPr="003C6B9F">
              <w:rPr>
                <w:rFonts w:cs="Times New Roman"/>
              </w:rPr>
              <w:t>Average annual vacant area (m</w:t>
            </w:r>
            <w:r w:rsidRPr="003C6B9F">
              <w:rPr>
                <w:rFonts w:cs="Times New Roman"/>
                <w:vertAlign w:val="superscript"/>
              </w:rPr>
              <w:t>2</w:t>
            </w:r>
            <w:r w:rsidRPr="003C6B9F">
              <w:rPr>
                <w:rFonts w:cs="Times New Roman"/>
              </w:rPr>
              <w:t>)</w:t>
            </w:r>
          </w:p>
        </w:tc>
        <w:tc>
          <w:tcPr>
            <w:tcW w:w="2338" w:type="dxa"/>
          </w:tcPr>
          <w:p w14:paraId="209B5719" w14:textId="77777777" w:rsidR="007A420B" w:rsidRPr="003C6B9F" w:rsidRDefault="007A420B" w:rsidP="007A420B">
            <w:pPr>
              <w:rPr>
                <w:rFonts w:cs="Times New Roman"/>
              </w:rPr>
            </w:pPr>
            <w:r w:rsidRPr="003C6B9F">
              <w:rPr>
                <w:rFonts w:cs="Times New Roman"/>
              </w:rPr>
              <w:t>Renewable Energy</w:t>
            </w:r>
          </w:p>
          <w:p w14:paraId="2A1A5150" w14:textId="77777777" w:rsidR="007A3FFC" w:rsidRPr="003C6B9F" w:rsidRDefault="007A3FFC" w:rsidP="007A3FFC">
            <w:pPr>
              <w:rPr>
                <w:rFonts w:cs="Times New Roman"/>
                <w:lang w:val="en-AU"/>
              </w:rPr>
            </w:pPr>
            <w:r w:rsidRPr="003C6B9F">
              <w:rPr>
                <w:rFonts w:cs="Times New Roman"/>
              </w:rPr>
              <w:t>Average annual vacant area (m</w:t>
            </w:r>
            <w:r w:rsidRPr="003C6B9F">
              <w:rPr>
                <w:rFonts w:cs="Times New Roman"/>
                <w:vertAlign w:val="superscript"/>
              </w:rPr>
              <w:t>2</w:t>
            </w:r>
            <w:r w:rsidRPr="003C6B9F">
              <w:rPr>
                <w:rFonts w:cs="Times New Roman"/>
              </w:rPr>
              <w:t>)</w:t>
            </w:r>
          </w:p>
          <w:p w14:paraId="395918D4" w14:textId="77777777" w:rsidR="007A3FFC" w:rsidRPr="003C6B9F" w:rsidRDefault="007A3FFC" w:rsidP="007A420B">
            <w:pPr>
              <w:rPr>
                <w:rFonts w:cs="Times New Roman"/>
                <w:lang w:val="en-AU"/>
              </w:rPr>
            </w:pPr>
          </w:p>
          <w:p w14:paraId="58E9A095" w14:textId="77777777" w:rsidR="007A420B" w:rsidRPr="003C6B9F" w:rsidRDefault="007A420B" w:rsidP="29C72F73">
            <w:pPr>
              <w:rPr>
                <w:rFonts w:cs="Times New Roman"/>
              </w:rPr>
            </w:pPr>
          </w:p>
        </w:tc>
      </w:tr>
    </w:tbl>
    <w:p w14:paraId="04B5A196" w14:textId="77777777" w:rsidR="007A420B" w:rsidRPr="003C6B9F" w:rsidRDefault="007A420B" w:rsidP="29C72F73">
      <w:pPr>
        <w:rPr>
          <w:rFonts w:cs="Times New Roman"/>
        </w:rPr>
      </w:pPr>
    </w:p>
    <w:p w14:paraId="4100FBA7" w14:textId="2CD4D0CB" w:rsidR="000F4E1A" w:rsidRPr="003C6B9F" w:rsidRDefault="007A420B" w:rsidP="29C72F73">
      <w:pPr>
        <w:rPr>
          <w:rFonts w:cs="Times New Roman"/>
        </w:rPr>
      </w:pPr>
      <w:r w:rsidRPr="003C6B9F">
        <w:rPr>
          <w:rFonts w:cs="Times New Roman"/>
        </w:rPr>
        <w:t>The study focused primarily on the mandatory data requirements</w:t>
      </w:r>
      <w:r w:rsidR="006664C7" w:rsidRPr="003C6B9F">
        <w:rPr>
          <w:rFonts w:cs="Times New Roman"/>
        </w:rPr>
        <w:t xml:space="preserve"> in CRREM</w:t>
      </w:r>
      <w:r w:rsidR="007121C0" w:rsidRPr="003C6B9F">
        <w:rPr>
          <w:rFonts w:cs="Times New Roman"/>
        </w:rPr>
        <w:t xml:space="preserve">, as illustrated in Figure </w:t>
      </w:r>
      <w:r w:rsidR="001F7281" w:rsidRPr="003C6B9F">
        <w:rPr>
          <w:rFonts w:cs="Times New Roman"/>
        </w:rPr>
        <w:t>1</w:t>
      </w:r>
      <w:r w:rsidR="007121C0" w:rsidRPr="003C6B9F">
        <w:rPr>
          <w:rFonts w:cs="Times New Roman"/>
        </w:rPr>
        <w:t xml:space="preserve">. </w:t>
      </w:r>
      <w:r w:rsidR="007A3FFC" w:rsidRPr="003C6B9F">
        <w:rPr>
          <w:rFonts w:cs="Times New Roman"/>
        </w:rPr>
        <w:t xml:space="preserve">As no ‘average annual vacant area </w:t>
      </w:r>
      <w:r w:rsidR="00D933D7" w:rsidRPr="003C6B9F">
        <w:rPr>
          <w:rFonts w:cs="Times New Roman"/>
        </w:rPr>
        <w:t>(</w:t>
      </w:r>
      <w:r w:rsidR="007A3FFC" w:rsidRPr="003C6B9F">
        <w:rPr>
          <w:rFonts w:cs="Times New Roman"/>
        </w:rPr>
        <w:t>a mandatory input requirement</w:t>
      </w:r>
      <w:r w:rsidR="000F4E1A" w:rsidRPr="003C6B9F">
        <w:rPr>
          <w:rFonts w:cs="Times New Roman"/>
        </w:rPr>
        <w:t xml:space="preserve"> for CRREM</w:t>
      </w:r>
      <w:r w:rsidR="00D933D7" w:rsidRPr="003C6B9F">
        <w:rPr>
          <w:rFonts w:cs="Times New Roman"/>
        </w:rPr>
        <w:t>)</w:t>
      </w:r>
      <w:r w:rsidR="000F4E1A" w:rsidRPr="003C6B9F">
        <w:rPr>
          <w:rFonts w:cs="Times New Roman"/>
        </w:rPr>
        <w:t xml:space="preserve"> was provided for any of the case studies a value of 0% was assumed. Additional data that was </w:t>
      </w:r>
      <w:r w:rsidR="00785D51" w:rsidRPr="003C6B9F">
        <w:rPr>
          <w:rFonts w:cs="Times New Roman"/>
        </w:rPr>
        <w:t>included,</w:t>
      </w:r>
      <w:r w:rsidR="000F4E1A" w:rsidRPr="003C6B9F">
        <w:rPr>
          <w:rFonts w:cs="Times New Roman"/>
        </w:rPr>
        <w:t xml:space="preserve"> if available, were consumption of natural gas, renewable onsite and renewable offsite energy. </w:t>
      </w:r>
    </w:p>
    <w:p w14:paraId="7E484562" w14:textId="77777777" w:rsidR="008C48BD" w:rsidRPr="003C6B9F" w:rsidRDefault="008C48BD" w:rsidP="29C72F73">
      <w:pPr>
        <w:rPr>
          <w:rFonts w:cs="Times New Roman"/>
          <w:sz w:val="2"/>
          <w:szCs w:val="2"/>
        </w:rPr>
      </w:pPr>
    </w:p>
    <w:p w14:paraId="48728D5D" w14:textId="77777777" w:rsidR="007121C0" w:rsidRPr="003C6B9F" w:rsidRDefault="007121C0" w:rsidP="007121C0">
      <w:pPr>
        <w:keepNext/>
        <w:rPr>
          <w:rFonts w:cs="Times New Roman"/>
        </w:rPr>
      </w:pPr>
      <w:r w:rsidRPr="003C6B9F">
        <w:rPr>
          <w:rFonts w:cs="Times New Roman"/>
          <w:noProof/>
        </w:rPr>
        <w:drawing>
          <wp:inline distT="0" distB="0" distL="0" distR="0" wp14:anchorId="51147382" wp14:editId="68A142C0">
            <wp:extent cx="5486400" cy="1123950"/>
            <wp:effectExtent l="38100" t="0" r="19050" b="0"/>
            <wp:docPr id="139795073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E8B3E03" w14:textId="7B5AD881" w:rsidR="008C48BD" w:rsidRPr="003C6B9F" w:rsidRDefault="008C48BD" w:rsidP="00087934">
      <w:pPr>
        <w:pStyle w:val="Caption"/>
        <w:jc w:val="center"/>
        <w:rPr>
          <w:rFonts w:cs="Times New Roman"/>
          <w:b w:val="0"/>
          <w:bCs/>
          <w:sz w:val="22"/>
          <w:szCs w:val="16"/>
        </w:rPr>
      </w:pPr>
      <w:bookmarkStart w:id="8" w:name="_Hlk141701823"/>
      <w:bookmarkEnd w:id="7"/>
      <w:r w:rsidRPr="003C6B9F">
        <w:rPr>
          <w:rFonts w:cs="Times New Roman"/>
          <w:b w:val="0"/>
          <w:bCs/>
          <w:sz w:val="22"/>
          <w:szCs w:val="16"/>
        </w:rPr>
        <w:t xml:space="preserve">Figure </w:t>
      </w:r>
      <w:r w:rsidR="001F7281" w:rsidRPr="003C6B9F">
        <w:rPr>
          <w:rFonts w:cs="Times New Roman"/>
          <w:b w:val="0"/>
          <w:bCs/>
          <w:sz w:val="22"/>
          <w:szCs w:val="16"/>
        </w:rPr>
        <w:t>1</w:t>
      </w:r>
      <w:r w:rsidRPr="003C6B9F">
        <w:rPr>
          <w:rFonts w:cs="Times New Roman"/>
          <w:b w:val="0"/>
          <w:bCs/>
          <w:sz w:val="22"/>
          <w:szCs w:val="16"/>
        </w:rPr>
        <w:t xml:space="preserve"> Mandatory data for the CRREM Tool</w:t>
      </w:r>
    </w:p>
    <w:p w14:paraId="7AF68FA4" w14:textId="0334B35D" w:rsidR="007A420B" w:rsidRPr="003C6B9F" w:rsidRDefault="007A420B" w:rsidP="000F4E1A">
      <w:pPr>
        <w:pStyle w:val="Heading2"/>
        <w:rPr>
          <w:rFonts w:cs="Times New Roman"/>
        </w:rPr>
      </w:pPr>
      <w:r w:rsidRPr="003C6B9F">
        <w:rPr>
          <w:rFonts w:cs="Times New Roman"/>
        </w:rPr>
        <w:t>Analysis</w:t>
      </w:r>
    </w:p>
    <w:p w14:paraId="61E5195B" w14:textId="557A1F75" w:rsidR="007A420B" w:rsidRPr="003C6B9F" w:rsidRDefault="0068042F" w:rsidP="29C72F73">
      <w:pPr>
        <w:rPr>
          <w:rFonts w:cs="Times New Roman"/>
        </w:rPr>
      </w:pPr>
      <w:r w:rsidRPr="003C6B9F">
        <w:rPr>
          <w:rFonts w:cs="Times New Roman"/>
        </w:rPr>
        <w:t>The analysis focused on three</w:t>
      </w:r>
      <w:r w:rsidR="000F4E1A" w:rsidRPr="003C6B9F">
        <w:rPr>
          <w:rFonts w:cs="Times New Roman"/>
        </w:rPr>
        <w:t xml:space="preserve"> key</w:t>
      </w:r>
      <w:r w:rsidRPr="003C6B9F">
        <w:rPr>
          <w:rFonts w:cs="Times New Roman"/>
        </w:rPr>
        <w:t xml:space="preserve"> phases</w:t>
      </w:r>
      <w:r w:rsidR="008C48BD" w:rsidRPr="003C6B9F">
        <w:rPr>
          <w:rFonts w:cs="Times New Roman"/>
        </w:rPr>
        <w:t>.</w:t>
      </w:r>
      <w:r w:rsidR="000F4E1A" w:rsidRPr="003C6B9F">
        <w:rPr>
          <w:rFonts w:cs="Times New Roman"/>
        </w:rPr>
        <w:t xml:space="preserve">  </w:t>
      </w:r>
    </w:p>
    <w:p w14:paraId="36F7A894" w14:textId="5FF34170" w:rsidR="0093494F" w:rsidRPr="003C6B9F" w:rsidRDefault="00C04FAA" w:rsidP="0068042F">
      <w:pPr>
        <w:pStyle w:val="ListParagraph"/>
        <w:numPr>
          <w:ilvl w:val="0"/>
          <w:numId w:val="3"/>
        </w:numPr>
        <w:rPr>
          <w:rFonts w:cs="Times New Roman"/>
        </w:rPr>
      </w:pPr>
      <w:r w:rsidRPr="003C6B9F">
        <w:rPr>
          <w:rFonts w:cs="Times New Roman"/>
        </w:rPr>
        <w:t xml:space="preserve">Case study CRREM results, which included but not limited to, stranding year and cost of excess emissions. The outputs allow for individual buildings to be examined and compared, but also to be </w:t>
      </w:r>
      <w:proofErr w:type="spellStart"/>
      <w:r w:rsidRPr="003C6B9F">
        <w:rPr>
          <w:rFonts w:cs="Times New Roman"/>
        </w:rPr>
        <w:t>utili</w:t>
      </w:r>
      <w:r w:rsidR="00A6121F" w:rsidRPr="003C6B9F">
        <w:rPr>
          <w:rFonts w:cs="Times New Roman"/>
        </w:rPr>
        <w:t>s</w:t>
      </w:r>
      <w:r w:rsidRPr="003C6B9F">
        <w:rPr>
          <w:rFonts w:cs="Times New Roman"/>
        </w:rPr>
        <w:t>ed</w:t>
      </w:r>
      <w:proofErr w:type="spellEnd"/>
      <w:r w:rsidRPr="003C6B9F">
        <w:rPr>
          <w:rFonts w:cs="Times New Roman"/>
        </w:rPr>
        <w:t xml:space="preserve"> at a portfolio level. The three portfolios were also compared against each other. </w:t>
      </w:r>
    </w:p>
    <w:p w14:paraId="667889AD" w14:textId="0916979F" w:rsidR="0068042F" w:rsidRPr="003C6B9F" w:rsidRDefault="0068042F" w:rsidP="0068042F">
      <w:pPr>
        <w:pStyle w:val="ListParagraph"/>
        <w:numPr>
          <w:ilvl w:val="0"/>
          <w:numId w:val="3"/>
        </w:numPr>
        <w:rPr>
          <w:rFonts w:cs="Times New Roman"/>
        </w:rPr>
      </w:pPr>
      <w:r w:rsidRPr="003C6B9F">
        <w:rPr>
          <w:rFonts w:cs="Times New Roman"/>
        </w:rPr>
        <w:t xml:space="preserve">Comparison of </w:t>
      </w:r>
      <w:r w:rsidR="00A6121F" w:rsidRPr="003C6B9F">
        <w:rPr>
          <w:rFonts w:cs="Times New Roman"/>
        </w:rPr>
        <w:t xml:space="preserve">results from the </w:t>
      </w:r>
      <w:r w:rsidRPr="003C6B9F">
        <w:rPr>
          <w:rFonts w:cs="Times New Roman"/>
        </w:rPr>
        <w:t>different versions of the tool for the different case studies</w:t>
      </w:r>
      <w:r w:rsidR="00C04FAA" w:rsidRPr="003C6B9F">
        <w:rPr>
          <w:rFonts w:cs="Times New Roman"/>
        </w:rPr>
        <w:t xml:space="preserve">. </w:t>
      </w:r>
      <w:r w:rsidR="00334F31" w:rsidRPr="003C6B9F">
        <w:rPr>
          <w:rFonts w:cs="Times New Roman"/>
        </w:rPr>
        <w:t>Asset Owner</w:t>
      </w:r>
      <w:r w:rsidR="00A21E68" w:rsidRPr="003C6B9F">
        <w:rPr>
          <w:rFonts w:cs="Times New Roman"/>
        </w:rPr>
        <w:t xml:space="preserve"> 1’s</w:t>
      </w:r>
      <w:r w:rsidR="006453C5" w:rsidRPr="003C6B9F">
        <w:rPr>
          <w:rFonts w:cs="Times New Roman"/>
        </w:rPr>
        <w:t xml:space="preserve"> </w:t>
      </w:r>
      <w:r w:rsidR="00A21E68" w:rsidRPr="003C6B9F">
        <w:rPr>
          <w:rFonts w:cs="Times New Roman"/>
        </w:rPr>
        <w:t xml:space="preserve">case study buildings were selected for this. </w:t>
      </w:r>
    </w:p>
    <w:p w14:paraId="15046F43" w14:textId="6F3111B4" w:rsidR="0068042F" w:rsidRPr="003C6B9F" w:rsidRDefault="0068042F" w:rsidP="0068042F">
      <w:pPr>
        <w:pStyle w:val="ListParagraph"/>
        <w:numPr>
          <w:ilvl w:val="0"/>
          <w:numId w:val="3"/>
        </w:numPr>
        <w:rPr>
          <w:rFonts w:cs="Times New Roman"/>
        </w:rPr>
      </w:pPr>
      <w:r w:rsidRPr="003C6B9F">
        <w:rPr>
          <w:rFonts w:cs="Times New Roman"/>
        </w:rPr>
        <w:lastRenderedPageBreak/>
        <w:t>The sensitivity testing of the different options and implication of the non-mandatory data</w:t>
      </w:r>
      <w:r w:rsidR="00C04FAA" w:rsidRPr="003C6B9F">
        <w:rPr>
          <w:rFonts w:cs="Times New Roman"/>
        </w:rPr>
        <w:t xml:space="preserve"> input requirements. </w:t>
      </w:r>
    </w:p>
    <w:p w14:paraId="515E83AE" w14:textId="355F5F36" w:rsidR="0017466F" w:rsidRPr="003C6B9F" w:rsidRDefault="0017466F" w:rsidP="00B54612">
      <w:pPr>
        <w:pStyle w:val="Heading1"/>
        <w:rPr>
          <w:rFonts w:cs="Times New Roman"/>
        </w:rPr>
      </w:pPr>
      <w:bookmarkStart w:id="9" w:name="_Hlk141701922"/>
      <w:bookmarkEnd w:id="8"/>
      <w:r w:rsidRPr="003C6B9F">
        <w:rPr>
          <w:rFonts w:cs="Times New Roman"/>
        </w:rPr>
        <w:t>Results</w:t>
      </w:r>
      <w:r w:rsidR="00EB7862" w:rsidRPr="003C6B9F">
        <w:rPr>
          <w:rFonts w:cs="Times New Roman"/>
        </w:rPr>
        <w:t xml:space="preserve"> &amp; Discussion</w:t>
      </w:r>
    </w:p>
    <w:p w14:paraId="729BDBA4" w14:textId="77777777" w:rsidR="00EB7862" w:rsidRPr="003C6B9F" w:rsidRDefault="00EB7862" w:rsidP="00EB7862">
      <w:pPr>
        <w:pStyle w:val="Heading2"/>
        <w:rPr>
          <w:rFonts w:cs="Times New Roman"/>
        </w:rPr>
      </w:pPr>
      <w:r w:rsidRPr="003C6B9F">
        <w:rPr>
          <w:rFonts w:cs="Times New Roman"/>
        </w:rPr>
        <w:t>Objective 1: Apply CRREM to case study buildings.</w:t>
      </w:r>
    </w:p>
    <w:p w14:paraId="2F618F5A" w14:textId="6F6CB94D" w:rsidR="000655D2" w:rsidRPr="003C6B9F" w:rsidRDefault="00B54612" w:rsidP="00B54612">
      <w:pPr>
        <w:rPr>
          <w:rFonts w:cs="Times New Roman"/>
        </w:rPr>
      </w:pPr>
      <w:r w:rsidRPr="003C6B9F">
        <w:rPr>
          <w:rFonts w:cs="Times New Roman"/>
        </w:rPr>
        <w:t xml:space="preserve">This section </w:t>
      </w:r>
      <w:r w:rsidR="009F2298" w:rsidRPr="003C6B9F">
        <w:rPr>
          <w:rFonts w:cs="Times New Roman"/>
        </w:rPr>
        <w:t>presents the results of the analysis of the building portfolio using the CRREM tool.</w:t>
      </w:r>
      <w:r w:rsidRPr="003C6B9F">
        <w:rPr>
          <w:rFonts w:cs="Times New Roman"/>
        </w:rPr>
        <w:t xml:space="preserve"> This section includes reference to individual building results followed by a comparison of the three portfolios side by side. </w:t>
      </w:r>
    </w:p>
    <w:p w14:paraId="1D6C13DE" w14:textId="0EA0D062" w:rsidR="000655D2" w:rsidRPr="003C6B9F" w:rsidRDefault="000655D2" w:rsidP="00B54612">
      <w:pPr>
        <w:rPr>
          <w:rFonts w:cs="Times New Roman"/>
        </w:rPr>
      </w:pPr>
      <w:r w:rsidRPr="003C6B9F">
        <w:rPr>
          <w:rFonts w:cs="Times New Roman"/>
        </w:rPr>
        <w:t xml:space="preserve">Figure </w:t>
      </w:r>
      <w:r w:rsidR="001F7281" w:rsidRPr="003C6B9F">
        <w:rPr>
          <w:rFonts w:cs="Times New Roman"/>
        </w:rPr>
        <w:t xml:space="preserve">2 </w:t>
      </w:r>
      <w:r w:rsidRPr="003C6B9F">
        <w:rPr>
          <w:rFonts w:cs="Times New Roman"/>
        </w:rPr>
        <w:t>provides an example of the CRREM tool results for an office building</w:t>
      </w:r>
      <w:r w:rsidR="00A21E68" w:rsidRPr="003C6B9F">
        <w:rPr>
          <w:rFonts w:cs="Times New Roman"/>
        </w:rPr>
        <w:t xml:space="preserve"> (Building 1</w:t>
      </w:r>
      <w:r w:rsidR="00236982" w:rsidRPr="003C6B9F">
        <w:rPr>
          <w:rFonts w:cs="Times New Roman"/>
        </w:rPr>
        <w:t xml:space="preserve">, </w:t>
      </w:r>
      <w:r w:rsidR="00292AD3" w:rsidRPr="003C6B9F">
        <w:rPr>
          <w:rFonts w:cs="Times New Roman"/>
        </w:rPr>
        <w:t xml:space="preserve">a </w:t>
      </w:r>
      <w:proofErr w:type="gramStart"/>
      <w:r w:rsidR="00236982" w:rsidRPr="003C6B9F">
        <w:rPr>
          <w:rFonts w:cs="Times New Roman"/>
        </w:rPr>
        <w:t>6 star</w:t>
      </w:r>
      <w:proofErr w:type="gramEnd"/>
      <w:r w:rsidR="00236982" w:rsidRPr="003C6B9F">
        <w:rPr>
          <w:rFonts w:cs="Times New Roman"/>
        </w:rPr>
        <w:t xml:space="preserve"> NABERS</w:t>
      </w:r>
      <w:r w:rsidR="00D4112C" w:rsidRPr="003C6B9F">
        <w:rPr>
          <w:rFonts w:cs="Times New Roman"/>
        </w:rPr>
        <w:t xml:space="preserve"> energy rating</w:t>
      </w:r>
      <w:r w:rsidR="00A21E68" w:rsidRPr="003C6B9F">
        <w:rPr>
          <w:rFonts w:cs="Times New Roman"/>
        </w:rPr>
        <w:t>)</w:t>
      </w:r>
      <w:r w:rsidRPr="003C6B9F">
        <w:rPr>
          <w:rFonts w:cs="Times New Roman"/>
        </w:rPr>
        <w:t xml:space="preserve"> located in Brisbane (Queensland) that is 76,000 m</w:t>
      </w:r>
      <w:r w:rsidRPr="003C6B9F">
        <w:rPr>
          <w:rFonts w:cs="Times New Roman"/>
          <w:vertAlign w:val="superscript"/>
        </w:rPr>
        <w:t>2</w:t>
      </w:r>
      <w:r w:rsidRPr="003C6B9F">
        <w:rPr>
          <w:rFonts w:cs="Times New Roman"/>
        </w:rPr>
        <w:t>. The stranding year is 2036</w:t>
      </w:r>
      <w:r w:rsidR="00236982" w:rsidRPr="003C6B9F">
        <w:rPr>
          <w:rFonts w:cs="Times New Roman"/>
        </w:rPr>
        <w:t xml:space="preserve"> (the third earliest when compared against other case studies)</w:t>
      </w:r>
      <w:r w:rsidRPr="003C6B9F">
        <w:rPr>
          <w:rFonts w:cs="Times New Roman"/>
        </w:rPr>
        <w:t xml:space="preserve">. </w:t>
      </w:r>
      <w:r w:rsidR="00785D51" w:rsidRPr="003C6B9F">
        <w:rPr>
          <w:rFonts w:cs="Times New Roman"/>
        </w:rPr>
        <w:t xml:space="preserve">This graph clearly informs the user from what year the building will not meet emission targets and may start leading to </w:t>
      </w:r>
      <w:r w:rsidR="00262D8D" w:rsidRPr="003C6B9F">
        <w:rPr>
          <w:rFonts w:cs="Times New Roman"/>
        </w:rPr>
        <w:t xml:space="preserve">potential </w:t>
      </w:r>
      <w:r w:rsidR="00785D51" w:rsidRPr="003C6B9F">
        <w:rPr>
          <w:rFonts w:cs="Times New Roman"/>
        </w:rPr>
        <w:t xml:space="preserve">loss of income due to inability for the space to be rented or occupied. This </w:t>
      </w:r>
      <w:r w:rsidR="00262D8D" w:rsidRPr="003C6B9F">
        <w:rPr>
          <w:rFonts w:cs="Times New Roman"/>
        </w:rPr>
        <w:t xml:space="preserve">indication of a </w:t>
      </w:r>
      <w:r w:rsidR="00785D51" w:rsidRPr="003C6B9F">
        <w:rPr>
          <w:rFonts w:cs="Times New Roman"/>
        </w:rPr>
        <w:t xml:space="preserve">loss of income is clearly seen in Figure </w:t>
      </w:r>
      <w:r w:rsidR="00E1438A" w:rsidRPr="003C6B9F">
        <w:rPr>
          <w:rFonts w:cs="Times New Roman"/>
        </w:rPr>
        <w:t xml:space="preserve">3 </w:t>
      </w:r>
      <w:r w:rsidR="00785D51" w:rsidRPr="003C6B9F">
        <w:rPr>
          <w:rFonts w:cs="Times New Roman"/>
        </w:rPr>
        <w:t xml:space="preserve">too. Figure </w:t>
      </w:r>
      <w:r w:rsidR="00E1438A" w:rsidRPr="003C6B9F">
        <w:rPr>
          <w:rFonts w:cs="Times New Roman"/>
        </w:rPr>
        <w:t xml:space="preserve">3 </w:t>
      </w:r>
      <w:r w:rsidR="00785D51" w:rsidRPr="003C6B9F">
        <w:rPr>
          <w:rFonts w:cs="Times New Roman"/>
        </w:rPr>
        <w:t xml:space="preserve">of the CRREM analysis for office building 1 illustrates the carbon cost of excess emissions (in USD dollar per year). </w:t>
      </w:r>
      <w:r w:rsidR="00D933D7" w:rsidRPr="003C6B9F">
        <w:rPr>
          <w:rFonts w:cs="Times New Roman"/>
        </w:rPr>
        <w:t>F</w:t>
      </w:r>
      <w:r w:rsidR="00785D51" w:rsidRPr="003C6B9F">
        <w:rPr>
          <w:rFonts w:cs="Times New Roman"/>
        </w:rPr>
        <w:t>rom the stranding year 2036</w:t>
      </w:r>
      <w:r w:rsidR="00D933D7" w:rsidRPr="003C6B9F">
        <w:rPr>
          <w:rFonts w:cs="Times New Roman"/>
        </w:rPr>
        <w:t>,</w:t>
      </w:r>
      <w:r w:rsidR="00785D51" w:rsidRPr="003C6B9F">
        <w:rPr>
          <w:rFonts w:cs="Times New Roman"/>
        </w:rPr>
        <w:t xml:space="preserve"> the annual costs </w:t>
      </w:r>
      <w:proofErr w:type="gramStart"/>
      <w:r w:rsidR="00785D51" w:rsidRPr="003C6B9F">
        <w:rPr>
          <w:rFonts w:cs="Times New Roman"/>
        </w:rPr>
        <w:t>increase</w:t>
      </w:r>
      <w:r w:rsidR="00723B2E" w:rsidRPr="003C6B9F">
        <w:rPr>
          <w:rFonts w:cs="Times New Roman"/>
        </w:rPr>
        <w:t>s</w:t>
      </w:r>
      <w:proofErr w:type="gramEnd"/>
      <w:r w:rsidR="00785D51" w:rsidRPr="003C6B9F">
        <w:rPr>
          <w:rFonts w:cs="Times New Roman"/>
        </w:rPr>
        <w:t xml:space="preserve"> (</w:t>
      </w:r>
      <w:r w:rsidR="00723B2E" w:rsidRPr="003C6B9F">
        <w:rPr>
          <w:rFonts w:cs="Times New Roman"/>
        </w:rPr>
        <w:t xml:space="preserve">in </w:t>
      </w:r>
      <w:r w:rsidR="00785D51" w:rsidRPr="003C6B9F">
        <w:rPr>
          <w:rFonts w:cs="Times New Roman"/>
        </w:rPr>
        <w:t xml:space="preserve">red) to a value of over $155,689 per year. </w:t>
      </w:r>
      <w:r w:rsidR="00EB7862" w:rsidRPr="003C6B9F">
        <w:rPr>
          <w:rFonts w:cs="Times New Roman"/>
        </w:rPr>
        <w:t xml:space="preserve">An important consideration to note is the role and prominence in the results of </w:t>
      </w:r>
      <w:proofErr w:type="gramStart"/>
      <w:r w:rsidR="00EB7862" w:rsidRPr="003C6B9F">
        <w:rPr>
          <w:rFonts w:cs="Times New Roman"/>
        </w:rPr>
        <w:t>the  decarbonization</w:t>
      </w:r>
      <w:proofErr w:type="gramEnd"/>
      <w:r w:rsidR="00EB7862" w:rsidRPr="003C6B9F">
        <w:rPr>
          <w:rFonts w:cs="Times New Roman"/>
        </w:rPr>
        <w:t xml:space="preserve"> profile of the grid, which has a substantial impact on the building profile of building performance. For example, the quicker the grid decarbonizes, the further out the stranding year is, if the building performance is maintained. </w:t>
      </w:r>
    </w:p>
    <w:p w14:paraId="3735FCCD" w14:textId="77777777" w:rsidR="000655D2" w:rsidRPr="003C6B9F" w:rsidRDefault="000655D2" w:rsidP="00087934">
      <w:pPr>
        <w:keepNext/>
        <w:jc w:val="center"/>
        <w:rPr>
          <w:rFonts w:cs="Times New Roman"/>
        </w:rPr>
      </w:pPr>
      <w:r w:rsidRPr="003C6B9F">
        <w:rPr>
          <w:rFonts w:cs="Times New Roman"/>
          <w:noProof/>
        </w:rPr>
        <w:drawing>
          <wp:inline distT="0" distB="0" distL="0" distR="0" wp14:anchorId="143062DC" wp14:editId="1961D004">
            <wp:extent cx="5705475" cy="3041650"/>
            <wp:effectExtent l="0" t="0" r="0" b="6350"/>
            <wp:docPr id="2037795547" name="Chart 1">
              <a:extLst xmlns:a="http://schemas.openxmlformats.org/drawingml/2006/main">
                <a:ext uri="{FF2B5EF4-FFF2-40B4-BE49-F238E27FC236}">
                  <a16:creationId xmlns:a16="http://schemas.microsoft.com/office/drawing/2014/main" id="{3D420E7C-20A7-4B56-9452-E5BDB74AAF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14CECAC" w14:textId="77777777" w:rsidR="001F7281" w:rsidRPr="003C6B9F" w:rsidRDefault="001F7281" w:rsidP="00087934">
      <w:pPr>
        <w:pStyle w:val="Caption"/>
        <w:jc w:val="center"/>
        <w:rPr>
          <w:rFonts w:cs="Times New Roman"/>
          <w:b w:val="0"/>
          <w:bCs/>
          <w:sz w:val="22"/>
          <w:szCs w:val="16"/>
        </w:rPr>
      </w:pPr>
      <w:r w:rsidRPr="003C6B9F">
        <w:rPr>
          <w:rFonts w:cs="Times New Roman"/>
          <w:b w:val="0"/>
          <w:bCs/>
          <w:sz w:val="22"/>
          <w:szCs w:val="16"/>
        </w:rPr>
        <w:t>Figure 2 CRREM analysis of case study office building 1 located in Brisbane.</w:t>
      </w:r>
    </w:p>
    <w:p w14:paraId="27C584B3" w14:textId="77777777" w:rsidR="00393B0C" w:rsidRPr="003C6B9F" w:rsidRDefault="00393B0C" w:rsidP="00393B0C">
      <w:pPr>
        <w:pStyle w:val="Caption"/>
        <w:rPr>
          <w:rFonts w:cs="Times New Roman"/>
        </w:rPr>
      </w:pPr>
    </w:p>
    <w:p w14:paraId="39071D8D" w14:textId="77777777" w:rsidR="00196EF3" w:rsidRPr="003C6B9F" w:rsidRDefault="00F12254" w:rsidP="00196EF3">
      <w:pPr>
        <w:keepNext/>
        <w:rPr>
          <w:rFonts w:cs="Times New Roman"/>
        </w:rPr>
      </w:pPr>
      <w:r w:rsidRPr="003C6B9F">
        <w:rPr>
          <w:rFonts w:cs="Times New Roman"/>
          <w:noProof/>
        </w:rPr>
        <w:lastRenderedPageBreak/>
        <w:drawing>
          <wp:inline distT="0" distB="0" distL="0" distR="0" wp14:anchorId="3940F4A5" wp14:editId="5A3EB0E5">
            <wp:extent cx="5943600" cy="2413000"/>
            <wp:effectExtent l="0" t="0" r="0" b="0"/>
            <wp:docPr id="1415303077" name="Chart 1">
              <a:extLst xmlns:a="http://schemas.openxmlformats.org/drawingml/2006/main">
                <a:ext uri="{FF2B5EF4-FFF2-40B4-BE49-F238E27FC236}">
                  <a16:creationId xmlns:a16="http://schemas.microsoft.com/office/drawing/2014/main" id="{47D56944-9840-4C00-922D-1E3B647191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bookmarkEnd w:id="9"/>
    <w:p w14:paraId="474C553B" w14:textId="61BE2102" w:rsidR="00723B2E" w:rsidRPr="003C6B9F" w:rsidRDefault="00723B2E" w:rsidP="00087934">
      <w:pPr>
        <w:pStyle w:val="Caption"/>
        <w:jc w:val="center"/>
        <w:rPr>
          <w:rFonts w:cs="Times New Roman"/>
          <w:b w:val="0"/>
          <w:bCs/>
          <w:sz w:val="22"/>
          <w:szCs w:val="16"/>
        </w:rPr>
      </w:pPr>
      <w:r w:rsidRPr="003C6B9F">
        <w:rPr>
          <w:rFonts w:cs="Times New Roman"/>
          <w:b w:val="0"/>
          <w:bCs/>
          <w:sz w:val="22"/>
          <w:szCs w:val="16"/>
        </w:rPr>
        <w:t>Figure 3 Carbon cost of emissions of office building 1.</w:t>
      </w:r>
    </w:p>
    <w:p w14:paraId="37309726" w14:textId="30D052D6" w:rsidR="0093494F" w:rsidRPr="003C6B9F" w:rsidRDefault="009F2DF5" w:rsidP="29C72F73">
      <w:pPr>
        <w:rPr>
          <w:rFonts w:cs="Times New Roman"/>
        </w:rPr>
      </w:pPr>
      <w:r w:rsidRPr="003C6B9F">
        <w:rPr>
          <w:rFonts w:cs="Times New Roman"/>
        </w:rPr>
        <w:t xml:space="preserve">Table 2 provides a side-by-side comparison of the three </w:t>
      </w:r>
      <w:r w:rsidR="00334F31" w:rsidRPr="003C6B9F">
        <w:rPr>
          <w:rFonts w:cs="Times New Roman"/>
        </w:rPr>
        <w:t>Asset Owner</w:t>
      </w:r>
      <w:r w:rsidRPr="003C6B9F">
        <w:rPr>
          <w:rFonts w:cs="Times New Roman"/>
        </w:rPr>
        <w:t xml:space="preserve">s portfolio results for the carbon cost of excess emissions using the CRREM tool (V2.03). </w:t>
      </w:r>
      <w:r w:rsidR="00B4689C" w:rsidRPr="003C6B9F">
        <w:rPr>
          <w:rFonts w:cs="Times New Roman"/>
        </w:rPr>
        <w:t xml:space="preserve">When comparing the portfolios side by side, the </w:t>
      </w:r>
      <w:r w:rsidR="00D933D7" w:rsidRPr="003C6B9F">
        <w:rPr>
          <w:rFonts w:cs="Times New Roman"/>
        </w:rPr>
        <w:t>results show</w:t>
      </w:r>
      <w:r w:rsidR="00B4689C" w:rsidRPr="003C6B9F">
        <w:rPr>
          <w:rFonts w:cs="Times New Roman"/>
        </w:rPr>
        <w:t xml:space="preserve"> that </w:t>
      </w:r>
      <w:r w:rsidR="00334F31" w:rsidRPr="003C6B9F">
        <w:rPr>
          <w:rFonts w:cs="Times New Roman"/>
        </w:rPr>
        <w:t>Asset Owner</w:t>
      </w:r>
      <w:r w:rsidR="00B4689C" w:rsidRPr="003C6B9F">
        <w:rPr>
          <w:rFonts w:cs="Times New Roman"/>
        </w:rPr>
        <w:t xml:space="preserve"> 3 has the poorer performing office portfolio. With an average stranding year of 2028 and a carbon cost of excess emissions above $6,000,000</w:t>
      </w:r>
      <w:r w:rsidR="005A0FDF" w:rsidRPr="003C6B9F">
        <w:rPr>
          <w:rFonts w:cs="Times New Roman"/>
        </w:rPr>
        <w:t xml:space="preserve"> per </w:t>
      </w:r>
      <w:r w:rsidR="00B4689C" w:rsidRPr="003C6B9F">
        <w:rPr>
          <w:rFonts w:cs="Times New Roman"/>
        </w:rPr>
        <w:t xml:space="preserve">year. In comparison </w:t>
      </w:r>
      <w:r w:rsidR="00334F31" w:rsidRPr="003C6B9F">
        <w:rPr>
          <w:rFonts w:cs="Times New Roman"/>
        </w:rPr>
        <w:t>Asset Owner</w:t>
      </w:r>
      <w:r w:rsidR="00B4689C" w:rsidRPr="003C6B9F">
        <w:rPr>
          <w:rFonts w:cs="Times New Roman"/>
        </w:rPr>
        <w:t xml:space="preserve"> 1</w:t>
      </w:r>
      <w:r w:rsidR="00EB7862" w:rsidRPr="003C6B9F">
        <w:rPr>
          <w:rFonts w:cs="Times New Roman"/>
        </w:rPr>
        <w:t xml:space="preserve"> who</w:t>
      </w:r>
      <w:r w:rsidR="00B4689C" w:rsidRPr="003C6B9F">
        <w:rPr>
          <w:rFonts w:cs="Times New Roman"/>
        </w:rPr>
        <w:t xml:space="preserve"> has the best performing portfolio with an average stranding year of </w:t>
      </w:r>
      <w:r w:rsidR="005A0FDF" w:rsidRPr="003C6B9F">
        <w:rPr>
          <w:rFonts w:cs="Times New Roman"/>
        </w:rPr>
        <w:t xml:space="preserve">2036 and a cost of excess emissions of over $1,000,000 per year. </w:t>
      </w:r>
      <w:r w:rsidR="0010148F" w:rsidRPr="003C6B9F">
        <w:rPr>
          <w:rFonts w:cs="Times New Roman"/>
        </w:rPr>
        <w:t xml:space="preserve">One </w:t>
      </w:r>
      <w:r w:rsidR="006453C5" w:rsidRPr="003C6B9F">
        <w:rPr>
          <w:rFonts w:cs="Times New Roman"/>
        </w:rPr>
        <w:t>must</w:t>
      </w:r>
      <w:r w:rsidR="0010148F" w:rsidRPr="003C6B9F">
        <w:rPr>
          <w:rFonts w:cs="Times New Roman"/>
        </w:rPr>
        <w:t xml:space="preserve"> bear in mind while interpreting the results that </w:t>
      </w:r>
      <w:r w:rsidR="00334F31" w:rsidRPr="003C6B9F">
        <w:rPr>
          <w:rFonts w:cs="Times New Roman"/>
        </w:rPr>
        <w:t>Asset Owner</w:t>
      </w:r>
      <w:r w:rsidR="0010148F" w:rsidRPr="003C6B9F">
        <w:rPr>
          <w:rFonts w:cs="Times New Roman"/>
        </w:rPr>
        <w:t xml:space="preserve"> 1 had the most complete data set and that </w:t>
      </w:r>
      <w:r w:rsidR="00334F31" w:rsidRPr="003C6B9F">
        <w:rPr>
          <w:rFonts w:cs="Times New Roman"/>
        </w:rPr>
        <w:t>Asset Owner</w:t>
      </w:r>
      <w:r w:rsidR="0010148F" w:rsidRPr="003C6B9F">
        <w:rPr>
          <w:rFonts w:cs="Times New Roman"/>
        </w:rPr>
        <w:t xml:space="preserve"> 2 and 3’s case studies had some missing data which can influence the results. </w:t>
      </w:r>
    </w:p>
    <w:p w14:paraId="68A52DA9" w14:textId="77777777" w:rsidR="00262D8D" w:rsidRPr="003C6B9F" w:rsidRDefault="00262D8D">
      <w:pPr>
        <w:rPr>
          <w:rFonts w:cs="Times New Roman"/>
          <w:bCs/>
          <w:iCs/>
          <w:szCs w:val="16"/>
        </w:rPr>
      </w:pPr>
      <w:r w:rsidRPr="003C6B9F">
        <w:rPr>
          <w:rFonts w:cs="Times New Roman"/>
          <w:b/>
          <w:bCs/>
          <w:szCs w:val="16"/>
        </w:rPr>
        <w:br w:type="page"/>
      </w:r>
    </w:p>
    <w:p w14:paraId="33B2CA31" w14:textId="4A66E67D" w:rsidR="00FC063D" w:rsidRPr="003C6B9F" w:rsidRDefault="00FC063D" w:rsidP="00FC063D">
      <w:pPr>
        <w:pStyle w:val="Caption"/>
        <w:keepNext/>
        <w:rPr>
          <w:rFonts w:cs="Times New Roman"/>
          <w:b w:val="0"/>
          <w:bCs/>
          <w:sz w:val="22"/>
          <w:szCs w:val="16"/>
        </w:rPr>
      </w:pPr>
      <w:r w:rsidRPr="003C6B9F">
        <w:rPr>
          <w:rFonts w:cs="Times New Roman"/>
          <w:b w:val="0"/>
          <w:bCs/>
          <w:sz w:val="22"/>
          <w:szCs w:val="16"/>
        </w:rPr>
        <w:lastRenderedPageBreak/>
        <w:t xml:space="preserve">Table </w:t>
      </w:r>
      <w:r w:rsidRPr="003C6B9F">
        <w:rPr>
          <w:rFonts w:cs="Times New Roman"/>
          <w:b w:val="0"/>
          <w:bCs/>
          <w:sz w:val="22"/>
          <w:szCs w:val="16"/>
        </w:rPr>
        <w:fldChar w:fldCharType="begin"/>
      </w:r>
      <w:r w:rsidRPr="003C6B9F">
        <w:rPr>
          <w:rFonts w:cs="Times New Roman"/>
          <w:b w:val="0"/>
          <w:bCs/>
          <w:sz w:val="22"/>
          <w:szCs w:val="16"/>
        </w:rPr>
        <w:instrText xml:space="preserve"> SEQ Table \* ARABIC </w:instrText>
      </w:r>
      <w:r w:rsidRPr="003C6B9F">
        <w:rPr>
          <w:rFonts w:cs="Times New Roman"/>
          <w:b w:val="0"/>
          <w:bCs/>
          <w:sz w:val="22"/>
          <w:szCs w:val="16"/>
        </w:rPr>
        <w:fldChar w:fldCharType="separate"/>
      </w:r>
      <w:r w:rsidR="00C40EB5" w:rsidRPr="003C6B9F">
        <w:rPr>
          <w:rFonts w:cs="Times New Roman"/>
          <w:b w:val="0"/>
          <w:bCs/>
          <w:noProof/>
          <w:sz w:val="22"/>
          <w:szCs w:val="16"/>
        </w:rPr>
        <w:t>2</w:t>
      </w:r>
      <w:r w:rsidRPr="003C6B9F">
        <w:rPr>
          <w:rFonts w:cs="Times New Roman"/>
          <w:b w:val="0"/>
          <w:bCs/>
          <w:noProof/>
          <w:sz w:val="22"/>
          <w:szCs w:val="16"/>
        </w:rPr>
        <w:fldChar w:fldCharType="end"/>
      </w:r>
      <w:r w:rsidRPr="003C6B9F">
        <w:rPr>
          <w:rFonts w:cs="Times New Roman"/>
          <w:b w:val="0"/>
          <w:bCs/>
          <w:sz w:val="22"/>
          <w:szCs w:val="16"/>
        </w:rPr>
        <w:t xml:space="preserve"> Comparison of portfolios using CRREM V2.03</w:t>
      </w:r>
    </w:p>
    <w:tbl>
      <w:tblPr>
        <w:tblStyle w:val="TableGrid"/>
        <w:tblW w:w="0" w:type="auto"/>
        <w:tblLook w:val="04A0" w:firstRow="1" w:lastRow="0" w:firstColumn="1" w:lastColumn="0" w:noHBand="0" w:noVBand="1"/>
      </w:tblPr>
      <w:tblGrid>
        <w:gridCol w:w="2065"/>
        <w:gridCol w:w="7285"/>
      </w:tblGrid>
      <w:tr w:rsidR="0093494F" w:rsidRPr="003C6B9F" w14:paraId="05C47881" w14:textId="77777777" w:rsidTr="00BC172B">
        <w:tc>
          <w:tcPr>
            <w:tcW w:w="2065" w:type="dxa"/>
            <w:shd w:val="clear" w:color="auto" w:fill="D9D9D9" w:themeFill="background1" w:themeFillShade="D9"/>
            <w:vAlign w:val="center"/>
          </w:tcPr>
          <w:p w14:paraId="664FDF85" w14:textId="43069BF5" w:rsidR="0093494F" w:rsidRPr="003C6B9F" w:rsidRDefault="00B4689C" w:rsidP="0093494F">
            <w:pPr>
              <w:jc w:val="center"/>
              <w:rPr>
                <w:rFonts w:cs="Times New Roman"/>
                <w:b/>
                <w:bCs/>
              </w:rPr>
            </w:pPr>
            <w:r w:rsidRPr="003C6B9F">
              <w:rPr>
                <w:rFonts w:cs="Times New Roman"/>
                <w:b/>
                <w:bCs/>
              </w:rPr>
              <w:t xml:space="preserve">Australian Property </w:t>
            </w:r>
            <w:r w:rsidR="00334F31" w:rsidRPr="003C6B9F">
              <w:rPr>
                <w:rFonts w:cs="Times New Roman"/>
                <w:b/>
                <w:bCs/>
              </w:rPr>
              <w:t>Asset Owner</w:t>
            </w:r>
          </w:p>
        </w:tc>
        <w:tc>
          <w:tcPr>
            <w:tcW w:w="7285" w:type="dxa"/>
            <w:shd w:val="clear" w:color="auto" w:fill="D9D9D9" w:themeFill="background1" w:themeFillShade="D9"/>
          </w:tcPr>
          <w:p w14:paraId="213EEADA" w14:textId="5F06322F" w:rsidR="0093494F" w:rsidRPr="003C6B9F" w:rsidRDefault="0093494F" w:rsidP="00BC172B">
            <w:pPr>
              <w:jc w:val="center"/>
              <w:rPr>
                <w:rFonts w:cs="Times New Roman"/>
                <w:b/>
                <w:bCs/>
              </w:rPr>
            </w:pPr>
            <w:r w:rsidRPr="003C6B9F">
              <w:rPr>
                <w:rFonts w:cs="Times New Roman"/>
                <w:b/>
                <w:bCs/>
              </w:rPr>
              <w:t>Portfolio Results</w:t>
            </w:r>
          </w:p>
        </w:tc>
      </w:tr>
      <w:tr w:rsidR="0093494F" w:rsidRPr="003C6B9F" w14:paraId="35191F71" w14:textId="77777777" w:rsidTr="00B4689C">
        <w:tc>
          <w:tcPr>
            <w:tcW w:w="2065" w:type="dxa"/>
            <w:vAlign w:val="center"/>
          </w:tcPr>
          <w:p w14:paraId="5D4F8F07" w14:textId="6F99D307" w:rsidR="0093494F" w:rsidRPr="003C6B9F" w:rsidRDefault="00334F31" w:rsidP="0093494F">
            <w:pPr>
              <w:jc w:val="center"/>
              <w:rPr>
                <w:rFonts w:cs="Times New Roman"/>
                <w:b/>
                <w:bCs/>
              </w:rPr>
            </w:pPr>
            <w:r w:rsidRPr="003C6B9F">
              <w:rPr>
                <w:rFonts w:cs="Times New Roman"/>
                <w:b/>
                <w:bCs/>
              </w:rPr>
              <w:t>Asset Owner</w:t>
            </w:r>
            <w:r w:rsidR="00B4689C" w:rsidRPr="003C6B9F">
              <w:rPr>
                <w:rFonts w:cs="Times New Roman"/>
                <w:b/>
                <w:bCs/>
              </w:rPr>
              <w:t xml:space="preserve"> 1</w:t>
            </w:r>
          </w:p>
        </w:tc>
        <w:tc>
          <w:tcPr>
            <w:tcW w:w="7285" w:type="dxa"/>
          </w:tcPr>
          <w:p w14:paraId="502EF927" w14:textId="18FD731E" w:rsidR="0093494F" w:rsidRPr="003C6B9F" w:rsidRDefault="0093494F" w:rsidP="29C72F73">
            <w:pPr>
              <w:rPr>
                <w:rFonts w:cs="Times New Roman"/>
              </w:rPr>
            </w:pPr>
            <w:r w:rsidRPr="003C6B9F">
              <w:rPr>
                <w:rFonts w:cs="Times New Roman"/>
                <w:noProof/>
              </w:rPr>
              <w:drawing>
                <wp:inline distT="0" distB="0" distL="0" distR="0" wp14:anchorId="4E360D88" wp14:editId="6E719732">
                  <wp:extent cx="4021455" cy="1768979"/>
                  <wp:effectExtent l="0" t="0" r="0" b="0"/>
                  <wp:docPr id="1675673946" name="Chart 1">
                    <a:extLst xmlns:a="http://schemas.openxmlformats.org/drawingml/2006/main">
                      <a:ext uri="{FF2B5EF4-FFF2-40B4-BE49-F238E27FC236}">
                        <a16:creationId xmlns:a16="http://schemas.microsoft.com/office/drawing/2014/main" id="{6104D763-5FA9-410E-8442-222C087AFB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93494F" w:rsidRPr="003C6B9F" w14:paraId="77AEEA28" w14:textId="77777777" w:rsidTr="00B4689C">
        <w:tc>
          <w:tcPr>
            <w:tcW w:w="2065" w:type="dxa"/>
            <w:vAlign w:val="center"/>
          </w:tcPr>
          <w:p w14:paraId="1FD7F676" w14:textId="7B41A941" w:rsidR="0093494F" w:rsidRPr="003C6B9F" w:rsidRDefault="00334F31" w:rsidP="0093494F">
            <w:pPr>
              <w:jc w:val="center"/>
              <w:rPr>
                <w:rFonts w:cs="Times New Roman"/>
                <w:b/>
                <w:bCs/>
              </w:rPr>
            </w:pPr>
            <w:r w:rsidRPr="003C6B9F">
              <w:rPr>
                <w:rFonts w:cs="Times New Roman"/>
                <w:b/>
                <w:bCs/>
              </w:rPr>
              <w:t>Asset Owner</w:t>
            </w:r>
            <w:r w:rsidR="00B4689C" w:rsidRPr="003C6B9F">
              <w:rPr>
                <w:rFonts w:cs="Times New Roman"/>
                <w:b/>
                <w:bCs/>
              </w:rPr>
              <w:t xml:space="preserve"> 2</w:t>
            </w:r>
          </w:p>
        </w:tc>
        <w:tc>
          <w:tcPr>
            <w:tcW w:w="7285" w:type="dxa"/>
          </w:tcPr>
          <w:p w14:paraId="3B16E07D" w14:textId="0E394F43" w:rsidR="0093494F" w:rsidRPr="003C6B9F" w:rsidRDefault="0093494F" w:rsidP="0093494F">
            <w:pPr>
              <w:jc w:val="center"/>
              <w:rPr>
                <w:rFonts w:cs="Times New Roman"/>
              </w:rPr>
            </w:pPr>
            <w:r w:rsidRPr="003C6B9F">
              <w:rPr>
                <w:rFonts w:cs="Times New Roman"/>
                <w:noProof/>
              </w:rPr>
              <w:drawing>
                <wp:inline distT="0" distB="0" distL="0" distR="0" wp14:anchorId="47A28858" wp14:editId="2EE3A65A">
                  <wp:extent cx="4058285" cy="1640792"/>
                  <wp:effectExtent l="0" t="0" r="0" b="0"/>
                  <wp:docPr id="2119602017" name="Chart 1">
                    <a:extLst xmlns:a="http://schemas.openxmlformats.org/drawingml/2006/main">
                      <a:ext uri="{FF2B5EF4-FFF2-40B4-BE49-F238E27FC236}">
                        <a16:creationId xmlns:a16="http://schemas.microsoft.com/office/drawing/2014/main" id="{6104D763-5FA9-410E-8442-222C087AFB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93494F" w:rsidRPr="003C6B9F" w14:paraId="17D96796" w14:textId="77777777" w:rsidTr="00B4689C">
        <w:tc>
          <w:tcPr>
            <w:tcW w:w="2065" w:type="dxa"/>
            <w:vAlign w:val="center"/>
          </w:tcPr>
          <w:p w14:paraId="0C59FD11" w14:textId="21070A3E" w:rsidR="0093494F" w:rsidRPr="003C6B9F" w:rsidRDefault="00334F31" w:rsidP="0093494F">
            <w:pPr>
              <w:jc w:val="center"/>
              <w:rPr>
                <w:rFonts w:cs="Times New Roman"/>
                <w:b/>
                <w:bCs/>
              </w:rPr>
            </w:pPr>
            <w:r w:rsidRPr="003C6B9F">
              <w:rPr>
                <w:rFonts w:cs="Times New Roman"/>
                <w:b/>
                <w:bCs/>
              </w:rPr>
              <w:t>Asset Owner</w:t>
            </w:r>
            <w:r w:rsidR="00B4689C" w:rsidRPr="003C6B9F">
              <w:rPr>
                <w:rFonts w:cs="Times New Roman"/>
                <w:b/>
                <w:bCs/>
              </w:rPr>
              <w:t xml:space="preserve"> 3</w:t>
            </w:r>
          </w:p>
        </w:tc>
        <w:tc>
          <w:tcPr>
            <w:tcW w:w="7285" w:type="dxa"/>
          </w:tcPr>
          <w:p w14:paraId="734E2474" w14:textId="4C0E9B8A" w:rsidR="0093494F" w:rsidRPr="003C6B9F" w:rsidRDefault="0093494F" w:rsidP="29C72F73">
            <w:pPr>
              <w:rPr>
                <w:rFonts w:cs="Times New Roman"/>
              </w:rPr>
            </w:pPr>
            <w:r w:rsidRPr="003C6B9F">
              <w:rPr>
                <w:rFonts w:cs="Times New Roman"/>
                <w:noProof/>
              </w:rPr>
              <w:drawing>
                <wp:inline distT="0" distB="0" distL="0" distR="0" wp14:anchorId="6771EDD3" wp14:editId="16C24477">
                  <wp:extent cx="4067810" cy="1751888"/>
                  <wp:effectExtent l="0" t="0" r="8890" b="0"/>
                  <wp:docPr id="399570745" name="Chart 1">
                    <a:extLst xmlns:a="http://schemas.openxmlformats.org/drawingml/2006/main">
                      <a:ext uri="{FF2B5EF4-FFF2-40B4-BE49-F238E27FC236}">
                        <a16:creationId xmlns:a16="http://schemas.microsoft.com/office/drawing/2014/main" id="{6104D763-5FA9-410E-8442-222C087AFB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6522D89F" w14:textId="77777777" w:rsidR="0093494F" w:rsidRPr="003C6B9F" w:rsidRDefault="0093494F" w:rsidP="29C72F73">
      <w:pPr>
        <w:rPr>
          <w:rFonts w:cs="Times New Roman"/>
          <w:i/>
          <w:iCs/>
        </w:rPr>
      </w:pPr>
    </w:p>
    <w:p w14:paraId="6CBFAA30" w14:textId="28D4E922" w:rsidR="00EB7862" w:rsidRPr="003C6B9F" w:rsidRDefault="00EB7862" w:rsidP="29C72F73">
      <w:pPr>
        <w:rPr>
          <w:rFonts w:cs="Times New Roman"/>
          <w:i/>
          <w:iCs/>
        </w:rPr>
      </w:pPr>
      <w:r w:rsidRPr="003C6B9F">
        <w:rPr>
          <w:rFonts w:cs="Times New Roman"/>
        </w:rPr>
        <w:t>The CRREM tool clearly communicated the stranding year and the carbon cost of excess emissions of the individual buildings</w:t>
      </w:r>
      <w:r w:rsidR="00262D8D" w:rsidRPr="003C6B9F">
        <w:rPr>
          <w:rFonts w:cs="Times New Roman"/>
        </w:rPr>
        <w:t xml:space="preserve"> and from a portfolio perspective</w:t>
      </w:r>
      <w:r w:rsidRPr="003C6B9F">
        <w:rPr>
          <w:rFonts w:cs="Times New Roman"/>
        </w:rPr>
        <w:t xml:space="preserve">. The results and graphs (Figure 3 and 4) clearly informed the user from which year the building will run at a financial loss due to an increase in the cost of excess emissions. The tool also allowed for different property portfolios to be compared (Table 2), to help determine which portfolio performs better. To date in Australia, there has been a lack of tools to help inform users about the future risk to their buildings due to climate change and valuable information such as this will help prepare building owners, especially in Australia, to systematically address this risk and create greater preparedness </w:t>
      </w:r>
      <w:r w:rsidRPr="003C6B9F">
        <w:rPr>
          <w:rFonts w:cs="Times New Roman"/>
        </w:rPr>
        <w:fldChar w:fldCharType="begin"/>
      </w:r>
      <w:r w:rsidRPr="003C6B9F">
        <w:rPr>
          <w:rFonts w:cs="Times New Roman"/>
        </w:rPr>
        <w:instrText xml:space="preserve"> ADDIN EN.CITE &lt;EndNote&gt;&lt;Cite&gt;&lt;Author&gt;Hurliman&lt;/Author&gt;&lt;Year&gt;2019&lt;/Year&gt;&lt;RecNum&gt;1241&lt;/RecNum&gt;&lt;DisplayText&gt;(Hurliman et al., 2019, Deloitte, 2022)&lt;/DisplayText&gt;&lt;record&gt;&lt;rec-number&gt;1241&lt;/rec-number&gt;&lt;foreign-keys&gt;&lt;key app="EN" db-id="ear29sre9ve0woevt0ix2wv1pvasrzaedp5f" timestamp="1690089694" guid="a4246358-4e85-4d80-b944-502a53604270"&gt;1241&lt;/key&gt;&lt;/foreign-keys&gt;&lt;ref-type name="Journal Article"&gt;17&lt;/ref-type&gt;&lt;contributors&gt;&lt;authors&gt;&lt;author&gt;Hurliman, C&lt;/author&gt;&lt;author&gt;Warren-Myers, Georgia&lt;/author&gt;&lt;author&gt;Browne, G&lt;/author&gt;&lt;/authors&gt;&lt;/contributors&gt;&lt;titles&gt;&lt;title&gt;Is the Australian construction industry prepared for climate change?&lt;/title&gt;&lt;secondary-title&gt;Building and Environment&lt;/secondary-title&gt;&lt;/titles&gt;&lt;periodical&gt;&lt;full-title&gt;Building and Environment&lt;/full-title&gt;&lt;/periodical&gt;&lt;pages&gt;128-137&lt;/pages&gt;&lt;volume&gt;153&lt;/volume&gt;&lt;dates&gt;&lt;year&gt;2019&lt;/year&gt;&lt;/dates&gt;&lt;urls&gt;&lt;/urls&gt;&lt;/record&gt;&lt;/Cite&gt;&lt;Cite&gt;&lt;Author&gt;Deloitte&lt;/Author&gt;&lt;Year&gt;2022&lt;/Year&gt;&lt;RecNum&gt;1242&lt;/RecNum&gt;&lt;record&gt;&lt;rec-number&gt;1242&lt;/rec-number&gt;&lt;foreign-keys&gt;&lt;key app="EN" db-id="ear29sre9ve0woevt0ix2wv1pvasrzaedp5f" timestamp="1690090161" guid="f4a8817f-9cb7-418e-999a-22e330772075"&gt;1242&lt;/key&gt;&lt;/foreign-keys&gt;&lt;ref-type name="Press Release"&gt;63&lt;/ref-type&gt;&lt;contributors&gt;&lt;authors&gt;&lt;author&gt;Deloitte&lt;/author&gt;&lt;/authors&gt;&lt;/contributors&gt;&lt;titles&gt;&lt;title&gt;Economic reality check Adapting Australia for climate-resilient growth&lt;/title&gt;&lt;/titles&gt;&lt;dates&gt;&lt;year&gt;2022&lt;/year&gt;&lt;/dates&gt;&lt;pub-location&gt;Australia&lt;/pub-location&gt;&lt;publisher&gt;Deloitte Access Economics Pty Ltd&lt;/publisher&gt;&lt;urls&gt;&lt;/urls&gt;&lt;/record&gt;&lt;/Cite&gt;&lt;/EndNote&gt;</w:instrText>
      </w:r>
      <w:r w:rsidRPr="003C6B9F">
        <w:rPr>
          <w:rFonts w:cs="Times New Roman"/>
        </w:rPr>
        <w:fldChar w:fldCharType="separate"/>
      </w:r>
      <w:r w:rsidRPr="003C6B9F">
        <w:rPr>
          <w:rFonts w:cs="Times New Roman"/>
          <w:noProof/>
        </w:rPr>
        <w:t>(Hurliman et al., 2019, Deloitte, 2022)</w:t>
      </w:r>
      <w:r w:rsidRPr="003C6B9F">
        <w:rPr>
          <w:rFonts w:cs="Times New Roman"/>
        </w:rPr>
        <w:fldChar w:fldCharType="end"/>
      </w:r>
      <w:r w:rsidRPr="003C6B9F">
        <w:rPr>
          <w:rFonts w:cs="Times New Roman"/>
        </w:rPr>
        <w:t xml:space="preserve">. The results provided by the CRREM tool for the case studies provide valuable insight into the possible future performance of these buildings and helps to highlight potential areas of risk (such as stranding year and cost of excess carbon emissions). This study has shown that there is not only a need for a tool such as CRREM in the Australian market but </w:t>
      </w:r>
      <w:r w:rsidRPr="003C6B9F">
        <w:rPr>
          <w:rFonts w:cs="Times New Roman"/>
        </w:rPr>
        <w:lastRenderedPageBreak/>
        <w:t>that it has the potential to help foster the creation of climate resilient built assets due to the type of results it produces.</w:t>
      </w:r>
    </w:p>
    <w:p w14:paraId="3AF7FD17" w14:textId="77777777" w:rsidR="00EB7862" w:rsidRPr="003C6B9F" w:rsidRDefault="00EB7862" w:rsidP="00EB7862">
      <w:pPr>
        <w:pStyle w:val="Heading2"/>
        <w:rPr>
          <w:rFonts w:cs="Times New Roman"/>
        </w:rPr>
      </w:pPr>
      <w:r w:rsidRPr="003C6B9F">
        <w:rPr>
          <w:rFonts w:cs="Times New Roman"/>
        </w:rPr>
        <w:t xml:space="preserve">Objective 2: </w:t>
      </w:r>
      <w:proofErr w:type="spellStart"/>
      <w:r w:rsidRPr="003C6B9F">
        <w:rPr>
          <w:rFonts w:cs="Times New Roman"/>
        </w:rPr>
        <w:t>Analyse</w:t>
      </w:r>
      <w:proofErr w:type="spellEnd"/>
      <w:r w:rsidRPr="003C6B9F">
        <w:rPr>
          <w:rFonts w:cs="Times New Roman"/>
        </w:rPr>
        <w:t xml:space="preserve"> the different CRREM tool versions</w:t>
      </w:r>
    </w:p>
    <w:p w14:paraId="7DF90C7E" w14:textId="49203982" w:rsidR="008A1B8C" w:rsidRPr="003C6B9F" w:rsidRDefault="00EE4610" w:rsidP="00DF66E3">
      <w:pPr>
        <w:rPr>
          <w:rFonts w:cs="Times New Roman"/>
        </w:rPr>
      </w:pPr>
      <w:r w:rsidRPr="003C6B9F">
        <w:rPr>
          <w:rFonts w:cs="Times New Roman"/>
        </w:rPr>
        <w:t>Three different CRREM tool versions were used for th</w:t>
      </w:r>
      <w:r w:rsidR="00B156C6" w:rsidRPr="003C6B9F">
        <w:rPr>
          <w:rFonts w:cs="Times New Roman"/>
        </w:rPr>
        <w:t>e analysis</w:t>
      </w:r>
      <w:r w:rsidRPr="003C6B9F">
        <w:rPr>
          <w:rFonts w:cs="Times New Roman"/>
        </w:rPr>
        <w:t xml:space="preserve">, namely V1.22 and V2.02 and the latest available tool version V2.03. </w:t>
      </w:r>
      <w:r w:rsidR="00DF66E3" w:rsidRPr="003C6B9F">
        <w:rPr>
          <w:rFonts w:cs="Times New Roman"/>
        </w:rPr>
        <w:t>Due to the completeness of data from</w:t>
      </w:r>
      <w:r w:rsidRPr="003C6B9F">
        <w:rPr>
          <w:rFonts w:cs="Times New Roman"/>
        </w:rPr>
        <w:t xml:space="preserve"> </w:t>
      </w:r>
      <w:r w:rsidR="00334F31" w:rsidRPr="003C6B9F">
        <w:rPr>
          <w:rFonts w:cs="Times New Roman"/>
        </w:rPr>
        <w:t>Asset Owner</w:t>
      </w:r>
      <w:r w:rsidRPr="003C6B9F">
        <w:rPr>
          <w:rFonts w:cs="Times New Roman"/>
        </w:rPr>
        <w:t xml:space="preserve"> 1’s</w:t>
      </w:r>
      <w:r w:rsidR="00DF66E3" w:rsidRPr="003C6B9F">
        <w:rPr>
          <w:rFonts w:cs="Times New Roman"/>
        </w:rPr>
        <w:t xml:space="preserve"> properties, their portfolio was </w:t>
      </w:r>
      <w:proofErr w:type="spellStart"/>
      <w:r w:rsidR="000F411F" w:rsidRPr="003C6B9F">
        <w:rPr>
          <w:rFonts w:cs="Times New Roman"/>
        </w:rPr>
        <w:t>utilised</w:t>
      </w:r>
      <w:proofErr w:type="spellEnd"/>
      <w:r w:rsidR="000F411F" w:rsidRPr="003C6B9F">
        <w:rPr>
          <w:rFonts w:cs="Times New Roman"/>
        </w:rPr>
        <w:t xml:space="preserve"> </w:t>
      </w:r>
      <w:r w:rsidR="00DF66E3" w:rsidRPr="003C6B9F">
        <w:rPr>
          <w:rFonts w:cs="Times New Roman"/>
        </w:rPr>
        <w:t>for th</w:t>
      </w:r>
      <w:r w:rsidRPr="003C6B9F">
        <w:rPr>
          <w:rFonts w:cs="Times New Roman"/>
        </w:rPr>
        <w:t>is</w:t>
      </w:r>
      <w:r w:rsidR="00DF66E3" w:rsidRPr="003C6B9F">
        <w:rPr>
          <w:rFonts w:cs="Times New Roman"/>
        </w:rPr>
        <w:t xml:space="preserve"> comparative analysi</w:t>
      </w:r>
      <w:r w:rsidRPr="003C6B9F">
        <w:rPr>
          <w:rFonts w:cs="Times New Roman"/>
        </w:rPr>
        <w:t>s</w:t>
      </w:r>
      <w:r w:rsidR="00DF66E3" w:rsidRPr="003C6B9F">
        <w:rPr>
          <w:rFonts w:cs="Times New Roman"/>
        </w:rPr>
        <w:t xml:space="preserve">. Figure </w:t>
      </w:r>
      <w:r w:rsidR="00FD3C9B" w:rsidRPr="003C6B9F">
        <w:rPr>
          <w:rFonts w:cs="Times New Roman"/>
        </w:rPr>
        <w:t>5 p</w:t>
      </w:r>
      <w:r w:rsidR="00DF66E3" w:rsidRPr="003C6B9F">
        <w:rPr>
          <w:rFonts w:cs="Times New Roman"/>
        </w:rPr>
        <w:t>rovides a synopsis of the differences in performance of the CRREM tools for the</w:t>
      </w:r>
      <w:r w:rsidR="000F411F" w:rsidRPr="003C6B9F">
        <w:rPr>
          <w:rFonts w:cs="Times New Roman"/>
        </w:rPr>
        <w:t xml:space="preserve"> 11</w:t>
      </w:r>
      <w:r w:rsidR="00DF66E3" w:rsidRPr="003C6B9F">
        <w:rPr>
          <w:rFonts w:cs="Times New Roman"/>
        </w:rPr>
        <w:t xml:space="preserve"> individual assets in </w:t>
      </w:r>
      <w:r w:rsidR="00334F31" w:rsidRPr="003C6B9F">
        <w:rPr>
          <w:rFonts w:cs="Times New Roman"/>
        </w:rPr>
        <w:t>Asset Owner</w:t>
      </w:r>
      <w:r w:rsidR="00FD3C9B" w:rsidRPr="003C6B9F">
        <w:rPr>
          <w:rFonts w:cs="Times New Roman"/>
        </w:rPr>
        <w:t xml:space="preserve"> 1’s</w:t>
      </w:r>
      <w:r w:rsidR="00DF66E3" w:rsidRPr="003C6B9F">
        <w:rPr>
          <w:rFonts w:cs="Times New Roman"/>
        </w:rPr>
        <w:t xml:space="preserve"> portfolio. The newer versions</w:t>
      </w:r>
      <w:r w:rsidR="008A1B8C" w:rsidRPr="003C6B9F">
        <w:rPr>
          <w:rFonts w:cs="Times New Roman"/>
        </w:rPr>
        <w:t xml:space="preserve"> (V2.03 and V</w:t>
      </w:r>
      <w:r w:rsidR="00EB7862" w:rsidRPr="003C6B9F">
        <w:rPr>
          <w:rFonts w:cs="Times New Roman"/>
        </w:rPr>
        <w:t>2</w:t>
      </w:r>
      <w:r w:rsidR="008A1B8C" w:rsidRPr="003C6B9F">
        <w:rPr>
          <w:rFonts w:cs="Times New Roman"/>
        </w:rPr>
        <w:t>.0</w:t>
      </w:r>
      <w:r w:rsidR="00EB7862" w:rsidRPr="003C6B9F">
        <w:rPr>
          <w:rFonts w:cs="Times New Roman"/>
        </w:rPr>
        <w:t>3</w:t>
      </w:r>
      <w:r w:rsidR="008A1B8C" w:rsidRPr="003C6B9F">
        <w:rPr>
          <w:rFonts w:cs="Times New Roman"/>
        </w:rPr>
        <w:t xml:space="preserve">) </w:t>
      </w:r>
      <w:r w:rsidR="00DF66E3" w:rsidRPr="003C6B9F">
        <w:rPr>
          <w:rFonts w:cs="Times New Roman"/>
        </w:rPr>
        <w:t xml:space="preserve">brought the year of stranding forward for all case studies and in some cases as much as 5 years. </w:t>
      </w:r>
      <w:r w:rsidR="008A1B8C" w:rsidRPr="003C6B9F">
        <w:rPr>
          <w:rFonts w:cs="Times New Roman"/>
        </w:rPr>
        <w:t>For example, building 2 (located in Western Australia) has a stranding year of 2042 with V1.22 and 2037 for both V2.0</w:t>
      </w:r>
      <w:r w:rsidR="000C172D" w:rsidRPr="003C6B9F">
        <w:rPr>
          <w:rFonts w:cs="Times New Roman"/>
        </w:rPr>
        <w:t>2</w:t>
      </w:r>
      <w:r w:rsidR="008A1B8C" w:rsidRPr="003C6B9F">
        <w:rPr>
          <w:rFonts w:cs="Times New Roman"/>
        </w:rPr>
        <w:t xml:space="preserve"> and V</w:t>
      </w:r>
      <w:r w:rsidR="000C172D" w:rsidRPr="003C6B9F">
        <w:rPr>
          <w:rFonts w:cs="Times New Roman"/>
        </w:rPr>
        <w:t>2</w:t>
      </w:r>
      <w:r w:rsidR="008A1B8C" w:rsidRPr="003C6B9F">
        <w:rPr>
          <w:rFonts w:cs="Times New Roman"/>
        </w:rPr>
        <w:t>.0</w:t>
      </w:r>
      <w:r w:rsidR="000C172D" w:rsidRPr="003C6B9F">
        <w:rPr>
          <w:rFonts w:cs="Times New Roman"/>
        </w:rPr>
        <w:t>3</w:t>
      </w:r>
      <w:r w:rsidR="008A1B8C" w:rsidRPr="003C6B9F">
        <w:rPr>
          <w:rFonts w:cs="Times New Roman"/>
        </w:rPr>
        <w:t xml:space="preserve">. </w:t>
      </w:r>
    </w:p>
    <w:p w14:paraId="3D21DE8D" w14:textId="4F4F630C" w:rsidR="00EE4610" w:rsidRPr="003C6B9F" w:rsidRDefault="00DF66E3" w:rsidP="00087934">
      <w:pPr>
        <w:rPr>
          <w:rFonts w:cs="Times New Roman"/>
        </w:rPr>
      </w:pPr>
      <w:r w:rsidRPr="003C6B9F">
        <w:rPr>
          <w:rFonts w:cs="Times New Roman"/>
        </w:rPr>
        <w:t xml:space="preserve">The </w:t>
      </w:r>
      <w:r w:rsidR="008A1B8C" w:rsidRPr="003C6B9F">
        <w:rPr>
          <w:rFonts w:cs="Times New Roman"/>
        </w:rPr>
        <w:t xml:space="preserve">newer </w:t>
      </w:r>
      <w:r w:rsidRPr="003C6B9F">
        <w:rPr>
          <w:rFonts w:cs="Times New Roman"/>
        </w:rPr>
        <w:t>CRREM version</w:t>
      </w:r>
      <w:r w:rsidR="006453C5" w:rsidRPr="003C6B9F">
        <w:rPr>
          <w:rFonts w:cs="Times New Roman"/>
        </w:rPr>
        <w:t>s</w:t>
      </w:r>
      <w:r w:rsidRPr="003C6B9F">
        <w:rPr>
          <w:rFonts w:cs="Times New Roman"/>
        </w:rPr>
        <w:t xml:space="preserve"> V2.02 and V2.03 produced very comparable results, with all buildings providing </w:t>
      </w:r>
      <w:r w:rsidR="00A24876" w:rsidRPr="003C6B9F">
        <w:rPr>
          <w:rFonts w:cs="Times New Roman"/>
        </w:rPr>
        <w:t>similar</w:t>
      </w:r>
      <w:r w:rsidRPr="003C6B9F">
        <w:rPr>
          <w:rFonts w:cs="Times New Roman"/>
        </w:rPr>
        <w:t xml:space="preserve"> </w:t>
      </w:r>
      <w:r w:rsidR="00BA2888" w:rsidRPr="003C6B9F">
        <w:rPr>
          <w:rFonts w:cs="Times New Roman"/>
        </w:rPr>
        <w:t>stranding years</w:t>
      </w:r>
      <w:r w:rsidRPr="003C6B9F">
        <w:rPr>
          <w:rFonts w:cs="Times New Roman"/>
        </w:rPr>
        <w:t xml:space="preserve">, </w:t>
      </w:r>
      <w:proofErr w:type="gramStart"/>
      <w:r w:rsidRPr="003C6B9F">
        <w:rPr>
          <w:rFonts w:cs="Times New Roman"/>
        </w:rPr>
        <w:t>with the exception of</w:t>
      </w:r>
      <w:proofErr w:type="gramEnd"/>
      <w:r w:rsidRPr="003C6B9F">
        <w:rPr>
          <w:rFonts w:cs="Times New Roman"/>
        </w:rPr>
        <w:t xml:space="preserve"> 3 out of the 1</w:t>
      </w:r>
      <w:r w:rsidR="00FD3C9B" w:rsidRPr="003C6B9F">
        <w:rPr>
          <w:rFonts w:cs="Times New Roman"/>
        </w:rPr>
        <w:t>1</w:t>
      </w:r>
      <w:r w:rsidRPr="003C6B9F">
        <w:rPr>
          <w:rFonts w:cs="Times New Roman"/>
        </w:rPr>
        <w:t xml:space="preserve"> case studies</w:t>
      </w:r>
      <w:r w:rsidR="00BA2888" w:rsidRPr="003C6B9F">
        <w:rPr>
          <w:rFonts w:cs="Times New Roman"/>
        </w:rPr>
        <w:t xml:space="preserve"> (buildings 4,</w:t>
      </w:r>
      <w:r w:rsidR="00557743" w:rsidRPr="003C6B9F">
        <w:rPr>
          <w:rFonts w:cs="Times New Roman"/>
        </w:rPr>
        <w:t xml:space="preserve"> </w:t>
      </w:r>
      <w:r w:rsidR="00BA2888" w:rsidRPr="003C6B9F">
        <w:rPr>
          <w:rFonts w:cs="Times New Roman"/>
        </w:rPr>
        <w:t>5 and 8)</w:t>
      </w:r>
      <w:r w:rsidRPr="003C6B9F">
        <w:rPr>
          <w:rFonts w:cs="Times New Roman"/>
        </w:rPr>
        <w:t xml:space="preserve">, where the year of stranding increased. </w:t>
      </w:r>
      <w:r w:rsidR="00FC063D" w:rsidRPr="003C6B9F">
        <w:rPr>
          <w:rFonts w:cs="Times New Roman"/>
        </w:rPr>
        <w:t>There are no obvious reasons why these 3 buildings have a later stranding year</w:t>
      </w:r>
      <w:r w:rsidR="00A91979" w:rsidRPr="003C6B9F">
        <w:rPr>
          <w:rFonts w:cs="Times New Roman"/>
        </w:rPr>
        <w:t xml:space="preserve">. </w:t>
      </w:r>
      <w:r w:rsidR="00BA2888" w:rsidRPr="003C6B9F">
        <w:rPr>
          <w:rFonts w:cs="Times New Roman"/>
        </w:rPr>
        <w:t xml:space="preserve">All three </w:t>
      </w:r>
      <w:r w:rsidR="0034700D" w:rsidRPr="003C6B9F">
        <w:rPr>
          <w:rFonts w:cs="Times New Roman"/>
        </w:rPr>
        <w:t xml:space="preserve">of </w:t>
      </w:r>
      <w:r w:rsidR="00BA2888" w:rsidRPr="003C6B9F">
        <w:rPr>
          <w:rFonts w:cs="Times New Roman"/>
        </w:rPr>
        <w:t xml:space="preserve">these buildings </w:t>
      </w:r>
      <w:r w:rsidR="006453C5" w:rsidRPr="003C6B9F">
        <w:rPr>
          <w:rFonts w:cs="Times New Roman"/>
        </w:rPr>
        <w:t>are in</w:t>
      </w:r>
      <w:r w:rsidR="00BA2888" w:rsidRPr="003C6B9F">
        <w:rPr>
          <w:rFonts w:cs="Times New Roman"/>
        </w:rPr>
        <w:t xml:space="preserve"> Victoria </w:t>
      </w:r>
      <w:r w:rsidR="00FC063D" w:rsidRPr="003C6B9F">
        <w:rPr>
          <w:rFonts w:cs="Times New Roman"/>
        </w:rPr>
        <w:t xml:space="preserve">(a total of 5 of the 11 </w:t>
      </w:r>
      <w:proofErr w:type="gramStart"/>
      <w:r w:rsidR="00FC063D" w:rsidRPr="003C6B9F">
        <w:rPr>
          <w:rFonts w:cs="Times New Roman"/>
        </w:rPr>
        <w:t>were located in</w:t>
      </w:r>
      <w:proofErr w:type="gramEnd"/>
      <w:r w:rsidR="00FC063D" w:rsidRPr="003C6B9F">
        <w:rPr>
          <w:rFonts w:cs="Times New Roman"/>
        </w:rPr>
        <w:t xml:space="preserve"> Victoria). </w:t>
      </w:r>
      <w:r w:rsidR="00316AA9" w:rsidRPr="003C6B9F">
        <w:rPr>
          <w:rFonts w:cs="Times New Roman"/>
        </w:rPr>
        <w:t>These</w:t>
      </w:r>
      <w:r w:rsidR="00FC063D" w:rsidRPr="003C6B9F">
        <w:rPr>
          <w:rFonts w:cs="Times New Roman"/>
        </w:rPr>
        <w:t xml:space="preserve"> 3 buildings </w:t>
      </w:r>
      <w:r w:rsidR="0024330A" w:rsidRPr="003C6B9F">
        <w:rPr>
          <w:rFonts w:cs="Times New Roman"/>
        </w:rPr>
        <w:t xml:space="preserve">do not </w:t>
      </w:r>
      <w:r w:rsidR="00FC063D" w:rsidRPr="003C6B9F">
        <w:rPr>
          <w:rFonts w:cs="Times New Roman"/>
        </w:rPr>
        <w:t xml:space="preserve">have the highest electricity consumption (Building 1 and 2 in fact have the highest of the 11) or the lowest (building 3 has the lowest). </w:t>
      </w:r>
      <w:r w:rsidR="00316AA9" w:rsidRPr="003C6B9F">
        <w:rPr>
          <w:rFonts w:cs="Times New Roman"/>
        </w:rPr>
        <w:t xml:space="preserve">And they don’t have the lowest natural gas consumption either (Building 1 and 11 have). </w:t>
      </w:r>
      <w:r w:rsidR="006453C5" w:rsidRPr="003C6B9F">
        <w:rPr>
          <w:rFonts w:cs="Times New Roman"/>
        </w:rPr>
        <w:t>Thus,</w:t>
      </w:r>
      <w:r w:rsidR="00316AA9" w:rsidRPr="003C6B9F">
        <w:rPr>
          <w:rFonts w:cs="Times New Roman"/>
        </w:rPr>
        <w:t xml:space="preserve"> it is inconclusive why these 3 buildings have later stranding years with the newer tool version (V</w:t>
      </w:r>
      <w:r w:rsidR="000C172D" w:rsidRPr="003C6B9F">
        <w:rPr>
          <w:rFonts w:cs="Times New Roman"/>
        </w:rPr>
        <w:t>2</w:t>
      </w:r>
      <w:r w:rsidR="00316AA9" w:rsidRPr="003C6B9F">
        <w:rPr>
          <w:rFonts w:cs="Times New Roman"/>
        </w:rPr>
        <w:t>.0</w:t>
      </w:r>
      <w:r w:rsidR="000C172D" w:rsidRPr="003C6B9F">
        <w:rPr>
          <w:rFonts w:cs="Times New Roman"/>
        </w:rPr>
        <w:t>3</w:t>
      </w:r>
      <w:r w:rsidR="00316AA9" w:rsidRPr="003C6B9F">
        <w:rPr>
          <w:rFonts w:cs="Times New Roman"/>
        </w:rPr>
        <w:t>) when compared to the previous version (V2.02)</w:t>
      </w:r>
      <w:r w:rsidR="006453C5" w:rsidRPr="003C6B9F">
        <w:rPr>
          <w:rFonts w:cs="Times New Roman"/>
        </w:rPr>
        <w:t xml:space="preserve">. </w:t>
      </w:r>
      <w:r w:rsidR="00EB7862" w:rsidRPr="003C6B9F" w:rsidDel="00EB7862">
        <w:rPr>
          <w:rFonts w:cs="Times New Roman"/>
        </w:rPr>
        <w:t xml:space="preserve"> </w:t>
      </w:r>
    </w:p>
    <w:p w14:paraId="083FC139" w14:textId="7E71DB8C" w:rsidR="000C172D" w:rsidRPr="003C6B9F" w:rsidRDefault="000C172D" w:rsidP="00EE4610">
      <w:pPr>
        <w:keepNext/>
        <w:rPr>
          <w:rFonts w:cs="Times New Roman"/>
        </w:rPr>
      </w:pPr>
      <w:r w:rsidRPr="003C6B9F">
        <w:rPr>
          <w:rFonts w:cs="Times New Roman"/>
          <w:noProof/>
        </w:rPr>
        <w:drawing>
          <wp:inline distT="0" distB="0" distL="0" distR="0" wp14:anchorId="71008138" wp14:editId="575F4738">
            <wp:extent cx="5943600" cy="2720374"/>
            <wp:effectExtent l="0" t="0" r="0" b="3810"/>
            <wp:docPr id="1336070395" name="Chart 1">
              <a:extLst xmlns:a="http://schemas.openxmlformats.org/drawingml/2006/main">
                <a:ext uri="{FF2B5EF4-FFF2-40B4-BE49-F238E27FC236}">
                  <a16:creationId xmlns:a16="http://schemas.microsoft.com/office/drawing/2014/main" id="{39C71CAD-0383-E146-D400-C9BBC3D9C9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67A14BC" w14:textId="5DFA36B8" w:rsidR="0034700D" w:rsidRPr="003C6B9F" w:rsidRDefault="0034700D" w:rsidP="00087934">
      <w:pPr>
        <w:pStyle w:val="Caption"/>
        <w:jc w:val="center"/>
        <w:rPr>
          <w:rFonts w:cs="Times New Roman"/>
          <w:b w:val="0"/>
          <w:bCs/>
          <w:sz w:val="22"/>
          <w:szCs w:val="16"/>
        </w:rPr>
      </w:pPr>
      <w:r w:rsidRPr="003C6B9F">
        <w:rPr>
          <w:rFonts w:cs="Times New Roman"/>
          <w:b w:val="0"/>
          <w:bCs/>
          <w:sz w:val="22"/>
          <w:szCs w:val="16"/>
        </w:rPr>
        <w:t xml:space="preserve">Figure 4 CRREM tool version analysis of </w:t>
      </w:r>
      <w:r w:rsidR="00334F31" w:rsidRPr="003C6B9F">
        <w:rPr>
          <w:rFonts w:cs="Times New Roman"/>
          <w:b w:val="0"/>
          <w:bCs/>
          <w:sz w:val="22"/>
          <w:szCs w:val="16"/>
        </w:rPr>
        <w:t>Asset Owner</w:t>
      </w:r>
      <w:r w:rsidRPr="003C6B9F">
        <w:rPr>
          <w:rFonts w:cs="Times New Roman"/>
          <w:b w:val="0"/>
          <w:bCs/>
          <w:sz w:val="22"/>
          <w:szCs w:val="16"/>
        </w:rPr>
        <w:t xml:space="preserve"> 1</w:t>
      </w:r>
      <w:r w:rsidR="00AC6222" w:rsidRPr="003C6B9F">
        <w:rPr>
          <w:rFonts w:cs="Times New Roman"/>
          <w:b w:val="0"/>
          <w:bCs/>
          <w:sz w:val="22"/>
          <w:szCs w:val="16"/>
        </w:rPr>
        <w:t>’s</w:t>
      </w:r>
      <w:r w:rsidRPr="003C6B9F">
        <w:rPr>
          <w:rFonts w:cs="Times New Roman"/>
          <w:b w:val="0"/>
          <w:bCs/>
          <w:sz w:val="22"/>
          <w:szCs w:val="16"/>
        </w:rPr>
        <w:t xml:space="preserve"> portfolio of buildings.</w:t>
      </w:r>
    </w:p>
    <w:p w14:paraId="231E95C8" w14:textId="068288C7" w:rsidR="00E77FD6" w:rsidRPr="003C6B9F" w:rsidRDefault="00EB7862" w:rsidP="00EB7862">
      <w:pPr>
        <w:rPr>
          <w:rFonts w:cs="Times New Roman"/>
        </w:rPr>
      </w:pPr>
      <w:r w:rsidRPr="003C6B9F">
        <w:rPr>
          <w:rFonts w:cs="Times New Roman"/>
        </w:rPr>
        <w:t xml:space="preserve">Three different CRREM tool versions were used, namely V1.22, V2.02 and the latest available version V2.03 for assessing Asset Owner 1’s office buildings. The newer tools brought the stranding year forward for all case studies, by as much as 5 years in some cases. The newer tool versions (V2.03 and V2.03) provided very similar results in all case studies except 3. </w:t>
      </w:r>
      <w:r w:rsidR="00E77FD6" w:rsidRPr="003C6B9F">
        <w:rPr>
          <w:rFonts w:cs="Times New Roman"/>
        </w:rPr>
        <w:t>It is understood that substantial changes were made to various data inputs (</w:t>
      </w:r>
      <w:proofErr w:type="gramStart"/>
      <w:r w:rsidR="00E77FD6" w:rsidRPr="003C6B9F">
        <w:rPr>
          <w:rFonts w:cs="Times New Roman"/>
        </w:rPr>
        <w:t>in particular the</w:t>
      </w:r>
      <w:proofErr w:type="gramEnd"/>
      <w:r w:rsidR="00E77FD6" w:rsidRPr="003C6B9F">
        <w:rPr>
          <w:rFonts w:cs="Times New Roman"/>
        </w:rPr>
        <w:t xml:space="preserve"> decarbonization pathways) between the V1.22 and the later version, which has meant an update to the results understandably. Further refinement is demonstrated in the later version comparisons, although this appears to be limited.</w:t>
      </w:r>
      <w:r w:rsidRPr="003C6B9F">
        <w:rPr>
          <w:rFonts w:cs="Times New Roman"/>
        </w:rPr>
        <w:t xml:space="preserve"> Figure 6 shows that the portfolio’s stranding year range does decrease significantly from the old tool version to the newer tool versions, </w:t>
      </w:r>
      <w:r w:rsidR="00E77FD6" w:rsidRPr="003C6B9F">
        <w:rPr>
          <w:rFonts w:cs="Times New Roman"/>
        </w:rPr>
        <w:t>but also reduces the variation in results. This is likely a result of the w</w:t>
      </w:r>
      <w:r w:rsidRPr="003C6B9F">
        <w:rPr>
          <w:rFonts w:cs="Times New Roman"/>
        </w:rPr>
        <w:t xml:space="preserve">hich can be due to </w:t>
      </w:r>
      <w:r w:rsidR="00E77FD6" w:rsidRPr="003C6B9F">
        <w:rPr>
          <w:rFonts w:cs="Times New Roman"/>
        </w:rPr>
        <w:t>updates to</w:t>
      </w:r>
      <w:r w:rsidRPr="003C6B9F">
        <w:rPr>
          <w:rFonts w:cs="Times New Roman"/>
        </w:rPr>
        <w:t xml:space="preserve"> tool </w:t>
      </w:r>
      <w:r w:rsidRPr="003C6B9F">
        <w:rPr>
          <w:rFonts w:cs="Times New Roman"/>
        </w:rPr>
        <w:lastRenderedPageBreak/>
        <w:t>calculation methods</w:t>
      </w:r>
      <w:r w:rsidR="00E77FD6" w:rsidRPr="003C6B9F">
        <w:rPr>
          <w:rFonts w:cs="Times New Roman"/>
        </w:rPr>
        <w:t xml:space="preserve">, </w:t>
      </w:r>
      <w:r w:rsidRPr="003C6B9F">
        <w:rPr>
          <w:rFonts w:cs="Times New Roman"/>
        </w:rPr>
        <w:t xml:space="preserve">data </w:t>
      </w:r>
      <w:r w:rsidR="00E77FD6" w:rsidRPr="003C6B9F">
        <w:rPr>
          <w:rFonts w:cs="Times New Roman"/>
        </w:rPr>
        <w:t xml:space="preserve">updates and </w:t>
      </w:r>
      <w:r w:rsidRPr="003C6B9F">
        <w:rPr>
          <w:rFonts w:cs="Times New Roman"/>
        </w:rPr>
        <w:t xml:space="preserve">completeness. It is interesting to note the subtle difference in tool results from V2.02 and V2.03. </w:t>
      </w:r>
      <w:r w:rsidR="00262D8D" w:rsidRPr="003C6B9F">
        <w:rPr>
          <w:rFonts w:cs="Times New Roman"/>
        </w:rPr>
        <w:t xml:space="preserve">Details on the variations were provided in a list of updates, but </w:t>
      </w:r>
      <w:r w:rsidRPr="003C6B9F">
        <w:rPr>
          <w:rFonts w:cs="Times New Roman"/>
        </w:rPr>
        <w:t>the user</w:t>
      </w:r>
      <w:r w:rsidR="00262D8D" w:rsidRPr="003C6B9F">
        <w:rPr>
          <w:rFonts w:cs="Times New Roman"/>
        </w:rPr>
        <w:t xml:space="preserve"> may not be privy to exactly how these changes may affect the results, as such users need to be </w:t>
      </w:r>
      <w:r w:rsidRPr="003C6B9F">
        <w:rPr>
          <w:rFonts w:cs="Times New Roman"/>
        </w:rPr>
        <w:t xml:space="preserve">more aware of the changes per tool version and statements </w:t>
      </w:r>
      <w:r w:rsidR="00262D8D" w:rsidRPr="003C6B9F">
        <w:rPr>
          <w:rFonts w:cs="Times New Roman"/>
        </w:rPr>
        <w:t>and how</w:t>
      </w:r>
      <w:r w:rsidRPr="003C6B9F">
        <w:rPr>
          <w:rFonts w:cs="Times New Roman"/>
        </w:rPr>
        <w:t xml:space="preserve"> results from older tool versions are still </w:t>
      </w:r>
      <w:r w:rsidR="00E77FD6" w:rsidRPr="003C6B9F">
        <w:rPr>
          <w:rFonts w:cs="Times New Roman"/>
        </w:rPr>
        <w:t>utilized in reporting or decision-making</w:t>
      </w:r>
      <w:r w:rsidR="00262D8D" w:rsidRPr="003C6B9F">
        <w:rPr>
          <w:rFonts w:cs="Times New Roman"/>
        </w:rPr>
        <w:t xml:space="preserve"> and how this may change going forward</w:t>
      </w:r>
      <w:r w:rsidRPr="003C6B9F">
        <w:rPr>
          <w:rFonts w:cs="Times New Roman"/>
        </w:rPr>
        <w:t xml:space="preserve">. </w:t>
      </w:r>
    </w:p>
    <w:p w14:paraId="132D15A1" w14:textId="78DD3EAB" w:rsidR="00EB7862" w:rsidRPr="003C6B9F" w:rsidRDefault="00EB7862" w:rsidP="00EB7862">
      <w:pPr>
        <w:rPr>
          <w:rFonts w:cs="Times New Roman"/>
        </w:rPr>
      </w:pPr>
      <w:r w:rsidRPr="003C6B9F">
        <w:rPr>
          <w:rFonts w:cs="Times New Roman"/>
        </w:rPr>
        <w:t xml:space="preserve">The CRREM tool is </w:t>
      </w:r>
      <w:r w:rsidR="00E77FD6" w:rsidRPr="003C6B9F">
        <w:rPr>
          <w:rFonts w:cs="Times New Roman"/>
        </w:rPr>
        <w:t xml:space="preserve">a useful approach to consider both individual buildings and portfolios, however, updates to data inputs, particularly, information pertaining to Australia’s decarbonization of the grid, will subsequently and understandably change outcomes and results. Users of the tool should be aware of </w:t>
      </w:r>
      <w:r w:rsidRPr="003C6B9F">
        <w:rPr>
          <w:rFonts w:cs="Times New Roman"/>
        </w:rPr>
        <w:t>version</w:t>
      </w:r>
      <w:r w:rsidR="00E77FD6" w:rsidRPr="003C6B9F">
        <w:rPr>
          <w:rFonts w:cs="Times New Roman"/>
        </w:rPr>
        <w:t xml:space="preserve"> updates, which will be continued to be updated with more information as this becomes available. </w:t>
      </w:r>
    </w:p>
    <w:p w14:paraId="43A386B9" w14:textId="77777777" w:rsidR="00EB7862" w:rsidRPr="003C6B9F" w:rsidRDefault="00EB7862" w:rsidP="00EB7862">
      <w:pPr>
        <w:keepNext/>
        <w:rPr>
          <w:rFonts w:cs="Times New Roman"/>
        </w:rPr>
      </w:pPr>
      <w:r w:rsidRPr="003C6B9F">
        <w:rPr>
          <w:rFonts w:cs="Times New Roman"/>
          <w:noProof/>
        </w:rPr>
        <mc:AlternateContent>
          <mc:Choice Requires="cx1">
            <w:drawing>
              <wp:inline distT="0" distB="0" distL="0" distR="0" wp14:anchorId="4CFEC5E5" wp14:editId="64FABC7A">
                <wp:extent cx="5734050" cy="2033899"/>
                <wp:effectExtent l="0" t="0" r="0" b="5080"/>
                <wp:docPr id="1356482654" name="Chart 1356482654">
                  <a:extLst xmlns:a="http://schemas.openxmlformats.org/drawingml/2006/main">
                    <a:ext uri="{FF2B5EF4-FFF2-40B4-BE49-F238E27FC236}">
                      <a16:creationId xmlns:a16="http://schemas.microsoft.com/office/drawing/2014/main" id="{42338DB7-E622-7500-EED6-B54EBA2E8234}"/>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3"/>
                  </a:graphicData>
                </a:graphic>
              </wp:inline>
            </w:drawing>
          </mc:Choice>
          <mc:Fallback>
            <w:drawing>
              <wp:inline distT="0" distB="0" distL="0" distR="0" wp14:anchorId="4CFEC5E5" wp14:editId="64FABC7A">
                <wp:extent cx="5734050" cy="2033899"/>
                <wp:effectExtent l="0" t="0" r="0" b="5080"/>
                <wp:docPr id="1356482654" name="Chart 1356482654">
                  <a:extLst xmlns:a="http://schemas.openxmlformats.org/drawingml/2006/main">
                    <a:ext uri="{FF2B5EF4-FFF2-40B4-BE49-F238E27FC236}">
                      <a16:creationId xmlns:a16="http://schemas.microsoft.com/office/drawing/2014/main" id="{42338DB7-E622-7500-EED6-B54EBA2E8234}"/>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56482654" name="Chart 1356482654">
                          <a:extLst>
                            <a:ext uri="{FF2B5EF4-FFF2-40B4-BE49-F238E27FC236}">
                              <a16:creationId xmlns:a16="http://schemas.microsoft.com/office/drawing/2014/main" id="{42338DB7-E622-7500-EED6-B54EBA2E8234}"/>
                            </a:ext>
                          </a:extLst>
                        </pic:cNvPr>
                        <pic:cNvPicPr>
                          <a:picLocks noGrp="1" noRot="1" noChangeAspect="1" noMove="1" noResize="1" noEditPoints="1" noAdjustHandles="1" noChangeArrowheads="1" noChangeShapeType="1"/>
                        </pic:cNvPicPr>
                      </pic:nvPicPr>
                      <pic:blipFill>
                        <a:blip r:embed="rId42"/>
                        <a:stretch>
                          <a:fillRect/>
                        </a:stretch>
                      </pic:blipFill>
                      <pic:spPr>
                        <a:xfrm>
                          <a:off x="0" y="0"/>
                          <a:ext cx="5734050" cy="2033270"/>
                        </a:xfrm>
                        <a:prstGeom prst="rect">
                          <a:avLst/>
                        </a:prstGeom>
                      </pic:spPr>
                    </pic:pic>
                  </a:graphicData>
                </a:graphic>
              </wp:inline>
            </w:drawing>
          </mc:Fallback>
        </mc:AlternateContent>
      </w:r>
    </w:p>
    <w:p w14:paraId="73743AC0" w14:textId="77777777" w:rsidR="00EB7862" w:rsidRPr="003C6B9F" w:rsidRDefault="00EB7862" w:rsidP="00EB7862">
      <w:pPr>
        <w:pStyle w:val="Caption"/>
        <w:jc w:val="center"/>
        <w:rPr>
          <w:rFonts w:cs="Times New Roman"/>
          <w:b w:val="0"/>
          <w:bCs/>
        </w:rPr>
      </w:pPr>
      <w:r w:rsidRPr="003C6B9F">
        <w:rPr>
          <w:rFonts w:cs="Times New Roman"/>
          <w:b w:val="0"/>
          <w:bCs/>
        </w:rPr>
        <w:t xml:space="preserve">Figure 6 Comparison of stranding year range for Asset Owner 1's portfolio based on three CRREM tool </w:t>
      </w:r>
      <w:proofErr w:type="gramStart"/>
      <w:r w:rsidRPr="003C6B9F">
        <w:rPr>
          <w:rFonts w:cs="Times New Roman"/>
          <w:b w:val="0"/>
          <w:bCs/>
        </w:rPr>
        <w:t>versions</w:t>
      </w:r>
      <w:proofErr w:type="gramEnd"/>
    </w:p>
    <w:p w14:paraId="531B6D2A" w14:textId="77777777" w:rsidR="00EB7862" w:rsidRPr="003C6B9F" w:rsidRDefault="00EB7862" w:rsidP="00BC172B">
      <w:pPr>
        <w:pStyle w:val="Heading2"/>
        <w:rPr>
          <w:rFonts w:cs="Times New Roman"/>
        </w:rPr>
      </w:pPr>
    </w:p>
    <w:p w14:paraId="70DED090" w14:textId="77777777" w:rsidR="00EB7862" w:rsidRPr="003C6B9F" w:rsidRDefault="00EB7862" w:rsidP="00EB7862">
      <w:pPr>
        <w:pStyle w:val="Heading2"/>
        <w:rPr>
          <w:rFonts w:cs="Times New Roman"/>
        </w:rPr>
      </w:pPr>
      <w:r w:rsidRPr="003C6B9F">
        <w:rPr>
          <w:rFonts w:cs="Times New Roman"/>
        </w:rPr>
        <w:t xml:space="preserve">Objective 3: CRREM tool sensitivities </w:t>
      </w:r>
    </w:p>
    <w:p w14:paraId="2EE1E8AA" w14:textId="0BCFE49F" w:rsidR="00DF66E3" w:rsidRPr="003C6B9F" w:rsidRDefault="00DF66E3" w:rsidP="29C72F73">
      <w:pPr>
        <w:rPr>
          <w:rFonts w:cs="Times New Roman"/>
        </w:rPr>
      </w:pPr>
      <w:r w:rsidRPr="003C6B9F">
        <w:rPr>
          <w:rFonts w:cs="Times New Roman"/>
        </w:rPr>
        <w:t xml:space="preserve">Using two buildings, </w:t>
      </w:r>
      <w:r w:rsidR="00BC172B" w:rsidRPr="003C6B9F">
        <w:rPr>
          <w:rFonts w:cs="Times New Roman"/>
        </w:rPr>
        <w:t xml:space="preserve">one located in </w:t>
      </w:r>
      <w:r w:rsidRPr="003C6B9F">
        <w:rPr>
          <w:rFonts w:cs="Times New Roman"/>
        </w:rPr>
        <w:t xml:space="preserve">Sydney </w:t>
      </w:r>
      <w:r w:rsidR="00BC172B" w:rsidRPr="003C6B9F">
        <w:rPr>
          <w:rFonts w:cs="Times New Roman"/>
        </w:rPr>
        <w:t>(Building A</w:t>
      </w:r>
      <w:r w:rsidR="006453C5" w:rsidRPr="003C6B9F">
        <w:rPr>
          <w:rFonts w:cs="Times New Roman"/>
        </w:rPr>
        <w:t>),</w:t>
      </w:r>
      <w:r w:rsidR="00BC172B" w:rsidRPr="003C6B9F">
        <w:rPr>
          <w:rFonts w:cs="Times New Roman"/>
        </w:rPr>
        <w:t xml:space="preserve"> </w:t>
      </w:r>
      <w:r w:rsidRPr="003C6B9F">
        <w:rPr>
          <w:rFonts w:cs="Times New Roman"/>
        </w:rPr>
        <w:t xml:space="preserve">and </w:t>
      </w:r>
      <w:r w:rsidR="00BC172B" w:rsidRPr="003C6B9F">
        <w:rPr>
          <w:rFonts w:cs="Times New Roman"/>
        </w:rPr>
        <w:t xml:space="preserve">another located in </w:t>
      </w:r>
      <w:r w:rsidRPr="003C6B9F">
        <w:rPr>
          <w:rFonts w:cs="Times New Roman"/>
        </w:rPr>
        <w:t>Melbourne</w:t>
      </w:r>
      <w:r w:rsidR="00BC172B" w:rsidRPr="003C6B9F">
        <w:rPr>
          <w:rFonts w:cs="Times New Roman"/>
        </w:rPr>
        <w:t xml:space="preserve"> (Building B)</w:t>
      </w:r>
      <w:r w:rsidRPr="003C6B9F">
        <w:rPr>
          <w:rFonts w:cs="Times New Roman"/>
        </w:rPr>
        <w:t>, an analysis was performed examining the role of how different data inputs and assumptions in the tool affected the st</w:t>
      </w:r>
      <w:r w:rsidR="00BC172B" w:rsidRPr="003C6B9F">
        <w:rPr>
          <w:rFonts w:cs="Times New Roman"/>
        </w:rPr>
        <w:t>r</w:t>
      </w:r>
      <w:r w:rsidRPr="003C6B9F">
        <w:rPr>
          <w:rFonts w:cs="Times New Roman"/>
        </w:rPr>
        <w:t>anding year of the assets. Whil</w:t>
      </w:r>
      <w:r w:rsidR="005D78A9" w:rsidRPr="003C6B9F">
        <w:rPr>
          <w:rFonts w:cs="Times New Roman"/>
        </w:rPr>
        <w:t>e</w:t>
      </w:r>
      <w:r w:rsidRPr="003C6B9F">
        <w:rPr>
          <w:rFonts w:cs="Times New Roman"/>
        </w:rPr>
        <w:t xml:space="preserve"> not comprehensive across all the buildings, this </w:t>
      </w:r>
      <w:r w:rsidR="00BC172B" w:rsidRPr="003C6B9F">
        <w:rPr>
          <w:rFonts w:cs="Times New Roman"/>
        </w:rPr>
        <w:t>snapshot</w:t>
      </w:r>
      <w:r w:rsidRPr="003C6B9F">
        <w:rPr>
          <w:rFonts w:cs="Times New Roman"/>
        </w:rPr>
        <w:t xml:space="preserve"> provides an indicative analysis of how different data inputs affect</w:t>
      </w:r>
      <w:r w:rsidR="00D57F57" w:rsidRPr="003C6B9F">
        <w:rPr>
          <w:rFonts w:cs="Times New Roman"/>
        </w:rPr>
        <w:t>s</w:t>
      </w:r>
      <w:r w:rsidRPr="003C6B9F">
        <w:rPr>
          <w:rFonts w:cs="Times New Roman"/>
        </w:rPr>
        <w:t xml:space="preserve"> the</w:t>
      </w:r>
      <w:r w:rsidR="00D57F57" w:rsidRPr="003C6B9F">
        <w:rPr>
          <w:rFonts w:cs="Times New Roman"/>
        </w:rPr>
        <w:t xml:space="preserve"> stranding year of different buildings</w:t>
      </w:r>
      <w:r w:rsidRPr="003C6B9F">
        <w:rPr>
          <w:rFonts w:cs="Times New Roman"/>
        </w:rPr>
        <w:t xml:space="preserve">. Table </w:t>
      </w:r>
      <w:r w:rsidR="00A91979" w:rsidRPr="003C6B9F">
        <w:rPr>
          <w:rFonts w:cs="Times New Roman"/>
        </w:rPr>
        <w:t>3</w:t>
      </w:r>
      <w:r w:rsidRPr="003C6B9F">
        <w:rPr>
          <w:rFonts w:cs="Times New Roman"/>
        </w:rPr>
        <w:t xml:space="preserve"> provides a synopsis of the seven data input scenarios applied and the results for each asset. </w:t>
      </w:r>
      <w:r w:rsidR="00342FCF" w:rsidRPr="003C6B9F">
        <w:rPr>
          <w:rFonts w:cs="Times New Roman"/>
        </w:rPr>
        <w:t xml:space="preserve"> For </w:t>
      </w:r>
      <w:r w:rsidR="00BC172B" w:rsidRPr="003C6B9F">
        <w:rPr>
          <w:rFonts w:cs="Times New Roman"/>
        </w:rPr>
        <w:t>both Building A and B</w:t>
      </w:r>
      <w:r w:rsidR="00342FCF" w:rsidRPr="003C6B9F">
        <w:rPr>
          <w:rFonts w:cs="Times New Roman"/>
        </w:rPr>
        <w:t>, their years of stranding were 2037 and 2038</w:t>
      </w:r>
      <w:r w:rsidR="00233245" w:rsidRPr="003C6B9F">
        <w:rPr>
          <w:rFonts w:cs="Times New Roman"/>
        </w:rPr>
        <w:t>,</w:t>
      </w:r>
      <w:r w:rsidR="00342FCF" w:rsidRPr="003C6B9F">
        <w:rPr>
          <w:rFonts w:cs="Times New Roman"/>
        </w:rPr>
        <w:t xml:space="preserve"> respectively, </w:t>
      </w:r>
      <w:proofErr w:type="spellStart"/>
      <w:r w:rsidR="00342FCF" w:rsidRPr="003C6B9F">
        <w:rPr>
          <w:rFonts w:cs="Times New Roman"/>
        </w:rPr>
        <w:t>utili</w:t>
      </w:r>
      <w:r w:rsidR="00233245" w:rsidRPr="003C6B9F">
        <w:rPr>
          <w:rFonts w:cs="Times New Roman"/>
        </w:rPr>
        <w:t>s</w:t>
      </w:r>
      <w:r w:rsidR="00342FCF" w:rsidRPr="003C6B9F">
        <w:rPr>
          <w:rFonts w:cs="Times New Roman"/>
        </w:rPr>
        <w:t>ing</w:t>
      </w:r>
      <w:proofErr w:type="spellEnd"/>
      <w:r w:rsidR="00342FCF" w:rsidRPr="003C6B9F">
        <w:rPr>
          <w:rFonts w:cs="Times New Roman"/>
        </w:rPr>
        <w:t xml:space="preserve"> mandatory data of electricity grid usage in kWh. However, stranding years were earlier by 2 years for </w:t>
      </w:r>
      <w:r w:rsidR="00BC172B" w:rsidRPr="003C6B9F">
        <w:rPr>
          <w:rFonts w:cs="Times New Roman"/>
        </w:rPr>
        <w:t>Building 1</w:t>
      </w:r>
      <w:r w:rsidR="00233245" w:rsidRPr="003C6B9F">
        <w:rPr>
          <w:rFonts w:cs="Times New Roman"/>
        </w:rPr>
        <w:t>,</w:t>
      </w:r>
      <w:r w:rsidR="00342FCF" w:rsidRPr="003C6B9F">
        <w:rPr>
          <w:rFonts w:cs="Times New Roman"/>
        </w:rPr>
        <w:t xml:space="preserve"> and 4 years for </w:t>
      </w:r>
      <w:r w:rsidR="00BC172B" w:rsidRPr="003C6B9F">
        <w:rPr>
          <w:rFonts w:cs="Times New Roman"/>
        </w:rPr>
        <w:t>Building 2</w:t>
      </w:r>
      <w:r w:rsidR="00342FCF" w:rsidRPr="003C6B9F">
        <w:rPr>
          <w:rFonts w:cs="Times New Roman"/>
        </w:rPr>
        <w:t xml:space="preserve"> when natural gas data was included</w:t>
      </w:r>
      <w:r w:rsidR="00233245" w:rsidRPr="003C6B9F">
        <w:rPr>
          <w:rFonts w:cs="Times New Roman"/>
        </w:rPr>
        <w:t>, d</w:t>
      </w:r>
      <w:r w:rsidR="00342FCF" w:rsidRPr="003C6B9F">
        <w:rPr>
          <w:rFonts w:cs="Times New Roman"/>
        </w:rPr>
        <w:t xml:space="preserve">emonstrating a substantial </w:t>
      </w:r>
      <w:r w:rsidR="006453C5" w:rsidRPr="003C6B9F">
        <w:rPr>
          <w:rFonts w:cs="Times New Roman"/>
        </w:rPr>
        <w:t>effect</w:t>
      </w:r>
      <w:r w:rsidR="00342FCF" w:rsidRPr="003C6B9F">
        <w:rPr>
          <w:rFonts w:cs="Times New Roman"/>
        </w:rPr>
        <w:t xml:space="preserve"> on the stranding year </w:t>
      </w:r>
      <w:r w:rsidR="006453C5" w:rsidRPr="003C6B9F">
        <w:rPr>
          <w:rFonts w:cs="Times New Roman"/>
        </w:rPr>
        <w:t>because of</w:t>
      </w:r>
      <w:r w:rsidR="00342FCF" w:rsidRPr="003C6B9F">
        <w:rPr>
          <w:rFonts w:cs="Times New Roman"/>
        </w:rPr>
        <w:t xml:space="preserve"> natural gas consumption. Subsequently, additional data was included for the different scenarios: inclusion of </w:t>
      </w:r>
      <w:r w:rsidR="00BC172B" w:rsidRPr="003C6B9F">
        <w:rPr>
          <w:rFonts w:cs="Times New Roman"/>
        </w:rPr>
        <w:t>on-site</w:t>
      </w:r>
      <w:r w:rsidR="00342FCF" w:rsidRPr="003C6B9F">
        <w:rPr>
          <w:rFonts w:cs="Times New Roman"/>
        </w:rPr>
        <w:t xml:space="preserve"> renewables, refrigerant data, change in the location base to </w:t>
      </w:r>
      <w:r w:rsidR="006453C5" w:rsidRPr="003C6B9F">
        <w:rPr>
          <w:rFonts w:cs="Times New Roman"/>
        </w:rPr>
        <w:t>market-based</w:t>
      </w:r>
      <w:r w:rsidR="00342FCF" w:rsidRPr="003C6B9F">
        <w:rPr>
          <w:rFonts w:cs="Times New Roman"/>
        </w:rPr>
        <w:t xml:space="preserve"> approach, inclusion of other on-site renewables like heat pumps and </w:t>
      </w:r>
      <w:r w:rsidR="000C172D" w:rsidRPr="003C6B9F">
        <w:rPr>
          <w:rFonts w:cs="Times New Roman"/>
        </w:rPr>
        <w:t>including or excluding</w:t>
      </w:r>
      <w:r w:rsidR="00342FCF" w:rsidRPr="003C6B9F">
        <w:rPr>
          <w:rFonts w:cs="Times New Roman"/>
        </w:rPr>
        <w:t xml:space="preserve"> air-conditioning. </w:t>
      </w:r>
      <w:r w:rsidR="006453C5" w:rsidRPr="003C6B9F">
        <w:rPr>
          <w:rFonts w:cs="Times New Roman"/>
        </w:rPr>
        <w:t>Apart from</w:t>
      </w:r>
      <w:r w:rsidR="00342FCF" w:rsidRPr="003C6B9F">
        <w:rPr>
          <w:rFonts w:cs="Times New Roman"/>
        </w:rPr>
        <w:t xml:space="preserve"> the</w:t>
      </w:r>
      <w:r w:rsidR="000C172D" w:rsidRPr="003C6B9F">
        <w:rPr>
          <w:rFonts w:cs="Times New Roman"/>
        </w:rPr>
        <w:t xml:space="preserve"> inclusion of</w:t>
      </w:r>
      <w:r w:rsidR="00342FCF" w:rsidRPr="003C6B9F">
        <w:rPr>
          <w:rFonts w:cs="Times New Roman"/>
        </w:rPr>
        <w:t xml:space="preserve"> air conditioning for </w:t>
      </w:r>
      <w:r w:rsidR="00BC172B" w:rsidRPr="003C6B9F">
        <w:rPr>
          <w:rFonts w:cs="Times New Roman"/>
        </w:rPr>
        <w:t xml:space="preserve">Building B, </w:t>
      </w:r>
      <w:r w:rsidR="00342FCF" w:rsidRPr="003C6B9F">
        <w:rPr>
          <w:rFonts w:cs="Times New Roman"/>
        </w:rPr>
        <w:t xml:space="preserve">which shortened the stranding date by a year (from 2034 to 2033), the other analyses demonstrated no change to the actual stranding year. Interestingly, </w:t>
      </w:r>
      <w:r w:rsidR="006453C5" w:rsidRPr="003C6B9F">
        <w:rPr>
          <w:rFonts w:cs="Times New Roman"/>
        </w:rPr>
        <w:t>the</w:t>
      </w:r>
      <w:r w:rsidR="00342FCF" w:rsidRPr="003C6B9F">
        <w:rPr>
          <w:rFonts w:cs="Times New Roman"/>
        </w:rPr>
        <w:t xml:space="preserve"> </w:t>
      </w:r>
      <w:r w:rsidR="006453C5" w:rsidRPr="003C6B9F">
        <w:rPr>
          <w:rFonts w:cs="Times New Roman"/>
        </w:rPr>
        <w:t xml:space="preserve">carbon cost of excess emissions did not change either with Test 3 to 6.  </w:t>
      </w:r>
    </w:p>
    <w:p w14:paraId="5A931475" w14:textId="75CCC89E" w:rsidR="00BC172B" w:rsidRPr="003C6B9F" w:rsidRDefault="00BC172B" w:rsidP="00BC172B">
      <w:pPr>
        <w:pStyle w:val="Caption"/>
        <w:keepNext/>
        <w:rPr>
          <w:rFonts w:cs="Times New Roman"/>
        </w:rPr>
      </w:pPr>
      <w:r w:rsidRPr="003C6B9F">
        <w:rPr>
          <w:rFonts w:cs="Times New Roman"/>
        </w:rPr>
        <w:lastRenderedPageBreak/>
        <w:t xml:space="preserve">Table </w:t>
      </w:r>
      <w:r w:rsidRPr="003C6B9F">
        <w:rPr>
          <w:rFonts w:cs="Times New Roman"/>
        </w:rPr>
        <w:fldChar w:fldCharType="begin"/>
      </w:r>
      <w:r w:rsidRPr="003C6B9F">
        <w:rPr>
          <w:rFonts w:cs="Times New Roman"/>
        </w:rPr>
        <w:instrText xml:space="preserve"> SEQ Table \* ARABIC </w:instrText>
      </w:r>
      <w:r w:rsidRPr="003C6B9F">
        <w:rPr>
          <w:rFonts w:cs="Times New Roman"/>
        </w:rPr>
        <w:fldChar w:fldCharType="separate"/>
      </w:r>
      <w:r w:rsidR="00A91979" w:rsidRPr="003C6B9F">
        <w:rPr>
          <w:rFonts w:cs="Times New Roman"/>
          <w:noProof/>
        </w:rPr>
        <w:t>3</w:t>
      </w:r>
      <w:r w:rsidRPr="003C6B9F">
        <w:rPr>
          <w:rFonts w:cs="Times New Roman"/>
          <w:noProof/>
        </w:rPr>
        <w:fldChar w:fldCharType="end"/>
      </w:r>
      <w:r w:rsidRPr="003C6B9F">
        <w:rPr>
          <w:rFonts w:cs="Times New Roman"/>
        </w:rPr>
        <w:t xml:space="preserve"> CRREM data input sensitivity analysis</w:t>
      </w:r>
    </w:p>
    <w:tbl>
      <w:tblPr>
        <w:tblStyle w:val="TableGrid"/>
        <w:tblW w:w="9796" w:type="dxa"/>
        <w:tblLook w:val="0600" w:firstRow="0" w:lastRow="0" w:firstColumn="0" w:lastColumn="0" w:noHBand="1" w:noVBand="1"/>
      </w:tblPr>
      <w:tblGrid>
        <w:gridCol w:w="3528"/>
        <w:gridCol w:w="1516"/>
        <w:gridCol w:w="1584"/>
        <w:gridCol w:w="3168"/>
      </w:tblGrid>
      <w:tr w:rsidR="00A82C93" w:rsidRPr="003C6B9F" w14:paraId="29474C3D" w14:textId="77777777" w:rsidTr="00C1681C">
        <w:trPr>
          <w:trHeight w:val="512"/>
        </w:trPr>
        <w:tc>
          <w:tcPr>
            <w:tcW w:w="3528" w:type="dxa"/>
            <w:vMerge w:val="restart"/>
            <w:shd w:val="clear" w:color="auto" w:fill="D9D9D9" w:themeFill="background1" w:themeFillShade="D9"/>
            <w:vAlign w:val="center"/>
            <w:hideMark/>
          </w:tcPr>
          <w:p w14:paraId="097794EE" w14:textId="7359E362" w:rsidR="00342FCF" w:rsidRPr="003C6B9F" w:rsidRDefault="00C40EB5" w:rsidP="00BC172B">
            <w:pPr>
              <w:spacing w:after="160" w:line="259" w:lineRule="auto"/>
              <w:jc w:val="center"/>
              <w:rPr>
                <w:rFonts w:cs="Times New Roman"/>
                <w:b/>
                <w:bCs/>
                <w:lang w:val="en-AU"/>
              </w:rPr>
            </w:pPr>
            <w:r w:rsidRPr="003C6B9F">
              <w:rPr>
                <w:rFonts w:cs="Times New Roman"/>
                <w:b/>
                <w:bCs/>
              </w:rPr>
              <w:t>Sensitivity Test</w:t>
            </w:r>
          </w:p>
        </w:tc>
        <w:tc>
          <w:tcPr>
            <w:tcW w:w="1516" w:type="dxa"/>
            <w:shd w:val="clear" w:color="auto" w:fill="D9D9D9" w:themeFill="background1" w:themeFillShade="D9"/>
            <w:hideMark/>
          </w:tcPr>
          <w:p w14:paraId="4B99363E" w14:textId="0549EFF8" w:rsidR="00342FCF" w:rsidRPr="003C6B9F" w:rsidRDefault="00BC172B" w:rsidP="00C1681C">
            <w:pPr>
              <w:spacing w:after="160" w:line="259" w:lineRule="auto"/>
              <w:jc w:val="center"/>
              <w:rPr>
                <w:rFonts w:cs="Times New Roman"/>
                <w:b/>
                <w:bCs/>
              </w:rPr>
            </w:pPr>
            <w:r w:rsidRPr="003C6B9F">
              <w:rPr>
                <w:rFonts w:cs="Times New Roman"/>
                <w:b/>
                <w:bCs/>
              </w:rPr>
              <w:t xml:space="preserve">Building A, Sydney </w:t>
            </w:r>
          </w:p>
        </w:tc>
        <w:tc>
          <w:tcPr>
            <w:tcW w:w="1584" w:type="dxa"/>
            <w:shd w:val="clear" w:color="auto" w:fill="D9D9D9" w:themeFill="background1" w:themeFillShade="D9"/>
            <w:hideMark/>
          </w:tcPr>
          <w:p w14:paraId="4FC2C2D0" w14:textId="42391D80" w:rsidR="00342FCF" w:rsidRPr="003C6B9F" w:rsidRDefault="00BC172B" w:rsidP="00C1681C">
            <w:pPr>
              <w:spacing w:after="160" w:line="259" w:lineRule="auto"/>
              <w:jc w:val="center"/>
              <w:rPr>
                <w:rFonts w:cs="Times New Roman"/>
                <w:b/>
                <w:bCs/>
              </w:rPr>
            </w:pPr>
            <w:r w:rsidRPr="003C6B9F">
              <w:rPr>
                <w:rFonts w:cs="Times New Roman"/>
                <w:b/>
                <w:bCs/>
              </w:rPr>
              <w:t>Building B, Melbourne</w:t>
            </w:r>
          </w:p>
        </w:tc>
        <w:tc>
          <w:tcPr>
            <w:tcW w:w="3168" w:type="dxa"/>
            <w:vMerge w:val="restart"/>
            <w:shd w:val="clear" w:color="auto" w:fill="D9D9D9" w:themeFill="background1" w:themeFillShade="D9"/>
            <w:vAlign w:val="center"/>
            <w:hideMark/>
          </w:tcPr>
          <w:p w14:paraId="7DB87AAD" w14:textId="111E0F7D" w:rsidR="00342FCF" w:rsidRPr="003C6B9F" w:rsidRDefault="00342FCF" w:rsidP="00BC172B">
            <w:pPr>
              <w:spacing w:after="160" w:line="259" w:lineRule="auto"/>
              <w:jc w:val="center"/>
              <w:rPr>
                <w:rFonts w:cs="Times New Roman"/>
                <w:lang w:val="en-AU"/>
              </w:rPr>
            </w:pPr>
            <w:r w:rsidRPr="003C6B9F">
              <w:rPr>
                <w:rFonts w:cs="Times New Roman"/>
                <w:b/>
                <w:bCs/>
              </w:rPr>
              <w:t>Notes and assumptions</w:t>
            </w:r>
          </w:p>
        </w:tc>
      </w:tr>
      <w:tr w:rsidR="00C1681C" w:rsidRPr="003C6B9F" w14:paraId="5B6696D0" w14:textId="77777777" w:rsidTr="00C1681C">
        <w:trPr>
          <w:trHeight w:val="64"/>
        </w:trPr>
        <w:tc>
          <w:tcPr>
            <w:tcW w:w="3528" w:type="dxa"/>
            <w:vMerge/>
            <w:hideMark/>
          </w:tcPr>
          <w:p w14:paraId="2F4490B6" w14:textId="77777777" w:rsidR="00C1681C" w:rsidRPr="003C6B9F" w:rsidRDefault="00C1681C" w:rsidP="00342FCF">
            <w:pPr>
              <w:rPr>
                <w:rFonts w:cs="Times New Roman"/>
                <w:b/>
                <w:bCs/>
                <w:lang w:val="en-AU"/>
              </w:rPr>
            </w:pPr>
          </w:p>
        </w:tc>
        <w:tc>
          <w:tcPr>
            <w:tcW w:w="3100" w:type="dxa"/>
            <w:gridSpan w:val="2"/>
            <w:shd w:val="clear" w:color="auto" w:fill="D9D9D9" w:themeFill="background1" w:themeFillShade="D9"/>
            <w:hideMark/>
          </w:tcPr>
          <w:p w14:paraId="14482C6F" w14:textId="0A75B99A" w:rsidR="00C1681C" w:rsidRPr="003C6B9F" w:rsidRDefault="00C1681C" w:rsidP="00BC172B">
            <w:pPr>
              <w:spacing w:after="160" w:line="259" w:lineRule="auto"/>
              <w:jc w:val="center"/>
              <w:rPr>
                <w:rFonts w:cs="Times New Roman"/>
                <w:lang w:val="en-AU"/>
              </w:rPr>
            </w:pPr>
            <w:r w:rsidRPr="003C6B9F">
              <w:rPr>
                <w:rFonts w:cs="Times New Roman"/>
                <w:b/>
                <w:bCs/>
              </w:rPr>
              <w:t>Year of Stranding</w:t>
            </w:r>
          </w:p>
        </w:tc>
        <w:tc>
          <w:tcPr>
            <w:tcW w:w="0" w:type="auto"/>
            <w:vMerge/>
            <w:hideMark/>
          </w:tcPr>
          <w:p w14:paraId="2FDD6489" w14:textId="77777777" w:rsidR="00C1681C" w:rsidRPr="003C6B9F" w:rsidRDefault="00C1681C" w:rsidP="00342FCF">
            <w:pPr>
              <w:rPr>
                <w:rFonts w:cs="Times New Roman"/>
                <w:lang w:val="en-AU"/>
              </w:rPr>
            </w:pPr>
          </w:p>
        </w:tc>
      </w:tr>
      <w:tr w:rsidR="00A82C93" w:rsidRPr="003C6B9F" w14:paraId="38AE1BC0" w14:textId="77777777" w:rsidTr="00A82C93">
        <w:trPr>
          <w:trHeight w:val="589"/>
        </w:trPr>
        <w:tc>
          <w:tcPr>
            <w:tcW w:w="3528" w:type="dxa"/>
            <w:hideMark/>
          </w:tcPr>
          <w:p w14:paraId="09B48880" w14:textId="131296E7" w:rsidR="00342FCF" w:rsidRPr="003C6B9F" w:rsidRDefault="00BC172B" w:rsidP="00342FCF">
            <w:pPr>
              <w:spacing w:after="160" w:line="259" w:lineRule="auto"/>
              <w:rPr>
                <w:rFonts w:cs="Times New Roman"/>
                <w:lang w:val="en-AU"/>
              </w:rPr>
            </w:pPr>
            <w:r w:rsidRPr="003C6B9F">
              <w:rPr>
                <w:rFonts w:cs="Times New Roman"/>
              </w:rPr>
              <w:t>1</w:t>
            </w:r>
            <w:r w:rsidR="00342FCF" w:rsidRPr="003C6B9F">
              <w:rPr>
                <w:rFonts w:cs="Times New Roman"/>
              </w:rPr>
              <w:t>: With only mandatory data</w:t>
            </w:r>
          </w:p>
        </w:tc>
        <w:tc>
          <w:tcPr>
            <w:tcW w:w="1516" w:type="dxa"/>
            <w:hideMark/>
          </w:tcPr>
          <w:p w14:paraId="6DE54F4B" w14:textId="77777777" w:rsidR="00342FCF" w:rsidRPr="003C6B9F" w:rsidRDefault="00342FCF" w:rsidP="00342FCF">
            <w:pPr>
              <w:spacing w:after="160" w:line="259" w:lineRule="auto"/>
              <w:jc w:val="center"/>
              <w:rPr>
                <w:rFonts w:cs="Times New Roman"/>
                <w:lang w:val="en-AU"/>
              </w:rPr>
            </w:pPr>
            <w:r w:rsidRPr="003C6B9F">
              <w:rPr>
                <w:rFonts w:cs="Times New Roman"/>
              </w:rPr>
              <w:t>2037</w:t>
            </w:r>
          </w:p>
        </w:tc>
        <w:tc>
          <w:tcPr>
            <w:tcW w:w="1584" w:type="dxa"/>
            <w:hideMark/>
          </w:tcPr>
          <w:p w14:paraId="111FE450" w14:textId="77777777" w:rsidR="00342FCF" w:rsidRPr="003C6B9F" w:rsidRDefault="00342FCF" w:rsidP="00342FCF">
            <w:pPr>
              <w:spacing w:after="160" w:line="259" w:lineRule="auto"/>
              <w:jc w:val="center"/>
              <w:rPr>
                <w:rFonts w:cs="Times New Roman"/>
                <w:lang w:val="en-AU"/>
              </w:rPr>
            </w:pPr>
            <w:r w:rsidRPr="003C6B9F">
              <w:rPr>
                <w:rFonts w:cs="Times New Roman"/>
              </w:rPr>
              <w:t>2038</w:t>
            </w:r>
          </w:p>
        </w:tc>
        <w:tc>
          <w:tcPr>
            <w:tcW w:w="3168" w:type="dxa"/>
            <w:hideMark/>
          </w:tcPr>
          <w:p w14:paraId="0F86927A" w14:textId="77777777" w:rsidR="00342FCF" w:rsidRPr="003C6B9F" w:rsidRDefault="00342FCF" w:rsidP="00342FCF">
            <w:pPr>
              <w:spacing w:after="160" w:line="259" w:lineRule="auto"/>
              <w:rPr>
                <w:rFonts w:cs="Times New Roman"/>
                <w:lang w:val="en-AU"/>
              </w:rPr>
            </w:pPr>
            <w:r w:rsidRPr="003C6B9F">
              <w:rPr>
                <w:rFonts w:cs="Times New Roman"/>
              </w:rPr>
              <w:t xml:space="preserve">Mandatory Data </w:t>
            </w:r>
            <w:r w:rsidRPr="003C6B9F">
              <w:rPr>
                <w:rFonts w:cs="Times New Roman"/>
              </w:rPr>
              <w:br/>
              <w:t>Electricity Grid usage kWh</w:t>
            </w:r>
          </w:p>
        </w:tc>
      </w:tr>
      <w:tr w:rsidR="00A82C93" w:rsidRPr="003C6B9F" w14:paraId="3C6BB674" w14:textId="77777777" w:rsidTr="00A82C93">
        <w:trPr>
          <w:trHeight w:val="589"/>
        </w:trPr>
        <w:tc>
          <w:tcPr>
            <w:tcW w:w="3528" w:type="dxa"/>
            <w:hideMark/>
          </w:tcPr>
          <w:p w14:paraId="0A6B6EE4" w14:textId="3F7A16C7" w:rsidR="00342FCF" w:rsidRPr="003C6B9F" w:rsidRDefault="00BC172B" w:rsidP="00342FCF">
            <w:pPr>
              <w:spacing w:after="160" w:line="259" w:lineRule="auto"/>
              <w:rPr>
                <w:rFonts w:cs="Times New Roman"/>
                <w:lang w:val="en-AU"/>
              </w:rPr>
            </w:pPr>
            <w:r w:rsidRPr="003C6B9F">
              <w:rPr>
                <w:rFonts w:cs="Times New Roman"/>
              </w:rPr>
              <w:t>2</w:t>
            </w:r>
            <w:r w:rsidR="00342FCF" w:rsidRPr="003C6B9F">
              <w:rPr>
                <w:rFonts w:cs="Times New Roman"/>
              </w:rPr>
              <w:t>:</w:t>
            </w:r>
            <w:r w:rsidR="000C172D" w:rsidRPr="003C6B9F">
              <w:rPr>
                <w:rFonts w:cs="Times New Roman"/>
              </w:rPr>
              <w:t xml:space="preserve"> Inclusion of Na</w:t>
            </w:r>
            <w:r w:rsidR="00342FCF" w:rsidRPr="003C6B9F">
              <w:rPr>
                <w:rFonts w:cs="Times New Roman"/>
              </w:rPr>
              <w:t>tural Gas Data</w:t>
            </w:r>
          </w:p>
        </w:tc>
        <w:tc>
          <w:tcPr>
            <w:tcW w:w="1516" w:type="dxa"/>
            <w:hideMark/>
          </w:tcPr>
          <w:p w14:paraId="5689E802" w14:textId="77777777" w:rsidR="00342FCF" w:rsidRPr="003C6B9F" w:rsidRDefault="00342FCF" w:rsidP="00342FCF">
            <w:pPr>
              <w:spacing w:after="160" w:line="259" w:lineRule="auto"/>
              <w:jc w:val="center"/>
              <w:rPr>
                <w:rFonts w:cs="Times New Roman"/>
                <w:lang w:val="en-AU"/>
              </w:rPr>
            </w:pPr>
            <w:r w:rsidRPr="003C6B9F">
              <w:rPr>
                <w:rFonts w:cs="Times New Roman"/>
              </w:rPr>
              <w:t>2035</w:t>
            </w:r>
          </w:p>
        </w:tc>
        <w:tc>
          <w:tcPr>
            <w:tcW w:w="1584" w:type="dxa"/>
            <w:hideMark/>
          </w:tcPr>
          <w:p w14:paraId="03968400" w14:textId="77777777" w:rsidR="00342FCF" w:rsidRPr="003C6B9F" w:rsidRDefault="00342FCF" w:rsidP="00342FCF">
            <w:pPr>
              <w:spacing w:after="160" w:line="259" w:lineRule="auto"/>
              <w:jc w:val="center"/>
              <w:rPr>
                <w:rFonts w:cs="Times New Roman"/>
                <w:lang w:val="en-AU"/>
              </w:rPr>
            </w:pPr>
            <w:r w:rsidRPr="003C6B9F">
              <w:rPr>
                <w:rFonts w:cs="Times New Roman"/>
              </w:rPr>
              <w:t>2034</w:t>
            </w:r>
          </w:p>
        </w:tc>
        <w:tc>
          <w:tcPr>
            <w:tcW w:w="3168" w:type="dxa"/>
            <w:hideMark/>
          </w:tcPr>
          <w:p w14:paraId="40529D5C" w14:textId="6B8FA1F2" w:rsidR="00342FCF" w:rsidRPr="003C6B9F" w:rsidRDefault="00342FCF" w:rsidP="00342FCF">
            <w:pPr>
              <w:spacing w:after="160" w:line="259" w:lineRule="auto"/>
              <w:rPr>
                <w:rFonts w:cs="Times New Roman"/>
                <w:lang w:val="en-AU"/>
              </w:rPr>
            </w:pPr>
            <w:r w:rsidRPr="003C6B9F">
              <w:rPr>
                <w:rFonts w:cs="Times New Roman"/>
              </w:rPr>
              <w:t>All case studies did provide natural gas data</w:t>
            </w:r>
          </w:p>
        </w:tc>
      </w:tr>
      <w:tr w:rsidR="00A82C93" w:rsidRPr="003C6B9F" w14:paraId="6E692E4F" w14:textId="77777777" w:rsidTr="00A82C93">
        <w:trPr>
          <w:trHeight w:val="589"/>
        </w:trPr>
        <w:tc>
          <w:tcPr>
            <w:tcW w:w="3528" w:type="dxa"/>
            <w:hideMark/>
          </w:tcPr>
          <w:p w14:paraId="0B43466D" w14:textId="6624EAED" w:rsidR="00342FCF" w:rsidRPr="003C6B9F" w:rsidRDefault="00BC172B" w:rsidP="00342FCF">
            <w:pPr>
              <w:spacing w:after="160" w:line="259" w:lineRule="auto"/>
              <w:rPr>
                <w:rFonts w:cs="Times New Roman"/>
                <w:lang w:val="en-AU"/>
              </w:rPr>
            </w:pPr>
            <w:r w:rsidRPr="003C6B9F">
              <w:rPr>
                <w:rFonts w:cs="Times New Roman"/>
              </w:rPr>
              <w:t>3</w:t>
            </w:r>
            <w:r w:rsidR="00342FCF" w:rsidRPr="003C6B9F">
              <w:rPr>
                <w:rFonts w:cs="Times New Roman"/>
              </w:rPr>
              <w:t xml:space="preserve">: </w:t>
            </w:r>
            <w:r w:rsidR="000C172D" w:rsidRPr="003C6B9F">
              <w:rPr>
                <w:rFonts w:cs="Times New Roman"/>
              </w:rPr>
              <w:t>Inclusion of</w:t>
            </w:r>
            <w:r w:rsidR="00342FCF" w:rsidRPr="003C6B9F">
              <w:rPr>
                <w:rFonts w:cs="Times New Roman"/>
              </w:rPr>
              <w:t xml:space="preserve"> </w:t>
            </w:r>
            <w:r w:rsidR="000C172D" w:rsidRPr="003C6B9F">
              <w:rPr>
                <w:rFonts w:cs="Times New Roman"/>
              </w:rPr>
              <w:t>onsite</w:t>
            </w:r>
            <w:r w:rsidR="00342FCF" w:rsidRPr="003C6B9F">
              <w:rPr>
                <w:rFonts w:cs="Times New Roman"/>
              </w:rPr>
              <w:t xml:space="preserve"> renewables</w:t>
            </w:r>
          </w:p>
        </w:tc>
        <w:tc>
          <w:tcPr>
            <w:tcW w:w="1516" w:type="dxa"/>
            <w:hideMark/>
          </w:tcPr>
          <w:p w14:paraId="2EF1859C" w14:textId="77777777" w:rsidR="00342FCF" w:rsidRPr="003C6B9F" w:rsidRDefault="00342FCF" w:rsidP="00342FCF">
            <w:pPr>
              <w:spacing w:after="160" w:line="259" w:lineRule="auto"/>
              <w:jc w:val="center"/>
              <w:rPr>
                <w:rFonts w:cs="Times New Roman"/>
                <w:lang w:val="en-AU"/>
              </w:rPr>
            </w:pPr>
            <w:r w:rsidRPr="003C6B9F">
              <w:rPr>
                <w:rFonts w:cs="Times New Roman"/>
              </w:rPr>
              <w:t>2035</w:t>
            </w:r>
          </w:p>
        </w:tc>
        <w:tc>
          <w:tcPr>
            <w:tcW w:w="1584" w:type="dxa"/>
            <w:hideMark/>
          </w:tcPr>
          <w:p w14:paraId="029F8C7D" w14:textId="77777777" w:rsidR="00342FCF" w:rsidRPr="003C6B9F" w:rsidRDefault="00342FCF" w:rsidP="00342FCF">
            <w:pPr>
              <w:spacing w:after="160" w:line="259" w:lineRule="auto"/>
              <w:jc w:val="center"/>
              <w:rPr>
                <w:rFonts w:cs="Times New Roman"/>
                <w:lang w:val="en-AU"/>
              </w:rPr>
            </w:pPr>
            <w:r w:rsidRPr="003C6B9F">
              <w:rPr>
                <w:rFonts w:cs="Times New Roman"/>
              </w:rPr>
              <w:t>2034</w:t>
            </w:r>
          </w:p>
        </w:tc>
        <w:tc>
          <w:tcPr>
            <w:tcW w:w="3168" w:type="dxa"/>
            <w:hideMark/>
          </w:tcPr>
          <w:p w14:paraId="3DDD5095" w14:textId="3573618C" w:rsidR="00342FCF" w:rsidRPr="003C6B9F" w:rsidRDefault="00342FCF" w:rsidP="00342FCF">
            <w:pPr>
              <w:spacing w:after="160" w:line="259" w:lineRule="auto"/>
              <w:rPr>
                <w:rFonts w:cs="Times New Roman"/>
                <w:lang w:val="en-AU"/>
              </w:rPr>
            </w:pPr>
            <w:r w:rsidRPr="003C6B9F">
              <w:rPr>
                <w:rFonts w:cs="Times New Roman"/>
              </w:rPr>
              <w:t>All case studies did provide onsite renewable data</w:t>
            </w:r>
          </w:p>
        </w:tc>
      </w:tr>
      <w:tr w:rsidR="00A82C93" w:rsidRPr="003C6B9F" w14:paraId="4C421A82" w14:textId="77777777" w:rsidTr="00A82C93">
        <w:trPr>
          <w:trHeight w:val="294"/>
        </w:trPr>
        <w:tc>
          <w:tcPr>
            <w:tcW w:w="3528" w:type="dxa"/>
            <w:hideMark/>
          </w:tcPr>
          <w:p w14:paraId="542276CC" w14:textId="2671F899" w:rsidR="00342FCF" w:rsidRPr="003C6B9F" w:rsidRDefault="00BC172B" w:rsidP="00342FCF">
            <w:pPr>
              <w:spacing w:after="160" w:line="259" w:lineRule="auto"/>
              <w:rPr>
                <w:rFonts w:cs="Times New Roman"/>
                <w:lang w:val="en-AU"/>
              </w:rPr>
            </w:pPr>
            <w:r w:rsidRPr="003C6B9F">
              <w:rPr>
                <w:rFonts w:cs="Times New Roman"/>
              </w:rPr>
              <w:t>4</w:t>
            </w:r>
            <w:r w:rsidR="00342FCF" w:rsidRPr="003C6B9F">
              <w:rPr>
                <w:rFonts w:cs="Times New Roman"/>
              </w:rPr>
              <w:t xml:space="preserve">: </w:t>
            </w:r>
            <w:r w:rsidR="000C172D" w:rsidRPr="003C6B9F">
              <w:rPr>
                <w:rFonts w:cs="Times New Roman"/>
              </w:rPr>
              <w:t xml:space="preserve">Inclusion of </w:t>
            </w:r>
            <w:r w:rsidR="00342FCF" w:rsidRPr="003C6B9F">
              <w:rPr>
                <w:rFonts w:cs="Times New Roman"/>
              </w:rPr>
              <w:t>Refrigerant data</w:t>
            </w:r>
          </w:p>
        </w:tc>
        <w:tc>
          <w:tcPr>
            <w:tcW w:w="1516" w:type="dxa"/>
            <w:hideMark/>
          </w:tcPr>
          <w:p w14:paraId="493451BE" w14:textId="77777777" w:rsidR="00342FCF" w:rsidRPr="003C6B9F" w:rsidRDefault="00342FCF" w:rsidP="00342FCF">
            <w:pPr>
              <w:spacing w:after="160" w:line="259" w:lineRule="auto"/>
              <w:jc w:val="center"/>
              <w:rPr>
                <w:rFonts w:cs="Times New Roman"/>
                <w:lang w:val="en-AU"/>
              </w:rPr>
            </w:pPr>
            <w:r w:rsidRPr="003C6B9F">
              <w:rPr>
                <w:rFonts w:cs="Times New Roman"/>
              </w:rPr>
              <w:t>2035</w:t>
            </w:r>
          </w:p>
        </w:tc>
        <w:tc>
          <w:tcPr>
            <w:tcW w:w="1584" w:type="dxa"/>
            <w:hideMark/>
          </w:tcPr>
          <w:p w14:paraId="7730B37F" w14:textId="77777777" w:rsidR="00342FCF" w:rsidRPr="003C6B9F" w:rsidRDefault="00342FCF" w:rsidP="00342FCF">
            <w:pPr>
              <w:spacing w:after="160" w:line="259" w:lineRule="auto"/>
              <w:jc w:val="center"/>
              <w:rPr>
                <w:rFonts w:cs="Times New Roman"/>
                <w:lang w:val="en-AU"/>
              </w:rPr>
            </w:pPr>
            <w:r w:rsidRPr="003C6B9F">
              <w:rPr>
                <w:rFonts w:cs="Times New Roman"/>
              </w:rPr>
              <w:t>2034</w:t>
            </w:r>
          </w:p>
        </w:tc>
        <w:tc>
          <w:tcPr>
            <w:tcW w:w="3168" w:type="dxa"/>
            <w:hideMark/>
          </w:tcPr>
          <w:p w14:paraId="2263084C" w14:textId="77777777" w:rsidR="00342FCF" w:rsidRPr="003C6B9F" w:rsidRDefault="00342FCF" w:rsidP="00342FCF">
            <w:pPr>
              <w:spacing w:after="160" w:line="259" w:lineRule="auto"/>
              <w:rPr>
                <w:rFonts w:cs="Times New Roman"/>
                <w:lang w:val="en-AU"/>
              </w:rPr>
            </w:pPr>
            <w:r w:rsidRPr="003C6B9F">
              <w:rPr>
                <w:rFonts w:cs="Times New Roman"/>
              </w:rPr>
              <w:t>12kg of R134a (HFC) assumed*</w:t>
            </w:r>
          </w:p>
        </w:tc>
      </w:tr>
      <w:tr w:rsidR="00A82C93" w:rsidRPr="003C6B9F" w14:paraId="66F0EC21" w14:textId="77777777" w:rsidTr="00A82C93">
        <w:trPr>
          <w:trHeight w:val="498"/>
        </w:trPr>
        <w:tc>
          <w:tcPr>
            <w:tcW w:w="3528" w:type="dxa"/>
            <w:hideMark/>
          </w:tcPr>
          <w:p w14:paraId="1EFFD155" w14:textId="27DAC8A0" w:rsidR="00342FCF" w:rsidRPr="003C6B9F" w:rsidRDefault="00BC172B" w:rsidP="00342FCF">
            <w:pPr>
              <w:spacing w:after="160" w:line="259" w:lineRule="auto"/>
              <w:rPr>
                <w:rFonts w:cs="Times New Roman"/>
                <w:lang w:val="en-AU"/>
              </w:rPr>
            </w:pPr>
            <w:r w:rsidRPr="003C6B9F">
              <w:rPr>
                <w:rFonts w:cs="Times New Roman"/>
              </w:rPr>
              <w:t>5</w:t>
            </w:r>
            <w:r w:rsidR="00342FCF" w:rsidRPr="003C6B9F">
              <w:rPr>
                <w:rFonts w:cs="Times New Roman"/>
              </w:rPr>
              <w:t>: Change from location based to market-based approach</w:t>
            </w:r>
          </w:p>
        </w:tc>
        <w:tc>
          <w:tcPr>
            <w:tcW w:w="1516" w:type="dxa"/>
            <w:hideMark/>
          </w:tcPr>
          <w:p w14:paraId="570E7721" w14:textId="77777777" w:rsidR="00342FCF" w:rsidRPr="003C6B9F" w:rsidRDefault="00342FCF" w:rsidP="00342FCF">
            <w:pPr>
              <w:spacing w:after="160" w:line="259" w:lineRule="auto"/>
              <w:jc w:val="center"/>
              <w:rPr>
                <w:rFonts w:cs="Times New Roman"/>
                <w:lang w:val="en-AU"/>
              </w:rPr>
            </w:pPr>
            <w:r w:rsidRPr="003C6B9F">
              <w:rPr>
                <w:rFonts w:cs="Times New Roman"/>
              </w:rPr>
              <w:t>2035</w:t>
            </w:r>
          </w:p>
        </w:tc>
        <w:tc>
          <w:tcPr>
            <w:tcW w:w="1584" w:type="dxa"/>
            <w:hideMark/>
          </w:tcPr>
          <w:p w14:paraId="60FD113E" w14:textId="77777777" w:rsidR="00342FCF" w:rsidRPr="003C6B9F" w:rsidRDefault="00342FCF" w:rsidP="00342FCF">
            <w:pPr>
              <w:spacing w:after="160" w:line="259" w:lineRule="auto"/>
              <w:jc w:val="center"/>
              <w:rPr>
                <w:rFonts w:cs="Times New Roman"/>
                <w:lang w:val="en-AU"/>
              </w:rPr>
            </w:pPr>
            <w:r w:rsidRPr="003C6B9F">
              <w:rPr>
                <w:rFonts w:cs="Times New Roman"/>
              </w:rPr>
              <w:t>2034</w:t>
            </w:r>
          </w:p>
        </w:tc>
        <w:tc>
          <w:tcPr>
            <w:tcW w:w="3168" w:type="dxa"/>
            <w:hideMark/>
          </w:tcPr>
          <w:p w14:paraId="678B52B6" w14:textId="77777777" w:rsidR="00342FCF" w:rsidRPr="003C6B9F" w:rsidRDefault="00342FCF" w:rsidP="00342FCF">
            <w:pPr>
              <w:spacing w:after="160" w:line="259" w:lineRule="auto"/>
              <w:rPr>
                <w:rFonts w:cs="Times New Roman"/>
                <w:lang w:val="en-AU"/>
              </w:rPr>
            </w:pPr>
            <w:r w:rsidRPr="003C6B9F">
              <w:rPr>
                <w:rFonts w:cs="Times New Roman"/>
              </w:rPr>
              <w:t>Location based approach used for all case studies</w:t>
            </w:r>
          </w:p>
        </w:tc>
      </w:tr>
      <w:tr w:rsidR="00A82C93" w:rsidRPr="003C6B9F" w14:paraId="03500D1D" w14:textId="77777777" w:rsidTr="00A82C93">
        <w:trPr>
          <w:trHeight w:val="597"/>
        </w:trPr>
        <w:tc>
          <w:tcPr>
            <w:tcW w:w="3528" w:type="dxa"/>
            <w:hideMark/>
          </w:tcPr>
          <w:p w14:paraId="439F89ED" w14:textId="7D5ADD05" w:rsidR="00342FCF" w:rsidRPr="003C6B9F" w:rsidRDefault="00BC172B" w:rsidP="00342FCF">
            <w:pPr>
              <w:spacing w:after="160" w:line="259" w:lineRule="auto"/>
              <w:rPr>
                <w:rFonts w:cs="Times New Roman"/>
                <w:lang w:val="en-AU"/>
              </w:rPr>
            </w:pPr>
            <w:r w:rsidRPr="003C6B9F">
              <w:rPr>
                <w:rFonts w:cs="Times New Roman"/>
              </w:rPr>
              <w:t>6</w:t>
            </w:r>
            <w:r w:rsidR="00342FCF" w:rsidRPr="003C6B9F">
              <w:rPr>
                <w:rFonts w:cs="Times New Roman"/>
              </w:rPr>
              <w:t xml:space="preserve">: </w:t>
            </w:r>
            <w:r w:rsidR="000C172D" w:rsidRPr="003C6B9F">
              <w:rPr>
                <w:rFonts w:cs="Times New Roman"/>
              </w:rPr>
              <w:t xml:space="preserve">Inclusion of </w:t>
            </w:r>
            <w:r w:rsidR="00342FCF" w:rsidRPr="003C6B9F">
              <w:rPr>
                <w:rFonts w:cs="Times New Roman"/>
              </w:rPr>
              <w:t>other on-site renewable such as heat pump</w:t>
            </w:r>
          </w:p>
        </w:tc>
        <w:tc>
          <w:tcPr>
            <w:tcW w:w="1516" w:type="dxa"/>
            <w:hideMark/>
          </w:tcPr>
          <w:p w14:paraId="5A7B1E11" w14:textId="77777777" w:rsidR="00342FCF" w:rsidRPr="003C6B9F" w:rsidRDefault="00342FCF" w:rsidP="00342FCF">
            <w:pPr>
              <w:spacing w:after="160" w:line="259" w:lineRule="auto"/>
              <w:jc w:val="center"/>
              <w:rPr>
                <w:rFonts w:cs="Times New Roman"/>
                <w:lang w:val="en-AU"/>
              </w:rPr>
            </w:pPr>
            <w:r w:rsidRPr="003C6B9F">
              <w:rPr>
                <w:rFonts w:cs="Times New Roman"/>
              </w:rPr>
              <w:t>2035</w:t>
            </w:r>
          </w:p>
        </w:tc>
        <w:tc>
          <w:tcPr>
            <w:tcW w:w="1584" w:type="dxa"/>
            <w:hideMark/>
          </w:tcPr>
          <w:p w14:paraId="403D4B44" w14:textId="77777777" w:rsidR="00342FCF" w:rsidRPr="003C6B9F" w:rsidRDefault="00342FCF" w:rsidP="00342FCF">
            <w:pPr>
              <w:spacing w:after="160" w:line="259" w:lineRule="auto"/>
              <w:jc w:val="center"/>
              <w:rPr>
                <w:rFonts w:cs="Times New Roman"/>
                <w:lang w:val="en-AU"/>
              </w:rPr>
            </w:pPr>
            <w:r w:rsidRPr="003C6B9F">
              <w:rPr>
                <w:rFonts w:cs="Times New Roman"/>
              </w:rPr>
              <w:t>2034</w:t>
            </w:r>
          </w:p>
        </w:tc>
        <w:tc>
          <w:tcPr>
            <w:tcW w:w="3168" w:type="dxa"/>
            <w:hideMark/>
          </w:tcPr>
          <w:p w14:paraId="0A7D486C" w14:textId="77777777" w:rsidR="00342FCF" w:rsidRPr="003C6B9F" w:rsidRDefault="00342FCF" w:rsidP="00342FCF">
            <w:pPr>
              <w:spacing w:after="160" w:line="259" w:lineRule="auto"/>
              <w:rPr>
                <w:rFonts w:cs="Times New Roman"/>
                <w:lang w:val="en-AU"/>
              </w:rPr>
            </w:pPr>
            <w:r w:rsidRPr="003C6B9F">
              <w:rPr>
                <w:rFonts w:cs="Times New Roman"/>
              </w:rPr>
              <w:t>Assumed 0 for all case studies as data not provided</w:t>
            </w:r>
          </w:p>
        </w:tc>
      </w:tr>
      <w:tr w:rsidR="00A82C93" w:rsidRPr="003C6B9F" w14:paraId="7F40E0EF" w14:textId="77777777" w:rsidTr="00A82C93">
        <w:trPr>
          <w:trHeight w:val="294"/>
        </w:trPr>
        <w:tc>
          <w:tcPr>
            <w:tcW w:w="3528" w:type="dxa"/>
            <w:hideMark/>
          </w:tcPr>
          <w:p w14:paraId="3113B5A7" w14:textId="7686A866" w:rsidR="00342FCF" w:rsidRPr="003C6B9F" w:rsidRDefault="00BC172B" w:rsidP="00342FCF">
            <w:pPr>
              <w:spacing w:after="160" w:line="259" w:lineRule="auto"/>
              <w:rPr>
                <w:rFonts w:cs="Times New Roman"/>
                <w:lang w:val="en-AU"/>
              </w:rPr>
            </w:pPr>
            <w:r w:rsidRPr="003C6B9F">
              <w:rPr>
                <w:rFonts w:cs="Times New Roman"/>
              </w:rPr>
              <w:t>7</w:t>
            </w:r>
            <w:r w:rsidR="00342FCF" w:rsidRPr="003C6B9F">
              <w:rPr>
                <w:rFonts w:cs="Times New Roman"/>
              </w:rPr>
              <w:t>: No Aircon selected</w:t>
            </w:r>
          </w:p>
        </w:tc>
        <w:tc>
          <w:tcPr>
            <w:tcW w:w="1516" w:type="dxa"/>
            <w:hideMark/>
          </w:tcPr>
          <w:p w14:paraId="5C2C9046" w14:textId="77777777" w:rsidR="00342FCF" w:rsidRPr="003C6B9F" w:rsidRDefault="00342FCF" w:rsidP="00342FCF">
            <w:pPr>
              <w:spacing w:after="160" w:line="259" w:lineRule="auto"/>
              <w:jc w:val="center"/>
              <w:rPr>
                <w:rFonts w:cs="Times New Roman"/>
                <w:lang w:val="en-AU"/>
              </w:rPr>
            </w:pPr>
            <w:r w:rsidRPr="003C6B9F">
              <w:rPr>
                <w:rFonts w:cs="Times New Roman"/>
              </w:rPr>
              <w:t>2035</w:t>
            </w:r>
          </w:p>
        </w:tc>
        <w:tc>
          <w:tcPr>
            <w:tcW w:w="1584" w:type="dxa"/>
            <w:hideMark/>
          </w:tcPr>
          <w:p w14:paraId="34A7BEA6" w14:textId="77777777" w:rsidR="00342FCF" w:rsidRPr="003C6B9F" w:rsidRDefault="00342FCF" w:rsidP="00342FCF">
            <w:pPr>
              <w:spacing w:after="160" w:line="259" w:lineRule="auto"/>
              <w:jc w:val="center"/>
              <w:rPr>
                <w:rFonts w:cs="Times New Roman"/>
                <w:lang w:val="en-AU"/>
              </w:rPr>
            </w:pPr>
            <w:r w:rsidRPr="003C6B9F">
              <w:rPr>
                <w:rFonts w:cs="Times New Roman"/>
              </w:rPr>
              <w:t>2033</w:t>
            </w:r>
          </w:p>
        </w:tc>
        <w:tc>
          <w:tcPr>
            <w:tcW w:w="3168" w:type="dxa"/>
            <w:hideMark/>
          </w:tcPr>
          <w:p w14:paraId="2249AB64" w14:textId="77777777" w:rsidR="00342FCF" w:rsidRPr="003C6B9F" w:rsidRDefault="00342FCF" w:rsidP="00342FCF">
            <w:pPr>
              <w:spacing w:after="160" w:line="259" w:lineRule="auto"/>
              <w:rPr>
                <w:rFonts w:cs="Times New Roman"/>
                <w:lang w:val="en-AU"/>
              </w:rPr>
            </w:pPr>
            <w:r w:rsidRPr="003C6B9F">
              <w:rPr>
                <w:rFonts w:cs="Times New Roman"/>
              </w:rPr>
              <w:t>Aircon selected 'Yes' for all case studies</w:t>
            </w:r>
          </w:p>
        </w:tc>
      </w:tr>
    </w:tbl>
    <w:p w14:paraId="22E0CE1C" w14:textId="6665B2BA" w:rsidR="00EB7862" w:rsidRPr="003C6B9F" w:rsidRDefault="00EB7862" w:rsidP="00EB7862">
      <w:pPr>
        <w:rPr>
          <w:rFonts w:cs="Times New Roman"/>
        </w:rPr>
      </w:pPr>
      <w:r w:rsidRPr="003C6B9F">
        <w:rPr>
          <w:rFonts w:cs="Times New Roman"/>
        </w:rPr>
        <w:t>A series of inputs (7 in total as detailed in Table 4) were tested for 2 case study buildings (Building A and B located in Sydney and Melbourne). Except for natural gas and air conditioning (which brought the stranding year forward), the other 5 sensitivity tests had</w:t>
      </w:r>
      <w:r w:rsidR="00E77FD6" w:rsidRPr="003C6B9F">
        <w:rPr>
          <w:rFonts w:cs="Times New Roman"/>
        </w:rPr>
        <w:t xml:space="preserve"> limited</w:t>
      </w:r>
      <w:r w:rsidRPr="003C6B9F">
        <w:rPr>
          <w:rFonts w:cs="Times New Roman"/>
        </w:rPr>
        <w:t xml:space="preserve"> impact on the CRREM tool stranding year results.</w:t>
      </w:r>
    </w:p>
    <w:p w14:paraId="118A7FBD" w14:textId="278A9D83" w:rsidR="008C222D" w:rsidRPr="003C6B9F" w:rsidRDefault="008C222D" w:rsidP="008C222D">
      <w:pPr>
        <w:pStyle w:val="Heading2"/>
        <w:rPr>
          <w:rFonts w:cs="Times New Roman"/>
        </w:rPr>
      </w:pPr>
      <w:r w:rsidRPr="003C6B9F">
        <w:rPr>
          <w:rFonts w:cs="Times New Roman"/>
        </w:rPr>
        <w:t xml:space="preserve">Observed limitations and </w:t>
      </w:r>
      <w:proofErr w:type="gramStart"/>
      <w:r w:rsidRPr="003C6B9F">
        <w:rPr>
          <w:rFonts w:cs="Times New Roman"/>
        </w:rPr>
        <w:t>considerations</w:t>
      </w:r>
      <w:proofErr w:type="gramEnd"/>
    </w:p>
    <w:p w14:paraId="5262E077" w14:textId="67EB6599" w:rsidR="008C222D" w:rsidRPr="003C6B9F" w:rsidRDefault="008C222D" w:rsidP="008C222D">
      <w:pPr>
        <w:rPr>
          <w:rFonts w:cs="Times New Roman"/>
        </w:rPr>
      </w:pPr>
      <w:r w:rsidRPr="003C6B9F">
        <w:rPr>
          <w:rFonts w:cs="Times New Roman"/>
        </w:rPr>
        <w:t xml:space="preserve">The results are heavily reliant on country-specific </w:t>
      </w:r>
      <w:r w:rsidR="002F42CD" w:rsidRPr="003C6B9F">
        <w:rPr>
          <w:rFonts w:cs="Times New Roman"/>
        </w:rPr>
        <w:t>normalization</w:t>
      </w:r>
      <w:r w:rsidRPr="003C6B9F">
        <w:rPr>
          <w:rFonts w:cs="Times New Roman"/>
        </w:rPr>
        <w:t xml:space="preserve"> pathways, useful for global investors, </w:t>
      </w:r>
      <w:r w:rsidR="00534D8E" w:rsidRPr="003C6B9F">
        <w:rPr>
          <w:rFonts w:cs="Times New Roman"/>
        </w:rPr>
        <w:t>H</w:t>
      </w:r>
      <w:r w:rsidRPr="003C6B9F">
        <w:rPr>
          <w:rFonts w:cs="Times New Roman"/>
        </w:rPr>
        <w:t xml:space="preserve">owever, this may have concerning outcomes </w:t>
      </w:r>
      <w:r w:rsidR="00534D8E" w:rsidRPr="003C6B9F">
        <w:rPr>
          <w:rFonts w:cs="Times New Roman"/>
        </w:rPr>
        <w:t>for</w:t>
      </w:r>
      <w:r w:rsidRPr="003C6B9F">
        <w:rPr>
          <w:rFonts w:cs="Times New Roman"/>
        </w:rPr>
        <w:t xml:space="preserve"> local building owners </w:t>
      </w:r>
      <w:r w:rsidR="00534D8E" w:rsidRPr="003C6B9F">
        <w:rPr>
          <w:rFonts w:cs="Times New Roman"/>
        </w:rPr>
        <w:t>who are</w:t>
      </w:r>
      <w:r w:rsidRPr="003C6B9F">
        <w:rPr>
          <w:rFonts w:cs="Times New Roman"/>
        </w:rPr>
        <w:t xml:space="preserve"> ‘wait</w:t>
      </w:r>
      <w:r w:rsidR="00534D8E" w:rsidRPr="003C6B9F">
        <w:rPr>
          <w:rFonts w:cs="Times New Roman"/>
        </w:rPr>
        <w:t>ing</w:t>
      </w:r>
      <w:r w:rsidRPr="003C6B9F">
        <w:rPr>
          <w:rFonts w:cs="Times New Roman"/>
        </w:rPr>
        <w:t xml:space="preserve"> for the grid’</w:t>
      </w:r>
      <w:r w:rsidR="00534D8E" w:rsidRPr="003C6B9F">
        <w:rPr>
          <w:rFonts w:cs="Times New Roman"/>
        </w:rPr>
        <w:t xml:space="preserve"> to decarbonize</w:t>
      </w:r>
      <w:r w:rsidRPr="003C6B9F">
        <w:rPr>
          <w:rFonts w:cs="Times New Roman"/>
        </w:rPr>
        <w:t xml:space="preserve"> rather than focus on retrofitting their buildings to improve energy efficiency and reduce their emissions. CRREM also places quite a lot of reliance on technological advances require</w:t>
      </w:r>
      <w:r w:rsidR="00262D8D" w:rsidRPr="003C6B9F">
        <w:rPr>
          <w:rFonts w:cs="Times New Roman"/>
        </w:rPr>
        <w:t>d</w:t>
      </w:r>
      <w:r w:rsidRPr="003C6B9F">
        <w:rPr>
          <w:rFonts w:cs="Times New Roman"/>
        </w:rPr>
        <w:t xml:space="preserve"> to achieve 1.5°C target and that this technical change must be taken into account until 2050 </w:t>
      </w:r>
      <w:r w:rsidRPr="003C6B9F">
        <w:rPr>
          <w:rFonts w:cs="Times New Roman"/>
        </w:rPr>
        <w:fldChar w:fldCharType="begin"/>
      </w:r>
      <w:r w:rsidRPr="003C6B9F">
        <w:rPr>
          <w:rFonts w:cs="Times New Roman"/>
        </w:rPr>
        <w:instrText xml:space="preserve"> ADDIN EN.CITE &lt;EndNote&gt;&lt;Cite&gt;&lt;Author&gt;CRREM&lt;/Author&gt;&lt;Year&gt;2020&lt;/Year&gt;&lt;RecNum&gt;1228&lt;/RecNum&gt;&lt;DisplayText&gt;(CRREM, 2020a)&lt;/DisplayText&gt;&lt;record&gt;&lt;rec-number&gt;1228&lt;/rec-number&gt;&lt;foreign-keys&gt;&lt;key app="EN" db-id="ear29sre9ve0woevt0ix2wv1pvasrzaedp5f" timestamp="1676948772" guid="45d38fd8-54ee-4732-bf2f-b0e7fed522d7"&gt;1228&lt;/key&gt;&lt;/foreign-keys&gt;&lt;ref-type name="Press Release"&gt;63&lt;/ref-type&gt;&lt;contributors&gt;&lt;authors&gt;&lt;author&gt;CRREM&lt;/author&gt;&lt;/authors&gt;&lt;/contributors&gt;&lt;titles&gt;&lt;title&gt;Carbon Risk Real Estate Monitor Introduction&lt;/title&gt;&lt;/titles&gt;&lt;pages&gt;27&lt;/pages&gt;&lt;dates&gt;&lt;year&gt;2020&lt;/year&gt;&lt;/dates&gt;&lt;pub-location&gt;Belgium&lt;/pub-location&gt;&lt;publisher&gt;European Commission&lt;/publisher&gt;&lt;urls&gt;&lt;/urls&gt;&lt;/record&gt;&lt;/Cite&gt;&lt;/EndNote&gt;</w:instrText>
      </w:r>
      <w:r w:rsidRPr="003C6B9F">
        <w:rPr>
          <w:rFonts w:cs="Times New Roman"/>
        </w:rPr>
        <w:fldChar w:fldCharType="separate"/>
      </w:r>
      <w:r w:rsidRPr="003C6B9F">
        <w:rPr>
          <w:rFonts w:cs="Times New Roman"/>
          <w:noProof/>
        </w:rPr>
        <w:t>(CRREM, 2020a)</w:t>
      </w:r>
      <w:r w:rsidRPr="003C6B9F">
        <w:rPr>
          <w:rFonts w:cs="Times New Roman"/>
        </w:rPr>
        <w:fldChar w:fldCharType="end"/>
      </w:r>
      <w:r w:rsidRPr="003C6B9F">
        <w:rPr>
          <w:rFonts w:cs="Times New Roman"/>
        </w:rPr>
        <w:t xml:space="preserve">. However, there is no certainty of these advances occurring in time. In addition, there is uncertainty associated with estimated future operational energy and carbon has been well documented and papers such as </w:t>
      </w:r>
      <w:r w:rsidRPr="003C6B9F">
        <w:rPr>
          <w:rFonts w:cs="Times New Roman"/>
        </w:rPr>
        <w:fldChar w:fldCharType="begin"/>
      </w:r>
      <w:r w:rsidRPr="003C6B9F">
        <w:rPr>
          <w:rFonts w:cs="Times New Roman"/>
        </w:rPr>
        <w:instrText xml:space="preserve"> ADDIN EN.CITE &lt;EndNote&gt;&lt;Cite AuthorYear="1"&gt;&lt;Author&gt;Prataviera&lt;/Author&gt;&lt;Year&gt;2022&lt;/Year&gt;&lt;RecNum&gt;1246&lt;/RecNum&gt;&lt;DisplayText&gt;Prataviera et al. (2022)&lt;/DisplayText&gt;&lt;record&gt;&lt;rec-number&gt;1246&lt;/rec-number&gt;&lt;foreign-keys&gt;&lt;key app="EN" db-id="ear29sre9ve0woevt0ix2wv1pvasrzaedp5f" timestamp="1690754883" guid="9dc5ae30-5614-40a5-99b8-9739b9c37132"&gt;1246&lt;/key&gt;&lt;/foreign-keys&gt;&lt;ref-type name="Journal Article"&gt;17&lt;/ref-type&gt;&lt;contributors&gt;&lt;authors&gt;&lt;author&gt;Prataviera, E &lt;/author&gt;&lt;author&gt;Vivian, J &lt;/author&gt;&lt;author&gt;Lombardo, G&lt;/author&gt;&lt;author&gt;Zarrella, A&lt;/author&gt;&lt;/authors&gt;&lt;/contributors&gt;&lt;titles&gt;&lt;title&gt;Evaluation of the impact of input uncertainty on urban building energy simulations using uncertainty and sensitivity analysis&lt;/title&gt;&lt;secondary-title&gt;Applied Energy&lt;/secondary-title&gt;&lt;/titles&gt;&lt;periodical&gt;&lt;full-title&gt;Applied Energy&lt;/full-title&gt;&lt;/periodical&gt;&lt;volume&gt;311&lt;/volume&gt;&lt;number&gt;118691&lt;/number&gt;&lt;dates&gt;&lt;year&gt;2022&lt;/year&gt;&lt;/dates&gt;&lt;urls&gt;&lt;/urls&gt;&lt;/record&gt;&lt;/Cite&gt;&lt;/EndNote&gt;</w:instrText>
      </w:r>
      <w:r w:rsidRPr="003C6B9F">
        <w:rPr>
          <w:rFonts w:cs="Times New Roman"/>
        </w:rPr>
        <w:fldChar w:fldCharType="separate"/>
      </w:r>
      <w:r w:rsidRPr="003C6B9F">
        <w:rPr>
          <w:rFonts w:cs="Times New Roman"/>
          <w:noProof/>
        </w:rPr>
        <w:t>Prataviera et al. (2022)</w:t>
      </w:r>
      <w:r w:rsidRPr="003C6B9F">
        <w:rPr>
          <w:rFonts w:cs="Times New Roman"/>
        </w:rPr>
        <w:fldChar w:fldCharType="end"/>
      </w:r>
      <w:r w:rsidRPr="003C6B9F">
        <w:rPr>
          <w:rFonts w:cs="Times New Roman"/>
        </w:rPr>
        <w:t xml:space="preserve"> have highlighted that the range of errors in results can range between 18% to 48%, and that in some cases overestimation of daily peaks in energy demand can be as much as 80%. </w:t>
      </w:r>
      <w:proofErr w:type="gramStart"/>
      <w:r w:rsidRPr="003C6B9F">
        <w:rPr>
          <w:rFonts w:cs="Times New Roman"/>
        </w:rPr>
        <w:t>So</w:t>
      </w:r>
      <w:proofErr w:type="gramEnd"/>
      <w:r w:rsidRPr="003C6B9F">
        <w:rPr>
          <w:rFonts w:cs="Times New Roman"/>
        </w:rPr>
        <w:t xml:space="preserve"> this also may be a factor for consideration in strategy planning for individual assets and portfolios. </w:t>
      </w:r>
      <w:r w:rsidR="00262D8D" w:rsidRPr="003C6B9F">
        <w:rPr>
          <w:rFonts w:cs="Times New Roman"/>
        </w:rPr>
        <w:t xml:space="preserve">What is clear, that for the built environment to make their contribution to reducing emission, engagement in energy efficiency programs and implementation of energy efficiency and net zero carbon retrofits are required.  </w:t>
      </w:r>
      <w:r w:rsidRPr="003C6B9F">
        <w:rPr>
          <w:rFonts w:cs="Times New Roman"/>
        </w:rPr>
        <w:t xml:space="preserve"> </w:t>
      </w:r>
    </w:p>
    <w:p w14:paraId="09533DBF" w14:textId="0E4D58A4" w:rsidR="008C222D" w:rsidRPr="003C6B9F" w:rsidRDefault="008C222D" w:rsidP="008C222D">
      <w:pPr>
        <w:rPr>
          <w:rFonts w:cs="Times New Roman"/>
        </w:rPr>
      </w:pPr>
      <w:r w:rsidRPr="003C6B9F">
        <w:rPr>
          <w:rFonts w:cs="Times New Roman"/>
        </w:rPr>
        <w:t xml:space="preserve">The tool also has limitations when it comes to the use of emission factors. Studies such </w:t>
      </w:r>
      <w:r w:rsidRPr="003C6B9F">
        <w:rPr>
          <w:rFonts w:cs="Times New Roman"/>
        </w:rPr>
        <w:fldChar w:fldCharType="begin"/>
      </w:r>
      <w:r w:rsidRPr="003C6B9F">
        <w:rPr>
          <w:rFonts w:cs="Times New Roman"/>
        </w:rPr>
        <w:instrText xml:space="preserve"> ADDIN EN.CITE &lt;EndNote&gt;&lt;Cite AuthorYear="1"&gt;&lt;Author&gt;Molina-Castro&lt;/Author&gt;&lt;Year&gt;2022&lt;/Year&gt;&lt;RecNum&gt;1245&lt;/RecNum&gt;&lt;DisplayText&gt;Molina-Castro (2022)&lt;/DisplayText&gt;&lt;record&gt;&lt;rec-number&gt;1245&lt;/rec-number&gt;&lt;foreign-keys&gt;&lt;key app="EN" db-id="ear29sre9ve0woevt0ix2wv1pvasrzaedp5f" timestamp="1690754062" guid="c7979821-5a1c-4062-b0e8-49b2e98c5f59"&gt;1245&lt;/key&gt;&lt;/foreign-keys&gt;&lt;ref-type name="Journal Article"&gt;17&lt;/ref-type&gt;&lt;contributors&gt;&lt;authors&gt;&lt;author&gt;Molina-Castro, G&lt;/author&gt;&lt;/authors&gt;&lt;/contributors&gt;&lt;titles&gt;&lt;title&gt;A Monte Carlo Method for Quantifying Uncertainties in the Official Greenhouse Gas Emission Factors Database of Costa Rica&lt;/title&gt;&lt;secondary-title&gt;Environmental Science and Technology&lt;/secondary-title&gt;&lt;/titles&gt;&lt;periodical&gt;&lt;full-title&gt;Environmental Science and Technology&lt;/full-title&gt;&lt;/periodical&gt;&lt;volume&gt;10&lt;/volume&gt;&lt;dates&gt;&lt;year&gt;2022&lt;/year&gt;&lt;/dates&gt;&lt;urls&gt;&lt;/urls&gt;&lt;/record&gt;&lt;/Cite&gt;&lt;/EndNote&gt;</w:instrText>
      </w:r>
      <w:r w:rsidRPr="003C6B9F">
        <w:rPr>
          <w:rFonts w:cs="Times New Roman"/>
        </w:rPr>
        <w:fldChar w:fldCharType="separate"/>
      </w:r>
      <w:r w:rsidRPr="003C6B9F">
        <w:rPr>
          <w:rFonts w:cs="Times New Roman"/>
          <w:noProof/>
        </w:rPr>
        <w:t>Molina-Castro (2022)</w:t>
      </w:r>
      <w:r w:rsidRPr="003C6B9F">
        <w:rPr>
          <w:rFonts w:cs="Times New Roman"/>
        </w:rPr>
        <w:fldChar w:fldCharType="end"/>
      </w:r>
      <w:r w:rsidRPr="003C6B9F">
        <w:rPr>
          <w:rFonts w:cs="Times New Roman"/>
        </w:rPr>
        <w:t xml:space="preserve"> have found that the uncertainty range associated with this factor can be between 2.5% and 97.5%, with most of the standard uncertainties estimated between 15% and 50%.  Further in the Australian context, only the country emission factor is utilized, and at present no regional emission factor data for </w:t>
      </w:r>
      <w:r w:rsidRPr="003C6B9F">
        <w:rPr>
          <w:rFonts w:cs="Times New Roman"/>
        </w:rPr>
        <w:lastRenderedPageBreak/>
        <w:t xml:space="preserve">Australia currently being factored into the tool (which is used in NABERS based on state/territory grid generation). </w:t>
      </w:r>
      <w:r w:rsidR="00262D8D" w:rsidRPr="003C6B9F">
        <w:rPr>
          <w:rFonts w:cs="Times New Roman"/>
        </w:rPr>
        <w:t xml:space="preserve">At present, only </w:t>
      </w:r>
      <w:proofErr w:type="gramStart"/>
      <w:r w:rsidR="00262D8D" w:rsidRPr="003C6B9F">
        <w:rPr>
          <w:rFonts w:cs="Times New Roman"/>
        </w:rPr>
        <w:t>weather based</w:t>
      </w:r>
      <w:proofErr w:type="gramEnd"/>
      <w:r w:rsidR="00262D8D" w:rsidRPr="003C6B9F">
        <w:rPr>
          <w:rFonts w:cs="Times New Roman"/>
        </w:rPr>
        <w:t xml:space="preserve"> data for normalizing heating and cooling considerations have been included. </w:t>
      </w:r>
      <w:r w:rsidRPr="003C6B9F">
        <w:rPr>
          <w:rFonts w:cs="Times New Roman"/>
        </w:rPr>
        <w:t>However, the CRREM tool does allow for user-defined inputs to be used, so one can insert and apply emission factors based on the state/territory locations. However, this requires additional inputs and considerations by the user. The tool also does not include normalization of hours of use, which may have some implications if comparing CRREM and NABERS particularly around energy intensity.</w:t>
      </w:r>
    </w:p>
    <w:p w14:paraId="2107B8EF" w14:textId="676FEC23" w:rsidR="005B783D" w:rsidRPr="003C6B9F" w:rsidRDefault="008C222D" w:rsidP="29C72F73">
      <w:pPr>
        <w:rPr>
          <w:rFonts w:cs="Times New Roman"/>
        </w:rPr>
      </w:pPr>
      <w:r w:rsidRPr="003C6B9F">
        <w:rPr>
          <w:rFonts w:cs="Times New Roman"/>
        </w:rPr>
        <w:t xml:space="preserve">Further this study is limited by only utilizing a small portfolio of buildings, with limited access to energy data and information from some of these buildings, for example gas consumption and renewable energy generation, which may significantly affect the results and outcomes for individual buildings and the portfolio overviews presented. </w:t>
      </w:r>
    </w:p>
    <w:p w14:paraId="7B0123C4" w14:textId="09B0852A" w:rsidR="004F7C53" w:rsidRPr="003C6B9F" w:rsidRDefault="004F7C53" w:rsidP="00236982">
      <w:pPr>
        <w:rPr>
          <w:rFonts w:cs="Times New Roman"/>
        </w:rPr>
      </w:pPr>
    </w:p>
    <w:p w14:paraId="7C9BF223" w14:textId="2E8937BF" w:rsidR="0017466F" w:rsidRPr="003C6B9F" w:rsidRDefault="0017466F" w:rsidP="004F7C53">
      <w:pPr>
        <w:pStyle w:val="Heading1"/>
        <w:rPr>
          <w:rFonts w:cs="Times New Roman"/>
        </w:rPr>
      </w:pPr>
      <w:r w:rsidRPr="003C6B9F">
        <w:rPr>
          <w:rFonts w:cs="Times New Roman"/>
        </w:rPr>
        <w:t>Conclusion</w:t>
      </w:r>
    </w:p>
    <w:p w14:paraId="3D972ED8" w14:textId="28DD2D10" w:rsidR="00C35B30" w:rsidRPr="003C6B9F" w:rsidRDefault="00C35B30" w:rsidP="00C35B30">
      <w:pPr>
        <w:rPr>
          <w:rFonts w:cs="Times New Roman"/>
        </w:rPr>
      </w:pPr>
      <w:r w:rsidRPr="003C6B9F">
        <w:rPr>
          <w:rFonts w:cs="Times New Roman"/>
        </w:rPr>
        <w:t xml:space="preserve">Climate change is negatively impacting businesses, cities and communities on a global scale. More specifically sea level rise and frequent natural disasters will have direct impact on the quality and maintenance of buildings and infrastructures causing increasing risk to real estate owners </w:t>
      </w:r>
      <w:r w:rsidRPr="003C6B9F">
        <w:rPr>
          <w:rFonts w:cs="Times New Roman"/>
        </w:rPr>
        <w:fldChar w:fldCharType="begin"/>
      </w:r>
      <w:r w:rsidRPr="003C6B9F">
        <w:rPr>
          <w:rFonts w:cs="Times New Roman"/>
        </w:rPr>
        <w:instrText xml:space="preserve"> ADDIN EN.CITE &lt;EndNote&gt;&lt;Cite&gt;&lt;Author&gt;Winters&lt;/Author&gt;&lt;Year&gt;2021&lt;/Year&gt;&lt;RecNum&gt;1240&lt;/RecNum&gt;&lt;DisplayText&gt;(Winters, 2021)&lt;/DisplayText&gt;&lt;record&gt;&lt;rec-number&gt;1240&lt;/rec-number&gt;&lt;foreign-keys&gt;&lt;key app="EN" db-id="ear29sre9ve0woevt0ix2wv1pvasrzaedp5f" timestamp="1690077660" guid="fdc2b8dc-0e7b-483b-8e7e-932183230851"&gt;1240&lt;/key&gt;&lt;/foreign-keys&gt;&lt;ref-type name="Web Page"&gt;12&lt;/ref-type&gt;&lt;contributors&gt;&lt;authors&gt;&lt;author&gt;Winters, M&lt;/author&gt;&lt;/authors&gt;&lt;/contributors&gt;&lt;titles&gt;&lt;title&gt;How CRREM mitigates risk for real estate portfolios&lt;/title&gt;&lt;/titles&gt;&lt;number&gt;23/07/23&lt;/number&gt;&lt;dates&gt;&lt;year&gt;2021&lt;/year&gt;&lt;/dates&gt;&lt;pub-location&gt;Utah&lt;/pub-location&gt;&lt;urls&gt;&lt;related-urls&gt;&lt;url&gt;https://esg.conservice.com/how-crrem-mitigates-risk-real-estate-portfolios/&lt;/url&gt;&lt;/related-urls&gt;&lt;/urls&gt;&lt;/record&gt;&lt;/Cite&gt;&lt;/EndNote&gt;</w:instrText>
      </w:r>
      <w:r w:rsidRPr="003C6B9F">
        <w:rPr>
          <w:rFonts w:cs="Times New Roman"/>
        </w:rPr>
        <w:fldChar w:fldCharType="separate"/>
      </w:r>
      <w:r w:rsidRPr="003C6B9F">
        <w:rPr>
          <w:rFonts w:cs="Times New Roman"/>
          <w:noProof/>
        </w:rPr>
        <w:t>(Winters, 2021)</w:t>
      </w:r>
      <w:r w:rsidRPr="003C6B9F">
        <w:rPr>
          <w:rFonts w:cs="Times New Roman"/>
        </w:rPr>
        <w:fldChar w:fldCharType="end"/>
      </w:r>
      <w:r w:rsidRPr="003C6B9F">
        <w:rPr>
          <w:rFonts w:cs="Times New Roman"/>
        </w:rPr>
        <w:t xml:space="preserve">. One such risk is the risk of stranding, when a property will not meet regulatory efficiency standards or market expectations making them less marketable and more costly to refurbish </w:t>
      </w:r>
      <w:r w:rsidRPr="003C6B9F">
        <w:rPr>
          <w:rFonts w:cs="Times New Roman"/>
        </w:rPr>
        <w:fldChar w:fldCharType="begin"/>
      </w:r>
      <w:r w:rsidRPr="003C6B9F">
        <w:rPr>
          <w:rFonts w:cs="Times New Roman"/>
        </w:rPr>
        <w:instrText xml:space="preserve"> ADDIN EN.CITE &lt;EndNote&gt;&lt;Cite&gt;&lt;Author&gt;CRREM&lt;/Author&gt;&lt;Year&gt;2023&lt;/Year&gt;&lt;RecNum&gt;1231&lt;/RecNum&gt;&lt;DisplayText&gt;(CRREM, 2023)&lt;/DisplayText&gt;&lt;record&gt;&lt;rec-number&gt;1231&lt;/rec-number&gt;&lt;foreign-keys&gt;&lt;key app="EN" db-id="ear29sre9ve0woevt0ix2wv1pvasrzaedp5f" timestamp="1679964356" guid="919a8f97-0bce-4b68-a524-5d6d8419f8e7"&gt;1231&lt;/key&gt;&lt;/foreign-keys&gt;&lt;ref-type name="Web Page"&gt;12&lt;/ref-type&gt;&lt;contributors&gt;&lt;authors&gt;&lt;author&gt;CRREM&lt;/author&gt;&lt;/authors&gt;&lt;/contributors&gt;&lt;titles&gt;&lt;title&gt;Carbon Risk Real Estate Monitor&lt;/title&gt;&lt;secondary-title&gt;About&lt;/secondary-title&gt;&lt;/titles&gt;&lt;number&gt;28/03/23&lt;/number&gt;&lt;dates&gt;&lt;year&gt;2023&lt;/year&gt;&lt;/dates&gt;&lt;pub-location&gt;Austria&lt;/pub-location&gt;&lt;urls&gt;&lt;related-urls&gt;&lt;url&gt;https://www.crrem.eu/about-crrem/&lt;/url&gt;&lt;/related-urls&gt;&lt;/urls&gt;&lt;/record&gt;&lt;/Cite&gt;&lt;/EndNote&gt;</w:instrText>
      </w:r>
      <w:r w:rsidRPr="003C6B9F">
        <w:rPr>
          <w:rFonts w:cs="Times New Roman"/>
        </w:rPr>
        <w:fldChar w:fldCharType="separate"/>
      </w:r>
      <w:r w:rsidRPr="003C6B9F">
        <w:rPr>
          <w:rFonts w:cs="Times New Roman"/>
          <w:noProof/>
        </w:rPr>
        <w:t>(CRREM, 2023</w:t>
      </w:r>
      <w:r w:rsidR="00262D8D" w:rsidRPr="003C6B9F">
        <w:rPr>
          <w:rFonts w:cs="Times New Roman"/>
          <w:noProof/>
        </w:rPr>
        <w:t>a</w:t>
      </w:r>
      <w:r w:rsidRPr="003C6B9F">
        <w:rPr>
          <w:rFonts w:cs="Times New Roman"/>
          <w:noProof/>
        </w:rPr>
        <w:t>)</w:t>
      </w:r>
      <w:r w:rsidRPr="003C6B9F">
        <w:rPr>
          <w:rFonts w:cs="Times New Roman"/>
        </w:rPr>
        <w:fldChar w:fldCharType="end"/>
      </w:r>
      <w:r w:rsidRPr="003C6B9F">
        <w:rPr>
          <w:rFonts w:cs="Times New Roman"/>
        </w:rPr>
        <w:t xml:space="preserve">. There has been a lack of tools available to property owners and professionals to assist them with addressing this risk. The EU funded CRREM tool helps to address this and enables its potential users from the real estate sector to assess the carbon and energy performance of buildings and portfolios and benchmark assets against the CRREM pathways, supporting effective carbon risk.  CRREM also provides information on the financial risks associated with poor energy performance and helps quantify the financial implications of climate change on portfolios </w:t>
      </w:r>
      <w:r w:rsidRPr="003C6B9F">
        <w:rPr>
          <w:rFonts w:cs="Times New Roman"/>
        </w:rPr>
        <w:fldChar w:fldCharType="begin"/>
      </w:r>
      <w:r w:rsidRPr="003C6B9F">
        <w:rPr>
          <w:rFonts w:cs="Times New Roman"/>
        </w:rPr>
        <w:instrText xml:space="preserve"> ADDIN EN.CITE &lt;EndNote&gt;&lt;Cite&gt;&lt;Author&gt;Winters&lt;/Author&gt;&lt;Year&gt;2021&lt;/Year&gt;&lt;RecNum&gt;1240&lt;/RecNum&gt;&lt;DisplayText&gt;(Winters, 2021)&lt;/DisplayText&gt;&lt;record&gt;&lt;rec-number&gt;1240&lt;/rec-number&gt;&lt;foreign-keys&gt;&lt;key app="EN" db-id="ear29sre9ve0woevt0ix2wv1pvasrzaedp5f" timestamp="1690077660" guid="fdc2b8dc-0e7b-483b-8e7e-932183230851"&gt;1240&lt;/key&gt;&lt;/foreign-keys&gt;&lt;ref-type name="Web Page"&gt;12&lt;/ref-type&gt;&lt;contributors&gt;&lt;authors&gt;&lt;author&gt;Winters, M&lt;/author&gt;&lt;/authors&gt;&lt;/contributors&gt;&lt;titles&gt;&lt;title&gt;How CRREM mitigates risk for real estate portfolios&lt;/title&gt;&lt;/titles&gt;&lt;number&gt;23/07/23&lt;/number&gt;&lt;dates&gt;&lt;year&gt;2021&lt;/year&gt;&lt;/dates&gt;&lt;pub-location&gt;Utah&lt;/pub-location&gt;&lt;urls&gt;&lt;related-urls&gt;&lt;url&gt;https://esg.conservice.com/how-crrem-mitigates-risk-real-estate-portfolios/&lt;/url&gt;&lt;/related-urls&gt;&lt;/urls&gt;&lt;/record&gt;&lt;/Cite&gt;&lt;/EndNote&gt;</w:instrText>
      </w:r>
      <w:r w:rsidRPr="003C6B9F">
        <w:rPr>
          <w:rFonts w:cs="Times New Roman"/>
        </w:rPr>
        <w:fldChar w:fldCharType="separate"/>
      </w:r>
      <w:r w:rsidRPr="003C6B9F">
        <w:rPr>
          <w:rFonts w:cs="Times New Roman"/>
          <w:noProof/>
        </w:rPr>
        <w:t>(Winters, 2021)</w:t>
      </w:r>
      <w:r w:rsidRPr="003C6B9F">
        <w:rPr>
          <w:rFonts w:cs="Times New Roman"/>
        </w:rPr>
        <w:fldChar w:fldCharType="end"/>
      </w:r>
      <w:r w:rsidRPr="003C6B9F">
        <w:rPr>
          <w:rFonts w:cs="Times New Roman"/>
        </w:rPr>
        <w:t xml:space="preserve">. The tool has been widely supported and adopted by several European countries, as is evident with its alignment with the Netherlands based Global Real Estate Sustainability Benchmark (GRESB) </w:t>
      </w:r>
      <w:proofErr w:type="spellStart"/>
      <w:r w:rsidRPr="003C6B9F">
        <w:rPr>
          <w:rFonts w:cs="Times New Roman"/>
        </w:rPr>
        <w:t>organisation</w:t>
      </w:r>
      <w:proofErr w:type="spellEnd"/>
      <w:r w:rsidRPr="003C6B9F">
        <w:rPr>
          <w:rFonts w:cs="Times New Roman"/>
        </w:rPr>
        <w:t xml:space="preserve">, a leading ESG benchmark for real estate and infrastructure investments across the world </w:t>
      </w:r>
      <w:r w:rsidRPr="003C6B9F">
        <w:rPr>
          <w:rFonts w:cs="Times New Roman"/>
        </w:rPr>
        <w:fldChar w:fldCharType="begin"/>
      </w:r>
      <w:r w:rsidRPr="003C6B9F">
        <w:rPr>
          <w:rFonts w:cs="Times New Roman"/>
        </w:rPr>
        <w:instrText xml:space="preserve"> ADDIN EN.CITE &lt;EndNote&gt;&lt;Cite&gt;&lt;Author&gt;GRESB&lt;/Author&gt;&lt;Year&gt;2020&lt;/Year&gt;&lt;RecNum&gt;1080&lt;/RecNum&gt;&lt;DisplayText&gt;(GRESB, 2020)&lt;/DisplayText&gt;&lt;record&gt;&lt;rec-number&gt;1080&lt;/rec-number&gt;&lt;foreign-keys&gt;&lt;key app="EN" db-id="ear29sre9ve0woevt0ix2wv1pvasrzaedp5f" timestamp="1592861134" guid="eebd5ca7-ec8c-4cf4-8e4a-f198adb18657"&gt;1080&lt;/key&gt;&lt;/foreign-keys&gt;&lt;ref-type name="Web Page"&gt;12&lt;/ref-type&gt;&lt;contributors&gt;&lt;authors&gt;&lt;author&gt;GRESB&lt;/author&gt;&lt;/authors&gt;&lt;/contributors&gt;&lt;titles&gt;&lt;title&gt;Global Real Estate Sustainability Benchmark&lt;/title&gt;&lt;/titles&gt;&lt;number&gt;23/06/2020&lt;/number&gt;&lt;dates&gt;&lt;year&gt;2020&lt;/year&gt;&lt;/dates&gt;&lt;pub-location&gt;Amsterdam&lt;/pub-location&gt;&lt;publisher&gt;GRESB&lt;/publisher&gt;&lt;urls&gt;&lt;related-urls&gt;&lt;url&gt;https://gresb.com/&lt;/url&gt;&lt;/related-urls&gt;&lt;/urls&gt;&lt;/record&gt;&lt;/Cite&gt;&lt;/EndNote&gt;</w:instrText>
      </w:r>
      <w:r w:rsidRPr="003C6B9F">
        <w:rPr>
          <w:rFonts w:cs="Times New Roman"/>
        </w:rPr>
        <w:fldChar w:fldCharType="separate"/>
      </w:r>
      <w:r w:rsidRPr="003C6B9F">
        <w:rPr>
          <w:rFonts w:cs="Times New Roman"/>
          <w:noProof/>
        </w:rPr>
        <w:t>(GRESB, 2020)</w:t>
      </w:r>
      <w:r w:rsidRPr="003C6B9F">
        <w:rPr>
          <w:rFonts w:cs="Times New Roman"/>
        </w:rPr>
        <w:fldChar w:fldCharType="end"/>
      </w:r>
      <w:r w:rsidRPr="003C6B9F">
        <w:rPr>
          <w:rFonts w:cs="Times New Roman"/>
        </w:rPr>
        <w:t xml:space="preserve">. </w:t>
      </w:r>
    </w:p>
    <w:p w14:paraId="6497E3A0" w14:textId="3AC5D930" w:rsidR="00C35B30" w:rsidRPr="003C6B9F" w:rsidRDefault="00C310C5" w:rsidP="00087934">
      <w:pPr>
        <w:rPr>
          <w:rFonts w:cs="Times New Roman"/>
        </w:rPr>
      </w:pPr>
      <w:r w:rsidRPr="003C6B9F">
        <w:rPr>
          <w:rFonts w:cs="Times New Roman"/>
        </w:rPr>
        <w:t>The building sector needs to continue to work towards mitigating the effects of climate change. Tools such as CRREM</w:t>
      </w:r>
      <w:r w:rsidR="00D933D7" w:rsidRPr="003C6B9F">
        <w:rPr>
          <w:rFonts w:cs="Times New Roman"/>
        </w:rPr>
        <w:t xml:space="preserve"> combine current financial considerations of </w:t>
      </w:r>
      <w:r w:rsidR="00334F31" w:rsidRPr="003C6B9F">
        <w:rPr>
          <w:rFonts w:cs="Times New Roman"/>
        </w:rPr>
        <w:t>Asset Owner</w:t>
      </w:r>
      <w:r w:rsidR="00D933D7" w:rsidRPr="003C6B9F">
        <w:rPr>
          <w:rFonts w:cs="Times New Roman"/>
        </w:rPr>
        <w:t>s (property owners) with a practical way to</w:t>
      </w:r>
      <w:r w:rsidRPr="003C6B9F">
        <w:rPr>
          <w:rFonts w:cs="Times New Roman"/>
        </w:rPr>
        <w:t xml:space="preserve"> provide a better understand the future environmental and financial risk of their assets. By providing information such as the stranding risk, building owners </w:t>
      </w:r>
      <w:r w:rsidR="00676C11" w:rsidRPr="003C6B9F">
        <w:rPr>
          <w:rFonts w:cs="Times New Roman"/>
        </w:rPr>
        <w:t>can</w:t>
      </w:r>
      <w:r w:rsidRPr="003C6B9F">
        <w:rPr>
          <w:rFonts w:cs="Times New Roman"/>
        </w:rPr>
        <w:t xml:space="preserve"> see when their asset no longer meets emission targets and might become a financial liability as it </w:t>
      </w:r>
      <w:r w:rsidR="008B79C4" w:rsidRPr="003C6B9F">
        <w:rPr>
          <w:rFonts w:cs="Times New Roman"/>
        </w:rPr>
        <w:t xml:space="preserve">may </w:t>
      </w:r>
      <w:r w:rsidRPr="003C6B9F">
        <w:rPr>
          <w:rFonts w:cs="Times New Roman"/>
        </w:rPr>
        <w:t xml:space="preserve">not be allowed to be occupied or rented. Even though CRREM has been widely adopted in several European countries, it has only recently been introduced in Australia and no research has been conducted to understand its usability within this context. </w:t>
      </w:r>
      <w:r w:rsidR="002B309A" w:rsidRPr="003C6B9F">
        <w:rPr>
          <w:rFonts w:cs="Times New Roman"/>
        </w:rPr>
        <w:t>This study helps to address this</w:t>
      </w:r>
      <w:r w:rsidR="00BE6D46" w:rsidRPr="003C6B9F">
        <w:rPr>
          <w:rFonts w:cs="Times New Roman"/>
        </w:rPr>
        <w:t>, applying</w:t>
      </w:r>
      <w:r w:rsidR="002B309A" w:rsidRPr="003C6B9F">
        <w:rPr>
          <w:rFonts w:cs="Times New Roman"/>
        </w:rPr>
        <w:t xml:space="preserve"> the CRREM tool </w:t>
      </w:r>
      <w:r w:rsidR="00BE6D46" w:rsidRPr="003C6B9F">
        <w:rPr>
          <w:rFonts w:cs="Times New Roman"/>
        </w:rPr>
        <w:t xml:space="preserve">to </w:t>
      </w:r>
      <w:r w:rsidR="002B309A" w:rsidRPr="003C6B9F">
        <w:rPr>
          <w:rFonts w:cs="Times New Roman"/>
        </w:rPr>
        <w:t xml:space="preserve">70 Australian office </w:t>
      </w:r>
      <w:r w:rsidR="00BE6D46" w:rsidRPr="003C6B9F">
        <w:rPr>
          <w:rFonts w:cs="Times New Roman"/>
        </w:rPr>
        <w:t xml:space="preserve">building </w:t>
      </w:r>
      <w:r w:rsidR="002B309A" w:rsidRPr="003C6B9F">
        <w:rPr>
          <w:rFonts w:cs="Times New Roman"/>
        </w:rPr>
        <w:t xml:space="preserve">case studies from </w:t>
      </w:r>
      <w:r w:rsidR="00BE6D46" w:rsidRPr="003C6B9F">
        <w:rPr>
          <w:rFonts w:cs="Times New Roman"/>
        </w:rPr>
        <w:t xml:space="preserve">three </w:t>
      </w:r>
      <w:r w:rsidR="002B309A" w:rsidRPr="003C6B9F">
        <w:rPr>
          <w:rFonts w:cs="Times New Roman"/>
        </w:rPr>
        <w:t xml:space="preserve">different leading Australian property </w:t>
      </w:r>
      <w:r w:rsidR="00334F31" w:rsidRPr="003C6B9F">
        <w:rPr>
          <w:rFonts w:cs="Times New Roman"/>
        </w:rPr>
        <w:t>Asset Owner</w:t>
      </w:r>
      <w:r w:rsidR="002B309A" w:rsidRPr="003C6B9F">
        <w:rPr>
          <w:rFonts w:cs="Times New Roman"/>
        </w:rPr>
        <w:t xml:space="preserve">s. This study found that </w:t>
      </w:r>
      <w:r w:rsidR="00BE6D46" w:rsidRPr="003C6B9F">
        <w:rPr>
          <w:rFonts w:cs="Times New Roman"/>
        </w:rPr>
        <w:t>CRREM</w:t>
      </w:r>
      <w:r w:rsidR="002B309A" w:rsidRPr="003C6B9F">
        <w:rPr>
          <w:rFonts w:cs="Times New Roman"/>
        </w:rPr>
        <w:t xml:space="preserve"> provide</w:t>
      </w:r>
      <w:r w:rsidR="00676C11" w:rsidRPr="003C6B9F">
        <w:rPr>
          <w:rFonts w:cs="Times New Roman"/>
        </w:rPr>
        <w:t>d</w:t>
      </w:r>
      <w:r w:rsidR="002B309A" w:rsidRPr="003C6B9F">
        <w:rPr>
          <w:rFonts w:cs="Times New Roman"/>
        </w:rPr>
        <w:t xml:space="preserve"> valuable insight into the future risk of these portfolios</w:t>
      </w:r>
      <w:r w:rsidR="00BE6D46" w:rsidRPr="003C6B9F">
        <w:rPr>
          <w:rFonts w:cs="Times New Roman"/>
        </w:rPr>
        <w:t>,</w:t>
      </w:r>
      <w:r w:rsidR="002B309A" w:rsidRPr="003C6B9F">
        <w:rPr>
          <w:rFonts w:cs="Times New Roman"/>
        </w:rPr>
        <w:t xml:space="preserve"> however </w:t>
      </w:r>
      <w:r w:rsidR="00C35B30" w:rsidRPr="003C6B9F">
        <w:rPr>
          <w:rFonts w:cs="Times New Roman"/>
        </w:rPr>
        <w:t>more detailed analysis is required to understand how inputs like state/territory emission factors might affect results for individual buildings and portfolios, and whether this may provide a more useful approach compared to a single emission factor for Australia for the purposes of asset strategy development, planning and reporting</w:t>
      </w:r>
      <w:r w:rsidR="002B309A" w:rsidRPr="003C6B9F">
        <w:rPr>
          <w:rFonts w:cs="Times New Roman"/>
        </w:rPr>
        <w:t xml:space="preserve">. </w:t>
      </w:r>
      <w:r w:rsidR="00C35B30" w:rsidRPr="003C6B9F">
        <w:rPr>
          <w:rFonts w:cs="Times New Roman"/>
        </w:rPr>
        <w:t xml:space="preserve">Further, given the embedded nature of NABERS in the Australian commercial office market, it would be useful to understand the relationship between asset stranding and NABERS ratings. </w:t>
      </w:r>
      <w:r w:rsidR="00622A49" w:rsidRPr="003C6B9F">
        <w:rPr>
          <w:rFonts w:cs="Times New Roman"/>
        </w:rPr>
        <w:t>F</w:t>
      </w:r>
      <w:r w:rsidR="002B309A" w:rsidRPr="003C6B9F">
        <w:rPr>
          <w:rFonts w:cs="Times New Roman"/>
        </w:rPr>
        <w:t xml:space="preserve">urther research into the relationship between CRREM and NABERS </w:t>
      </w:r>
      <w:r w:rsidR="00622A49" w:rsidRPr="003C6B9F">
        <w:rPr>
          <w:rFonts w:cs="Times New Roman"/>
        </w:rPr>
        <w:t>is needed</w:t>
      </w:r>
      <w:r w:rsidR="002B309A" w:rsidRPr="003C6B9F">
        <w:rPr>
          <w:rFonts w:cs="Times New Roman"/>
        </w:rPr>
        <w:t xml:space="preserve"> and </w:t>
      </w:r>
      <w:r w:rsidR="00C35B30" w:rsidRPr="003C6B9F">
        <w:rPr>
          <w:rFonts w:cs="Times New Roman"/>
        </w:rPr>
        <w:t>users of CRREM</w:t>
      </w:r>
      <w:r w:rsidR="00262D8D" w:rsidRPr="003C6B9F">
        <w:rPr>
          <w:rFonts w:cs="Times New Roman"/>
        </w:rPr>
        <w:t xml:space="preserve"> </w:t>
      </w:r>
      <w:r w:rsidR="002B309A" w:rsidRPr="003C6B9F">
        <w:rPr>
          <w:rFonts w:cs="Times New Roman"/>
        </w:rPr>
        <w:t xml:space="preserve">should continue to include </w:t>
      </w:r>
      <w:r w:rsidR="00220DB2" w:rsidRPr="003C6B9F">
        <w:rPr>
          <w:rFonts w:cs="Times New Roman"/>
        </w:rPr>
        <w:t>a sensitivity analysis when interpreting the results.</w:t>
      </w:r>
    </w:p>
    <w:p w14:paraId="7EC4A5A6" w14:textId="72814744" w:rsidR="0017466F" w:rsidRPr="003C6B9F" w:rsidRDefault="003035ED" w:rsidP="008B2140">
      <w:pPr>
        <w:pStyle w:val="Heading1"/>
        <w:rPr>
          <w:rFonts w:cs="Times New Roman"/>
        </w:rPr>
      </w:pPr>
      <w:r w:rsidRPr="003C6B9F">
        <w:rPr>
          <w:rFonts w:cs="Times New Roman"/>
        </w:rPr>
        <w:lastRenderedPageBreak/>
        <w:t xml:space="preserve">Acknowledgement </w:t>
      </w:r>
    </w:p>
    <w:p w14:paraId="6667F06B" w14:textId="7CDA73CC" w:rsidR="0017466F" w:rsidRPr="003C6B9F" w:rsidRDefault="00087934" w:rsidP="008B2140">
      <w:pPr>
        <w:rPr>
          <w:rFonts w:cs="Times New Roman"/>
        </w:rPr>
      </w:pPr>
      <w:r w:rsidRPr="003C6B9F">
        <w:rPr>
          <w:rFonts w:cs="Times New Roman"/>
        </w:rPr>
        <w:t xml:space="preserve">The authors would like to acknowledge the pilot funding provided by the Faculty of Architecture, Building and Planning at the University of Melbourne and the building owners for the provision of key data for use in this project. </w:t>
      </w:r>
    </w:p>
    <w:p w14:paraId="178331B0" w14:textId="0F89D3A6" w:rsidR="00E46457" w:rsidRPr="003C6B9F" w:rsidRDefault="0017466F" w:rsidP="003035ED">
      <w:pPr>
        <w:pStyle w:val="Heading1"/>
        <w:rPr>
          <w:rFonts w:cs="Times New Roman"/>
        </w:rPr>
      </w:pPr>
      <w:r w:rsidRPr="003C6B9F">
        <w:rPr>
          <w:rFonts w:cs="Times New Roman"/>
        </w:rPr>
        <w:t>References</w:t>
      </w:r>
    </w:p>
    <w:p w14:paraId="76BFF396" w14:textId="717B781D" w:rsidR="00C02BC6" w:rsidRPr="003C6B9F" w:rsidRDefault="00E46457" w:rsidP="006C30C0">
      <w:pPr>
        <w:rPr>
          <w:rFonts w:cs="Times New Roman"/>
          <w:noProof/>
        </w:rPr>
      </w:pPr>
      <w:r w:rsidRPr="003C6B9F">
        <w:rPr>
          <w:rFonts w:cs="Times New Roman"/>
          <w:noProof/>
        </w:rPr>
        <w:fldChar w:fldCharType="begin"/>
      </w:r>
      <w:r w:rsidRPr="003C6B9F">
        <w:rPr>
          <w:rFonts w:cs="Times New Roman"/>
        </w:rPr>
        <w:instrText xml:space="preserve"> ADDIN EN.REFLIST </w:instrText>
      </w:r>
      <w:r w:rsidRPr="003C6B9F">
        <w:rPr>
          <w:rFonts w:cs="Times New Roman"/>
          <w:noProof/>
        </w:rPr>
        <w:fldChar w:fldCharType="separate"/>
      </w:r>
      <w:r w:rsidR="00C02BC6" w:rsidRPr="003C6B9F">
        <w:rPr>
          <w:rFonts w:cs="Times New Roman"/>
          <w:noProof/>
        </w:rPr>
        <w:t xml:space="preserve">BRE. 2022. </w:t>
      </w:r>
      <w:r w:rsidR="00C02BC6" w:rsidRPr="003C6B9F">
        <w:rPr>
          <w:rFonts w:cs="Times New Roman"/>
          <w:i/>
          <w:noProof/>
        </w:rPr>
        <w:t xml:space="preserve">Navigating the Carbon Risk Real Estate Monitor (CRREM) Tool For A Stronger Pathway to Net Zero </w:t>
      </w:r>
      <w:r w:rsidR="00C02BC6" w:rsidRPr="003C6B9F">
        <w:rPr>
          <w:rFonts w:cs="Times New Roman"/>
          <w:noProof/>
        </w:rPr>
        <w:t xml:space="preserve">[Online]. Watford: BRE. Available: </w:t>
      </w:r>
      <w:hyperlink r:id="rId43" w:history="1">
        <w:r w:rsidR="00C02BC6" w:rsidRPr="003C6B9F">
          <w:rPr>
            <w:rStyle w:val="Hyperlink"/>
            <w:rFonts w:cs="Times New Roman"/>
            <w:noProof/>
          </w:rPr>
          <w:t>https://bregroup.com/breeam-news/breeam-usa-news/navigating-the-carbon-risk-real-estate-monitor-crrem-tool-for-a-stronger-pathway-to-net-zero/</w:t>
        </w:r>
      </w:hyperlink>
      <w:r w:rsidR="00C02BC6" w:rsidRPr="003C6B9F">
        <w:rPr>
          <w:rFonts w:cs="Times New Roman"/>
          <w:noProof/>
        </w:rPr>
        <w:t xml:space="preserve"> [Accessed 19/07/23].</w:t>
      </w:r>
    </w:p>
    <w:p w14:paraId="7387B5F8" w14:textId="394389BC" w:rsidR="00C02BC6" w:rsidRPr="003C6B9F" w:rsidRDefault="00C02BC6" w:rsidP="006C30C0">
      <w:pPr>
        <w:rPr>
          <w:rFonts w:cs="Times New Roman"/>
          <w:noProof/>
        </w:rPr>
      </w:pPr>
      <w:r w:rsidRPr="003C6B9F">
        <w:rPr>
          <w:rFonts w:cs="Times New Roman"/>
          <w:noProof/>
        </w:rPr>
        <w:t xml:space="preserve">C40 CITIES. 2022. </w:t>
      </w:r>
      <w:r w:rsidRPr="003C6B9F">
        <w:rPr>
          <w:rFonts w:cs="Times New Roman"/>
          <w:i/>
          <w:noProof/>
        </w:rPr>
        <w:t xml:space="preserve">Climate Change Mitigation Strategy to 2050: Melbourne Together for 1.5°C </w:t>
      </w:r>
      <w:r w:rsidRPr="003C6B9F">
        <w:rPr>
          <w:rFonts w:cs="Times New Roman"/>
          <w:noProof/>
        </w:rPr>
        <w:t xml:space="preserve">[Online]. C40 Cities Climate Leadership Group, Inc. Available: </w:t>
      </w:r>
      <w:hyperlink r:id="rId44" w:history="1">
        <w:r w:rsidRPr="003C6B9F">
          <w:rPr>
            <w:rStyle w:val="Hyperlink"/>
            <w:rFonts w:cs="Times New Roman"/>
            <w:noProof/>
          </w:rPr>
          <w:t>https://www.c40knowledgehub.org/s/article/Climate-Change-Mitigation-Strategy-to-2050-Melbourne-Together-for-1-5-C?language=en_US</w:t>
        </w:r>
      </w:hyperlink>
      <w:r w:rsidRPr="003C6B9F">
        <w:rPr>
          <w:rFonts w:cs="Times New Roman"/>
          <w:noProof/>
        </w:rPr>
        <w:t xml:space="preserve"> [Accessed 17/07/2023].</w:t>
      </w:r>
    </w:p>
    <w:p w14:paraId="6BB55EB9" w14:textId="54222491" w:rsidR="00C02BC6" w:rsidRPr="003C6B9F" w:rsidRDefault="00C02BC6" w:rsidP="006C30C0">
      <w:pPr>
        <w:rPr>
          <w:rFonts w:cs="Times New Roman"/>
          <w:noProof/>
        </w:rPr>
      </w:pPr>
      <w:r w:rsidRPr="003C6B9F">
        <w:rPr>
          <w:rFonts w:cs="Times New Roman"/>
          <w:noProof/>
        </w:rPr>
        <w:t xml:space="preserve">CBD. 2020. </w:t>
      </w:r>
      <w:r w:rsidRPr="003C6B9F">
        <w:rPr>
          <w:rFonts w:cs="Times New Roman"/>
          <w:i/>
          <w:noProof/>
        </w:rPr>
        <w:t xml:space="preserve">Welcome to the Commercial Building Disclosure Program </w:t>
      </w:r>
      <w:r w:rsidRPr="003C6B9F">
        <w:rPr>
          <w:rFonts w:cs="Times New Roman"/>
          <w:noProof/>
        </w:rPr>
        <w:t xml:space="preserve">[Online]. Australia: Australian Government Department of the Environment and Energy. Available: </w:t>
      </w:r>
      <w:hyperlink r:id="rId45" w:history="1">
        <w:r w:rsidRPr="003C6B9F">
          <w:rPr>
            <w:rStyle w:val="Hyperlink"/>
            <w:rFonts w:cs="Times New Roman"/>
            <w:noProof/>
          </w:rPr>
          <w:t>http://www.cbd.gov.au/</w:t>
        </w:r>
      </w:hyperlink>
      <w:r w:rsidRPr="003C6B9F">
        <w:rPr>
          <w:rFonts w:cs="Times New Roman"/>
          <w:noProof/>
        </w:rPr>
        <w:t xml:space="preserve"> [Accessed 01/06/2020].</w:t>
      </w:r>
    </w:p>
    <w:p w14:paraId="19B2845E" w14:textId="77777777" w:rsidR="00C02BC6" w:rsidRPr="003C6B9F" w:rsidRDefault="00C02BC6" w:rsidP="006C30C0">
      <w:pPr>
        <w:rPr>
          <w:rFonts w:cs="Times New Roman"/>
          <w:noProof/>
        </w:rPr>
      </w:pPr>
      <w:r w:rsidRPr="003C6B9F">
        <w:rPr>
          <w:rFonts w:cs="Times New Roman"/>
          <w:noProof/>
        </w:rPr>
        <w:t>CLIMATE CHANGE AUTHORITY 2019. Australia’s climate change policies at the australian and state and territory government levels: A stocktake. Australia.</w:t>
      </w:r>
    </w:p>
    <w:p w14:paraId="69FA6DD6" w14:textId="77777777" w:rsidR="00C02BC6" w:rsidRPr="003C6B9F" w:rsidRDefault="00C02BC6" w:rsidP="006C30C0">
      <w:pPr>
        <w:rPr>
          <w:rFonts w:cs="Times New Roman"/>
          <w:noProof/>
        </w:rPr>
      </w:pPr>
      <w:r w:rsidRPr="003C6B9F">
        <w:rPr>
          <w:rFonts w:cs="Times New Roman"/>
          <w:noProof/>
        </w:rPr>
        <w:t>CRREM 2020a. Carbon Risk Real Estate Monitor Introduction. Belgium: European Commission.</w:t>
      </w:r>
    </w:p>
    <w:p w14:paraId="134C18D3" w14:textId="77777777" w:rsidR="00C02BC6" w:rsidRPr="003C6B9F" w:rsidRDefault="00C02BC6" w:rsidP="006C30C0">
      <w:pPr>
        <w:rPr>
          <w:rFonts w:cs="Times New Roman"/>
          <w:noProof/>
        </w:rPr>
      </w:pPr>
      <w:r w:rsidRPr="003C6B9F">
        <w:rPr>
          <w:rFonts w:cs="Times New Roman"/>
          <w:noProof/>
        </w:rPr>
        <w:t>CRREM 2020b. From global emission budgets to decarbonisation pathways at property level: Crrem downscaling and carbon performance assessment methodology. Austria: IIÖ Institute for Real Estate Economics.</w:t>
      </w:r>
    </w:p>
    <w:p w14:paraId="4D030670" w14:textId="19929081" w:rsidR="00C02BC6" w:rsidRPr="003C6B9F" w:rsidRDefault="00C02BC6" w:rsidP="006C30C0">
      <w:pPr>
        <w:rPr>
          <w:rFonts w:cs="Times New Roman"/>
          <w:noProof/>
        </w:rPr>
      </w:pPr>
      <w:r w:rsidRPr="003C6B9F">
        <w:rPr>
          <w:rFonts w:cs="Times New Roman"/>
          <w:noProof/>
        </w:rPr>
        <w:t xml:space="preserve">CRREM 2022. CRREM Webinar 'Basics' &amp; Q &amp; A Session. </w:t>
      </w:r>
      <w:r w:rsidRPr="003C6B9F">
        <w:rPr>
          <w:rFonts w:cs="Times New Roman"/>
          <w:i/>
          <w:noProof/>
        </w:rPr>
        <w:t>In:</w:t>
      </w:r>
      <w:r w:rsidRPr="003C6B9F">
        <w:rPr>
          <w:rFonts w:cs="Times New Roman"/>
          <w:noProof/>
        </w:rPr>
        <w:t xml:space="preserve"> BIENERT, D. S. (ed.). Belgium: CRREM.</w:t>
      </w:r>
    </w:p>
    <w:p w14:paraId="05E17230" w14:textId="5EDDD89A" w:rsidR="00C02BC6" w:rsidRPr="003C6B9F" w:rsidRDefault="00C02BC6" w:rsidP="006C30C0">
      <w:pPr>
        <w:rPr>
          <w:rFonts w:cs="Times New Roman"/>
          <w:noProof/>
        </w:rPr>
      </w:pPr>
      <w:r w:rsidRPr="003C6B9F">
        <w:rPr>
          <w:rFonts w:cs="Times New Roman"/>
          <w:noProof/>
        </w:rPr>
        <w:t>CRREM. 2023</w:t>
      </w:r>
      <w:r w:rsidR="00262D8D" w:rsidRPr="003C6B9F">
        <w:rPr>
          <w:rFonts w:cs="Times New Roman"/>
          <w:noProof/>
        </w:rPr>
        <w:t>a</w:t>
      </w:r>
      <w:r w:rsidRPr="003C6B9F">
        <w:rPr>
          <w:rFonts w:cs="Times New Roman"/>
          <w:noProof/>
        </w:rPr>
        <w:t xml:space="preserve">. </w:t>
      </w:r>
      <w:r w:rsidRPr="003C6B9F">
        <w:rPr>
          <w:rFonts w:cs="Times New Roman"/>
          <w:i/>
          <w:noProof/>
        </w:rPr>
        <w:t xml:space="preserve">Carbon Risk Real Estate Monitor </w:t>
      </w:r>
      <w:r w:rsidRPr="003C6B9F">
        <w:rPr>
          <w:rFonts w:cs="Times New Roman"/>
          <w:noProof/>
        </w:rPr>
        <w:t xml:space="preserve">[Online]. Austria. Available: </w:t>
      </w:r>
      <w:hyperlink r:id="rId46" w:history="1">
        <w:r w:rsidRPr="003C6B9F">
          <w:rPr>
            <w:rStyle w:val="Hyperlink"/>
            <w:rFonts w:cs="Times New Roman"/>
            <w:noProof/>
          </w:rPr>
          <w:t>https://www.crrem.eu/about-crrem/</w:t>
        </w:r>
      </w:hyperlink>
      <w:r w:rsidRPr="003C6B9F">
        <w:rPr>
          <w:rFonts w:cs="Times New Roman"/>
          <w:noProof/>
        </w:rPr>
        <w:t xml:space="preserve"> [Accessed 28/03/23].</w:t>
      </w:r>
    </w:p>
    <w:p w14:paraId="30F92CB1" w14:textId="7FCB6435" w:rsidR="00262D8D" w:rsidRPr="003C6B9F" w:rsidRDefault="00262D8D" w:rsidP="006C30C0">
      <w:pPr>
        <w:rPr>
          <w:rFonts w:cs="Times New Roman"/>
          <w:noProof/>
        </w:rPr>
      </w:pPr>
      <w:r w:rsidRPr="003C6B9F">
        <w:rPr>
          <w:rFonts w:cs="Times New Roman"/>
          <w:noProof/>
        </w:rPr>
        <w:t>CRREM 2023b. CRREM Risk Assessment Reference Guide: User manual for the CRREM Risk Assessment Tool V2.</w:t>
      </w:r>
      <w:r w:rsidRPr="003C6B9F">
        <w:rPr>
          <w:rFonts w:cs="Times New Roman"/>
        </w:rPr>
        <w:t xml:space="preserve"> https://www.crrem.eu/tool/reference-guide/</w:t>
      </w:r>
      <w:r w:rsidRPr="003C6B9F">
        <w:rPr>
          <w:rFonts w:cs="Times New Roman"/>
          <w:noProof/>
        </w:rPr>
        <w:t xml:space="preserve"> [Accessed 28/10/23].</w:t>
      </w:r>
    </w:p>
    <w:p w14:paraId="383336A9" w14:textId="77777777" w:rsidR="00C02BC6" w:rsidRPr="003C6B9F" w:rsidRDefault="00C02BC6" w:rsidP="006C30C0">
      <w:pPr>
        <w:rPr>
          <w:rFonts w:cs="Times New Roman"/>
          <w:noProof/>
        </w:rPr>
      </w:pPr>
      <w:r w:rsidRPr="003C6B9F">
        <w:rPr>
          <w:rFonts w:cs="Times New Roman"/>
          <w:noProof/>
        </w:rPr>
        <w:t>DELOITTE 2022. Economic reality check Adapting Australia for climate-resilient growth. Australia: Deloitte Access Economics Pty Ltd.</w:t>
      </w:r>
    </w:p>
    <w:p w14:paraId="028A9C76" w14:textId="69248C03" w:rsidR="00C02BC6" w:rsidRPr="003C6B9F" w:rsidRDefault="00C02BC6" w:rsidP="006C30C0">
      <w:pPr>
        <w:rPr>
          <w:rFonts w:cs="Times New Roman"/>
          <w:noProof/>
        </w:rPr>
      </w:pPr>
      <w:r w:rsidRPr="003C6B9F">
        <w:rPr>
          <w:rFonts w:cs="Times New Roman"/>
          <w:noProof/>
        </w:rPr>
        <w:t xml:space="preserve">EUROPEAN COMMISSION. 2022. </w:t>
      </w:r>
      <w:r w:rsidRPr="003C6B9F">
        <w:rPr>
          <w:rFonts w:cs="Times New Roman"/>
          <w:i/>
          <w:noProof/>
        </w:rPr>
        <w:t xml:space="preserve">Carbon Risk Real Estate Monitor: A tool to align asset investments with Paris Agreement objectives </w:t>
      </w:r>
      <w:r w:rsidRPr="003C6B9F">
        <w:rPr>
          <w:rFonts w:cs="Times New Roman"/>
          <w:noProof/>
        </w:rPr>
        <w:t xml:space="preserve">[Online]. Belgium: European Union's LIFE programme. Available: </w:t>
      </w:r>
      <w:hyperlink r:id="rId47" w:history="1">
        <w:r w:rsidRPr="003C6B9F">
          <w:rPr>
            <w:rStyle w:val="Hyperlink"/>
            <w:rFonts w:cs="Times New Roman"/>
            <w:noProof/>
          </w:rPr>
          <w:t>https://www.youtube.com/watch?v=HZh5DHyvOW8</w:t>
        </w:r>
      </w:hyperlink>
      <w:r w:rsidRPr="003C6B9F">
        <w:rPr>
          <w:rFonts w:cs="Times New Roman"/>
          <w:noProof/>
        </w:rPr>
        <w:t xml:space="preserve"> [Accessed 21/02/23].</w:t>
      </w:r>
    </w:p>
    <w:p w14:paraId="7F900EA5" w14:textId="77777777" w:rsidR="00C02BC6" w:rsidRPr="003C6B9F" w:rsidRDefault="00C02BC6" w:rsidP="006C30C0">
      <w:pPr>
        <w:rPr>
          <w:rFonts w:cs="Times New Roman"/>
          <w:noProof/>
        </w:rPr>
      </w:pPr>
      <w:r w:rsidRPr="003C6B9F">
        <w:rPr>
          <w:rFonts w:cs="Times New Roman"/>
          <w:noProof/>
        </w:rPr>
        <w:t xml:space="preserve">FENG, H., ZHAO, J., ZHANG, H., ZHU, S., LI, D. &amp; THURAIRAJAH, N. 2022. Uncertainties in whole-building life cycle assessment: A systematic review. </w:t>
      </w:r>
      <w:r w:rsidRPr="003C6B9F">
        <w:rPr>
          <w:rFonts w:cs="Times New Roman"/>
          <w:i/>
          <w:noProof/>
        </w:rPr>
        <w:t>Journal of Building Engineering,</w:t>
      </w:r>
      <w:r w:rsidRPr="003C6B9F">
        <w:rPr>
          <w:rFonts w:cs="Times New Roman"/>
          <w:noProof/>
        </w:rPr>
        <w:t xml:space="preserve"> 50.</w:t>
      </w:r>
    </w:p>
    <w:p w14:paraId="04559E78" w14:textId="702D4E2E" w:rsidR="00C02BC6" w:rsidRPr="003C6B9F" w:rsidRDefault="00C02BC6" w:rsidP="006C30C0">
      <w:pPr>
        <w:rPr>
          <w:rFonts w:cs="Times New Roman"/>
          <w:noProof/>
        </w:rPr>
      </w:pPr>
      <w:r w:rsidRPr="003C6B9F">
        <w:rPr>
          <w:rFonts w:cs="Times New Roman"/>
          <w:noProof/>
        </w:rPr>
        <w:t xml:space="preserve">GRESB. 2020. </w:t>
      </w:r>
      <w:r w:rsidRPr="003C6B9F">
        <w:rPr>
          <w:rFonts w:cs="Times New Roman"/>
          <w:i/>
          <w:noProof/>
        </w:rPr>
        <w:t xml:space="preserve">Global Real Estate Sustainability Benchmark </w:t>
      </w:r>
      <w:r w:rsidRPr="003C6B9F">
        <w:rPr>
          <w:rFonts w:cs="Times New Roman"/>
          <w:noProof/>
        </w:rPr>
        <w:t xml:space="preserve">[Online]. Amsterdam: GRESB. Available: </w:t>
      </w:r>
      <w:hyperlink r:id="rId48" w:history="1">
        <w:r w:rsidRPr="003C6B9F">
          <w:rPr>
            <w:rStyle w:val="Hyperlink"/>
            <w:rFonts w:cs="Times New Roman"/>
            <w:noProof/>
          </w:rPr>
          <w:t>https://gresb.com/</w:t>
        </w:r>
      </w:hyperlink>
      <w:r w:rsidRPr="003C6B9F">
        <w:rPr>
          <w:rFonts w:cs="Times New Roman"/>
          <w:noProof/>
        </w:rPr>
        <w:t xml:space="preserve"> [Accessed 23/06/2020].</w:t>
      </w:r>
    </w:p>
    <w:p w14:paraId="42D3DC3C" w14:textId="77777777" w:rsidR="00C02BC6" w:rsidRPr="003C6B9F" w:rsidRDefault="00C02BC6" w:rsidP="006C30C0">
      <w:pPr>
        <w:rPr>
          <w:rFonts w:cs="Times New Roman"/>
          <w:noProof/>
        </w:rPr>
      </w:pPr>
      <w:r w:rsidRPr="003C6B9F">
        <w:rPr>
          <w:rFonts w:cs="Times New Roman"/>
          <w:noProof/>
        </w:rPr>
        <w:lastRenderedPageBreak/>
        <w:t xml:space="preserve">HIRSCH, J., LAFUENTE, J. J., RECOURT, R., SPANNER, M., GEIGER, P., HARAN, M., MCGREAL, S., DAVIS, P., TALTAVULL, P., PEREZ, R., JUÁREZ, F., MARTINEZ, A. M. &amp; BROUNEN, D. 2019. Stranding Risk &amp; Carbon. Science-based decarbonising of the EU commercial real estate sector. </w:t>
      </w:r>
      <w:r w:rsidRPr="003C6B9F">
        <w:rPr>
          <w:rFonts w:cs="Times New Roman"/>
          <w:i/>
          <w:noProof/>
        </w:rPr>
        <w:t>CRREM report No.1.</w:t>
      </w:r>
      <w:r w:rsidRPr="003C6B9F">
        <w:rPr>
          <w:rFonts w:cs="Times New Roman"/>
          <w:noProof/>
        </w:rPr>
        <w:t xml:space="preserve"> Wörgl, Austria.</w:t>
      </w:r>
    </w:p>
    <w:p w14:paraId="526754FA" w14:textId="77777777" w:rsidR="00C02BC6" w:rsidRPr="003C6B9F" w:rsidRDefault="00C02BC6" w:rsidP="006C30C0">
      <w:pPr>
        <w:rPr>
          <w:rFonts w:cs="Times New Roman"/>
          <w:noProof/>
        </w:rPr>
      </w:pPr>
      <w:r w:rsidRPr="003C6B9F">
        <w:rPr>
          <w:rFonts w:cs="Times New Roman"/>
          <w:noProof/>
        </w:rPr>
        <w:t xml:space="preserve">HURLIMAN, C., WARREN-MYERS, G. &amp; BROWNE, G. 2019. Is the Australian construction industry prepared for climate change? </w:t>
      </w:r>
      <w:r w:rsidRPr="003C6B9F">
        <w:rPr>
          <w:rFonts w:cs="Times New Roman"/>
          <w:i/>
          <w:noProof/>
        </w:rPr>
        <w:t>Building and Environment,</w:t>
      </w:r>
      <w:r w:rsidRPr="003C6B9F">
        <w:rPr>
          <w:rFonts w:cs="Times New Roman"/>
          <w:noProof/>
        </w:rPr>
        <w:t xml:space="preserve"> 153</w:t>
      </w:r>
      <w:r w:rsidRPr="003C6B9F">
        <w:rPr>
          <w:rFonts w:cs="Times New Roman"/>
          <w:b/>
          <w:noProof/>
        </w:rPr>
        <w:t>,</w:t>
      </w:r>
      <w:r w:rsidRPr="003C6B9F">
        <w:rPr>
          <w:rFonts w:cs="Times New Roman"/>
          <w:noProof/>
        </w:rPr>
        <w:t xml:space="preserve"> 128-137.</w:t>
      </w:r>
    </w:p>
    <w:p w14:paraId="0DCC2426" w14:textId="69E52DA1" w:rsidR="00C02BC6" w:rsidRPr="003C6B9F" w:rsidRDefault="00C02BC6" w:rsidP="006C30C0">
      <w:pPr>
        <w:rPr>
          <w:rFonts w:cs="Times New Roman"/>
          <w:noProof/>
        </w:rPr>
      </w:pPr>
      <w:r w:rsidRPr="003C6B9F">
        <w:rPr>
          <w:rFonts w:cs="Times New Roman"/>
          <w:noProof/>
        </w:rPr>
        <w:t xml:space="preserve">IEA. 2023. </w:t>
      </w:r>
      <w:r w:rsidRPr="003C6B9F">
        <w:rPr>
          <w:rFonts w:cs="Times New Roman"/>
          <w:i/>
          <w:noProof/>
        </w:rPr>
        <w:t xml:space="preserve">Australia has raised its climate targets and now needs to accelerate its clean energy transition, says new IEA review </w:t>
      </w:r>
      <w:r w:rsidRPr="003C6B9F">
        <w:rPr>
          <w:rFonts w:cs="Times New Roman"/>
          <w:noProof/>
        </w:rPr>
        <w:t xml:space="preserve">[Online]. France: International Energy Agency. Available: </w:t>
      </w:r>
      <w:hyperlink r:id="rId49" w:history="1">
        <w:r w:rsidRPr="003C6B9F">
          <w:rPr>
            <w:rStyle w:val="Hyperlink"/>
            <w:rFonts w:cs="Times New Roman"/>
            <w:noProof/>
          </w:rPr>
          <w:t>https://www.iea.org/news/australia-has-raised-its-climate-targets-and-now-needs-to-accelerate-its-clean-energy-transition-says-new-iea-review</w:t>
        </w:r>
      </w:hyperlink>
      <w:r w:rsidRPr="003C6B9F">
        <w:rPr>
          <w:rFonts w:cs="Times New Roman"/>
          <w:noProof/>
        </w:rPr>
        <w:t xml:space="preserve"> [Accessed 19/07/23].</w:t>
      </w:r>
    </w:p>
    <w:p w14:paraId="25241142" w14:textId="069DEB30" w:rsidR="00C02BC6" w:rsidRPr="003C6B9F" w:rsidRDefault="00C02BC6" w:rsidP="006C30C0">
      <w:pPr>
        <w:rPr>
          <w:rFonts w:cs="Times New Roman"/>
          <w:noProof/>
        </w:rPr>
      </w:pPr>
      <w:r w:rsidRPr="003C6B9F">
        <w:rPr>
          <w:rFonts w:cs="Times New Roman"/>
          <w:noProof/>
        </w:rPr>
        <w:t xml:space="preserve">IPCC. 2023. </w:t>
      </w:r>
      <w:r w:rsidRPr="003C6B9F">
        <w:rPr>
          <w:rFonts w:cs="Times New Roman"/>
          <w:i/>
          <w:noProof/>
        </w:rPr>
        <w:t xml:space="preserve">Buildings </w:t>
      </w:r>
      <w:r w:rsidRPr="003C6B9F">
        <w:rPr>
          <w:rFonts w:cs="Times New Roman"/>
          <w:noProof/>
        </w:rPr>
        <w:t xml:space="preserve">[Online]. Switzerland: IPCC. Available: </w:t>
      </w:r>
      <w:hyperlink r:id="rId50" w:history="1">
        <w:r w:rsidRPr="003C6B9F">
          <w:rPr>
            <w:rStyle w:val="Hyperlink"/>
            <w:rFonts w:cs="Times New Roman"/>
            <w:noProof/>
          </w:rPr>
          <w:t>https://www.ipcc.ch/report/ar5/wg3/buildings/</w:t>
        </w:r>
      </w:hyperlink>
      <w:r w:rsidRPr="003C6B9F">
        <w:rPr>
          <w:rFonts w:cs="Times New Roman"/>
          <w:noProof/>
        </w:rPr>
        <w:t xml:space="preserve"> [Accessed 17/07/2023].</w:t>
      </w:r>
    </w:p>
    <w:p w14:paraId="4B07C959" w14:textId="77777777" w:rsidR="00C02BC6" w:rsidRPr="003C6B9F" w:rsidRDefault="00C02BC6" w:rsidP="006C30C0">
      <w:pPr>
        <w:rPr>
          <w:rFonts w:cs="Times New Roman"/>
          <w:noProof/>
        </w:rPr>
      </w:pPr>
      <w:r w:rsidRPr="003C6B9F">
        <w:rPr>
          <w:rFonts w:cs="Times New Roman"/>
          <w:noProof/>
        </w:rPr>
        <w:t xml:space="preserve">MARSH, E., ALLEN, S. &amp; HATTAM, L. 2023. Tackling uncertainty in life cycle assessments for the built environment: A review. </w:t>
      </w:r>
      <w:r w:rsidRPr="003C6B9F">
        <w:rPr>
          <w:rFonts w:cs="Times New Roman"/>
          <w:i/>
          <w:noProof/>
        </w:rPr>
        <w:t>Building and Environment,</w:t>
      </w:r>
      <w:r w:rsidRPr="003C6B9F">
        <w:rPr>
          <w:rFonts w:cs="Times New Roman"/>
          <w:noProof/>
        </w:rPr>
        <w:t xml:space="preserve"> 231.</w:t>
      </w:r>
    </w:p>
    <w:p w14:paraId="39D21E84" w14:textId="77777777" w:rsidR="00C02BC6" w:rsidRPr="003C6B9F" w:rsidRDefault="00C02BC6" w:rsidP="006C30C0">
      <w:pPr>
        <w:rPr>
          <w:rFonts w:cs="Times New Roman"/>
          <w:noProof/>
        </w:rPr>
      </w:pPr>
      <w:r w:rsidRPr="003C6B9F">
        <w:rPr>
          <w:rFonts w:cs="Times New Roman"/>
          <w:noProof/>
        </w:rPr>
        <w:t xml:space="preserve">MOLINA-CASTRO, G. 2022. A Monte Carlo Method for Quantifying Uncertainties in the Official Greenhouse Gas Emission Factors Database of Costa Rica. </w:t>
      </w:r>
      <w:r w:rsidRPr="003C6B9F">
        <w:rPr>
          <w:rFonts w:cs="Times New Roman"/>
          <w:i/>
          <w:noProof/>
        </w:rPr>
        <w:t>Environmental Science and Technology,</w:t>
      </w:r>
      <w:r w:rsidRPr="003C6B9F">
        <w:rPr>
          <w:rFonts w:cs="Times New Roman"/>
          <w:noProof/>
        </w:rPr>
        <w:t xml:space="preserve"> 10.</w:t>
      </w:r>
    </w:p>
    <w:p w14:paraId="61CE0593" w14:textId="1BE4029F" w:rsidR="00C02BC6" w:rsidRPr="003C6B9F" w:rsidRDefault="00C02BC6" w:rsidP="006C30C0">
      <w:pPr>
        <w:rPr>
          <w:rFonts w:cs="Times New Roman"/>
          <w:noProof/>
        </w:rPr>
      </w:pPr>
      <w:r w:rsidRPr="003C6B9F">
        <w:rPr>
          <w:rFonts w:cs="Times New Roman"/>
          <w:noProof/>
        </w:rPr>
        <w:t xml:space="preserve">NABERS. 2019a. </w:t>
      </w:r>
      <w:r w:rsidRPr="003C6B9F">
        <w:rPr>
          <w:rFonts w:cs="Times New Roman"/>
          <w:i/>
          <w:noProof/>
        </w:rPr>
        <w:t xml:space="preserve">NABERS </w:t>
      </w:r>
      <w:r w:rsidRPr="003C6B9F">
        <w:rPr>
          <w:rFonts w:cs="Times New Roman"/>
          <w:noProof/>
        </w:rPr>
        <w:t xml:space="preserve">[Online]. Australia: NSW Department of Planning, Industry and Environment. Available: </w:t>
      </w:r>
      <w:hyperlink r:id="rId51" w:history="1">
        <w:r w:rsidRPr="003C6B9F">
          <w:rPr>
            <w:rStyle w:val="Hyperlink"/>
            <w:rFonts w:cs="Times New Roman"/>
            <w:noProof/>
          </w:rPr>
          <w:t>https://www.nabers.gov.au/</w:t>
        </w:r>
      </w:hyperlink>
      <w:r w:rsidRPr="003C6B9F">
        <w:rPr>
          <w:rFonts w:cs="Times New Roman"/>
          <w:noProof/>
        </w:rPr>
        <w:t xml:space="preserve"> [Accessed 04/10/2019].</w:t>
      </w:r>
    </w:p>
    <w:p w14:paraId="36981116" w14:textId="307AF9A0" w:rsidR="00C02BC6" w:rsidRPr="003C6B9F" w:rsidRDefault="00C02BC6" w:rsidP="006C30C0">
      <w:pPr>
        <w:rPr>
          <w:rFonts w:cs="Times New Roman"/>
          <w:noProof/>
        </w:rPr>
      </w:pPr>
      <w:r w:rsidRPr="003C6B9F">
        <w:rPr>
          <w:rFonts w:cs="Times New Roman"/>
          <w:noProof/>
        </w:rPr>
        <w:t xml:space="preserve">NABERS. 2019b. </w:t>
      </w:r>
      <w:r w:rsidRPr="003C6B9F">
        <w:rPr>
          <w:rFonts w:cs="Times New Roman"/>
          <w:i/>
          <w:noProof/>
        </w:rPr>
        <w:t xml:space="preserve">Office Buildings </w:t>
      </w:r>
      <w:r w:rsidRPr="003C6B9F">
        <w:rPr>
          <w:rFonts w:cs="Times New Roman"/>
          <w:noProof/>
        </w:rPr>
        <w:t xml:space="preserve">[Online]. Australia. Available: </w:t>
      </w:r>
      <w:hyperlink r:id="rId52" w:history="1">
        <w:r w:rsidRPr="003C6B9F">
          <w:rPr>
            <w:rStyle w:val="Hyperlink"/>
            <w:rFonts w:cs="Times New Roman"/>
            <w:noProof/>
          </w:rPr>
          <w:t>https://www.nabers.gov.au/sites/default/files/2022-11/Fact%20Sheet%20-%20Office%20Buildings.pdf</w:t>
        </w:r>
      </w:hyperlink>
      <w:r w:rsidRPr="003C6B9F">
        <w:rPr>
          <w:rFonts w:cs="Times New Roman"/>
          <w:noProof/>
        </w:rPr>
        <w:t xml:space="preserve"> [Accessed 31/07/2023].</w:t>
      </w:r>
    </w:p>
    <w:p w14:paraId="2C2793A5" w14:textId="6CBB1D8B" w:rsidR="00C02BC6" w:rsidRPr="003C6B9F" w:rsidRDefault="00C02BC6" w:rsidP="006C30C0">
      <w:pPr>
        <w:rPr>
          <w:rFonts w:cs="Times New Roman"/>
          <w:noProof/>
        </w:rPr>
      </w:pPr>
      <w:r w:rsidRPr="003C6B9F">
        <w:rPr>
          <w:rFonts w:cs="Times New Roman"/>
          <w:noProof/>
        </w:rPr>
        <w:t xml:space="preserve">NSW GOVERNMENT. 2020. </w:t>
      </w:r>
      <w:r w:rsidRPr="003C6B9F">
        <w:rPr>
          <w:rFonts w:cs="Times New Roman"/>
          <w:i/>
          <w:noProof/>
        </w:rPr>
        <w:t xml:space="preserve">NSW Government action on climate change </w:t>
      </w:r>
      <w:r w:rsidRPr="003C6B9F">
        <w:rPr>
          <w:rFonts w:cs="Times New Roman"/>
          <w:noProof/>
        </w:rPr>
        <w:t xml:space="preserve">[Online]. Australia. Available: </w:t>
      </w:r>
      <w:hyperlink r:id="rId53" w:anchor=":~:text=The%20Net%20Zero%20Plan%20Stage,net%20zero%20emissions%20by%202050" w:history="1">
        <w:r w:rsidRPr="003C6B9F">
          <w:rPr>
            <w:rStyle w:val="Hyperlink"/>
            <w:rFonts w:cs="Times New Roman"/>
            <w:noProof/>
          </w:rPr>
          <w:t>https://www.climatechange.environment.nsw.gov.au/nsw-government-action-climate-change#:~:text=The%20Net%20Zero%20Plan%20Stage,net%20zero%20emissions%20by%202050</w:t>
        </w:r>
      </w:hyperlink>
      <w:r w:rsidRPr="003C6B9F">
        <w:rPr>
          <w:rFonts w:cs="Times New Roman"/>
          <w:noProof/>
        </w:rPr>
        <w:t>. [Accessed 19/07/23].</w:t>
      </w:r>
    </w:p>
    <w:p w14:paraId="18907B1C" w14:textId="77777777" w:rsidR="00C02BC6" w:rsidRPr="003C6B9F" w:rsidRDefault="00C02BC6" w:rsidP="006C30C0">
      <w:pPr>
        <w:rPr>
          <w:rFonts w:cs="Times New Roman"/>
          <w:noProof/>
        </w:rPr>
      </w:pPr>
      <w:r w:rsidRPr="003C6B9F">
        <w:rPr>
          <w:rFonts w:cs="Times New Roman"/>
          <w:noProof/>
        </w:rPr>
        <w:t xml:space="preserve">PRATAVIERA, E., VIVIAN, J., LOMBARDO, G. &amp; ZARRELLA, A. 2022. Evaluation of the impact of input uncertainty on urban building energy simulations using uncertainty and sensitivity analysis. </w:t>
      </w:r>
      <w:r w:rsidRPr="003C6B9F">
        <w:rPr>
          <w:rFonts w:cs="Times New Roman"/>
          <w:i/>
          <w:noProof/>
        </w:rPr>
        <w:t>Applied Energy,</w:t>
      </w:r>
      <w:r w:rsidRPr="003C6B9F">
        <w:rPr>
          <w:rFonts w:cs="Times New Roman"/>
          <w:noProof/>
        </w:rPr>
        <w:t xml:space="preserve"> 311.</w:t>
      </w:r>
    </w:p>
    <w:p w14:paraId="58DD8C2B" w14:textId="77777777" w:rsidR="00C02BC6" w:rsidRPr="003C6B9F" w:rsidRDefault="00C02BC6" w:rsidP="006C30C0">
      <w:pPr>
        <w:rPr>
          <w:rFonts w:cs="Times New Roman"/>
          <w:noProof/>
        </w:rPr>
      </w:pPr>
      <w:r w:rsidRPr="003C6B9F">
        <w:rPr>
          <w:rFonts w:cs="Times New Roman"/>
          <w:noProof/>
        </w:rPr>
        <w:t xml:space="preserve">RAZAVI, S., JAKEMAN, A., SALTELLI, A., PRIEUR, C., IOOSS, B., BORGONOVO, E., PLISCHKE, E., LO PIANO, S. T., IWANAGA, T., BECKER, W., TARANTOLA, S., GUILLAUME, J., JAKEMAN, J., GUPTA, H., MELILLO, N., RABITTI, G., CHABRIDON, V., DUAN, Q., SUN, X., SMITH, S., SHEIKHOLESLAMI, R., HOSSEINI, N., ASADZADEH, M., PUY, A., KUCHERENKO, S. &amp; MAIER, H. 2021. The Future of Sensitivity Analysis: An essential discipline for systems modeling and policy support. </w:t>
      </w:r>
      <w:r w:rsidRPr="003C6B9F">
        <w:rPr>
          <w:rFonts w:cs="Times New Roman"/>
          <w:i/>
          <w:noProof/>
        </w:rPr>
        <w:t>Environmental Modelling &amp; Software,</w:t>
      </w:r>
      <w:r w:rsidRPr="003C6B9F">
        <w:rPr>
          <w:rFonts w:cs="Times New Roman"/>
          <w:noProof/>
        </w:rPr>
        <w:t xml:space="preserve"> 137.</w:t>
      </w:r>
    </w:p>
    <w:p w14:paraId="5464470F" w14:textId="5F68246D" w:rsidR="00C02BC6" w:rsidRPr="003C6B9F" w:rsidRDefault="00C02BC6" w:rsidP="006C30C0">
      <w:pPr>
        <w:rPr>
          <w:rFonts w:cs="Times New Roman"/>
          <w:noProof/>
        </w:rPr>
      </w:pPr>
      <w:r w:rsidRPr="003C6B9F">
        <w:rPr>
          <w:rFonts w:cs="Times New Roman"/>
          <w:noProof/>
        </w:rPr>
        <w:t xml:space="preserve">STEIN, Z. 2023. </w:t>
      </w:r>
      <w:r w:rsidRPr="003C6B9F">
        <w:rPr>
          <w:rFonts w:cs="Times New Roman"/>
          <w:i/>
          <w:noProof/>
        </w:rPr>
        <w:t xml:space="preserve">Carbon Risk Real Estate Monitor (CRREM) </w:t>
      </w:r>
      <w:r w:rsidRPr="003C6B9F">
        <w:rPr>
          <w:rFonts w:cs="Times New Roman"/>
          <w:noProof/>
        </w:rPr>
        <w:t xml:space="preserve">[Online]. Carbon Collective. Available: </w:t>
      </w:r>
      <w:hyperlink r:id="rId54" w:history="1">
        <w:r w:rsidRPr="003C6B9F">
          <w:rPr>
            <w:rStyle w:val="Hyperlink"/>
            <w:rFonts w:cs="Times New Roman"/>
            <w:noProof/>
          </w:rPr>
          <w:t>https://www.carboncollective.co/sustainable-investing/carbon-risk-real-estate-monitor-crrem</w:t>
        </w:r>
      </w:hyperlink>
      <w:r w:rsidRPr="003C6B9F">
        <w:rPr>
          <w:rFonts w:cs="Times New Roman"/>
          <w:noProof/>
        </w:rPr>
        <w:t xml:space="preserve"> [Accessed 19/07/23].</w:t>
      </w:r>
    </w:p>
    <w:p w14:paraId="1C54AA99" w14:textId="1CF65756" w:rsidR="00C02BC6" w:rsidRPr="003C6B9F" w:rsidRDefault="00C02BC6" w:rsidP="006C30C0">
      <w:pPr>
        <w:rPr>
          <w:rFonts w:cs="Times New Roman"/>
          <w:noProof/>
        </w:rPr>
      </w:pPr>
      <w:r w:rsidRPr="003C6B9F">
        <w:rPr>
          <w:rFonts w:cs="Times New Roman"/>
          <w:noProof/>
        </w:rPr>
        <w:t xml:space="preserve">URBAN. 2020. </w:t>
      </w:r>
      <w:r w:rsidRPr="003C6B9F">
        <w:rPr>
          <w:rFonts w:cs="Times New Roman"/>
          <w:i/>
          <w:noProof/>
        </w:rPr>
        <w:t xml:space="preserve">Carbon Risk Real Estate Monitor announces decarbonisation plan </w:t>
      </w:r>
      <w:r w:rsidRPr="003C6B9F">
        <w:rPr>
          <w:rFonts w:cs="Times New Roman"/>
          <w:noProof/>
        </w:rPr>
        <w:t xml:space="preserve">[Online]. Urban. Available: </w:t>
      </w:r>
      <w:hyperlink r:id="rId55" w:history="1">
        <w:r w:rsidRPr="003C6B9F">
          <w:rPr>
            <w:rStyle w:val="Hyperlink"/>
            <w:rFonts w:cs="Times New Roman"/>
            <w:noProof/>
          </w:rPr>
          <w:t>https://www.urban.com.au/news/carbon-risk-real-estate-monitor-announces-decarbonisation-plan</w:t>
        </w:r>
      </w:hyperlink>
      <w:r w:rsidRPr="003C6B9F">
        <w:rPr>
          <w:rFonts w:cs="Times New Roman"/>
          <w:noProof/>
        </w:rPr>
        <w:t xml:space="preserve"> [Accessed 19/07/23 Australia].</w:t>
      </w:r>
    </w:p>
    <w:p w14:paraId="26C3EDCD" w14:textId="2271A025" w:rsidR="00C02BC6" w:rsidRPr="003C6B9F" w:rsidRDefault="00C02BC6" w:rsidP="006C30C0">
      <w:pPr>
        <w:rPr>
          <w:rFonts w:cs="Times New Roman"/>
          <w:noProof/>
        </w:rPr>
      </w:pPr>
      <w:r w:rsidRPr="003C6B9F">
        <w:rPr>
          <w:rFonts w:cs="Times New Roman"/>
          <w:noProof/>
        </w:rPr>
        <w:lastRenderedPageBreak/>
        <w:t xml:space="preserve">VICTORIA STATE GOVERNMENT. 2023. </w:t>
      </w:r>
      <w:r w:rsidRPr="003C6B9F">
        <w:rPr>
          <w:rFonts w:cs="Times New Roman"/>
          <w:i/>
          <w:noProof/>
        </w:rPr>
        <w:t xml:space="preserve">Climate action targets </w:t>
      </w:r>
      <w:r w:rsidRPr="003C6B9F">
        <w:rPr>
          <w:rFonts w:cs="Times New Roman"/>
          <w:noProof/>
        </w:rPr>
        <w:t xml:space="preserve">[Online]. Australia: State Government of Victoria. Available: </w:t>
      </w:r>
      <w:hyperlink r:id="rId56" w:history="1">
        <w:r w:rsidRPr="003C6B9F">
          <w:rPr>
            <w:rStyle w:val="Hyperlink"/>
            <w:rFonts w:cs="Times New Roman"/>
            <w:noProof/>
          </w:rPr>
          <w:t>https://www.climatechange.vic.gov.au/climate-action-targets</w:t>
        </w:r>
      </w:hyperlink>
      <w:r w:rsidRPr="003C6B9F">
        <w:rPr>
          <w:rFonts w:cs="Times New Roman"/>
          <w:noProof/>
        </w:rPr>
        <w:t xml:space="preserve"> [Accessed 19/07/23].</w:t>
      </w:r>
    </w:p>
    <w:p w14:paraId="0C88894C" w14:textId="2BE5E0F6" w:rsidR="00087934" w:rsidRPr="003C6B9F" w:rsidRDefault="00087934" w:rsidP="006C30C0">
      <w:pPr>
        <w:rPr>
          <w:rFonts w:cs="Times New Roman"/>
          <w:noProof/>
        </w:rPr>
      </w:pPr>
      <w:r w:rsidRPr="003C6B9F">
        <w:rPr>
          <w:rFonts w:cs="Times New Roman"/>
          <w:noProof/>
        </w:rPr>
        <w:t>WARREN, C., BIENERT, S., WARREN-MYERS, G</w:t>
      </w:r>
      <w:r w:rsidRPr="003C6B9F">
        <w:rPr>
          <w:rFonts w:cs="Times New Roman"/>
        </w:rPr>
        <w:t xml:space="preserve"> </w:t>
      </w:r>
      <w:hyperlink r:id="rId57" w:history="1">
        <w:r w:rsidRPr="003C6B9F">
          <w:rPr>
            <w:rStyle w:val="Hyperlink"/>
            <w:rFonts w:cs="Times New Roman"/>
          </w:rPr>
          <w:t>Valuation and sustainability are rating tools enough?</w:t>
        </w:r>
      </w:hyperlink>
      <w:r w:rsidRPr="003C6B9F">
        <w:rPr>
          <w:rFonts w:cs="Times New Roman"/>
        </w:rPr>
        <w:t xml:space="preserve"> Proceedings of the European Real Estate Society Conference, June 2009, Stockholm, Swedan.</w:t>
      </w:r>
    </w:p>
    <w:p w14:paraId="3C3D9449" w14:textId="63995617" w:rsidR="00C02BC6" w:rsidRPr="003C6B9F" w:rsidRDefault="00C02BC6" w:rsidP="006C30C0">
      <w:pPr>
        <w:rPr>
          <w:rFonts w:cs="Times New Roman"/>
          <w:noProof/>
        </w:rPr>
      </w:pPr>
      <w:r w:rsidRPr="003C6B9F">
        <w:rPr>
          <w:rFonts w:cs="Times New Roman"/>
          <w:noProof/>
        </w:rPr>
        <w:t xml:space="preserve">WINTERS, M. 2021. </w:t>
      </w:r>
      <w:r w:rsidRPr="003C6B9F">
        <w:rPr>
          <w:rFonts w:cs="Times New Roman"/>
          <w:i/>
          <w:noProof/>
        </w:rPr>
        <w:t xml:space="preserve">How CRREM mitigates risk for real estate portfolios </w:t>
      </w:r>
      <w:r w:rsidRPr="003C6B9F">
        <w:rPr>
          <w:rFonts w:cs="Times New Roman"/>
          <w:noProof/>
        </w:rPr>
        <w:t xml:space="preserve">[Online]. Utah. Available: </w:t>
      </w:r>
      <w:hyperlink r:id="rId58" w:history="1">
        <w:r w:rsidRPr="003C6B9F">
          <w:rPr>
            <w:rStyle w:val="Hyperlink"/>
            <w:rFonts w:cs="Times New Roman"/>
            <w:noProof/>
          </w:rPr>
          <w:t>https://esg.conservice.com/how-crrem-mitigates-risk-real-estate-portfolios/</w:t>
        </w:r>
      </w:hyperlink>
      <w:r w:rsidRPr="003C6B9F">
        <w:rPr>
          <w:rFonts w:cs="Times New Roman"/>
          <w:noProof/>
        </w:rPr>
        <w:t xml:space="preserve"> [Accessed 23/07/23].</w:t>
      </w:r>
    </w:p>
    <w:p w14:paraId="775E83D7" w14:textId="5AE47688" w:rsidR="0017466F" w:rsidRPr="003C6B9F" w:rsidRDefault="00E46457" w:rsidP="006C30C0">
      <w:pPr>
        <w:rPr>
          <w:rFonts w:cs="Times New Roman"/>
        </w:rPr>
      </w:pPr>
      <w:r w:rsidRPr="003C6B9F">
        <w:rPr>
          <w:rFonts w:cs="Times New Roman"/>
        </w:rPr>
        <w:fldChar w:fldCharType="end"/>
      </w:r>
    </w:p>
    <w:sectPr w:rsidR="0017466F" w:rsidRPr="003C6B9F" w:rsidSect="000C0AB1">
      <w:footerReference w:type="default" r:id="rId59"/>
      <w:headerReference w:type="first" r:id="rId6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BEEC" w14:textId="77777777" w:rsidR="00BF3F7A" w:rsidRDefault="00BF3F7A" w:rsidP="00365ACF">
      <w:pPr>
        <w:spacing w:after="0" w:line="240" w:lineRule="auto"/>
      </w:pPr>
      <w:r>
        <w:separator/>
      </w:r>
    </w:p>
  </w:endnote>
  <w:endnote w:type="continuationSeparator" w:id="0">
    <w:p w14:paraId="4B71B67E" w14:textId="77777777" w:rsidR="00BF3F7A" w:rsidRDefault="00BF3F7A" w:rsidP="0036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DCEF" w14:textId="77777777" w:rsidR="000C0AB1" w:rsidRDefault="000C0AB1" w:rsidP="000C0AB1">
    <w:pPr>
      <w:pStyle w:val="Footer"/>
      <w:pBdr>
        <w:top w:val="single" w:sz="4" w:space="1" w:color="auto"/>
      </w:pBdr>
      <w:tabs>
        <w:tab w:val="right" w:pos="9639"/>
      </w:tabs>
    </w:pPr>
    <w:r>
      <w:t>30</w:t>
    </w:r>
    <w:r w:rsidRPr="00842BAB">
      <w:rPr>
        <w:vertAlign w:val="superscript"/>
      </w:rPr>
      <w:t>TH</w:t>
    </w:r>
    <w:r>
      <w:t xml:space="preserve"> Annual PRRES Conference, Gold Coast, Australia 14</w:t>
    </w:r>
    <w:r w:rsidRPr="005314FD">
      <w:rPr>
        <w:vertAlign w:val="superscript"/>
      </w:rPr>
      <w:t>th</w:t>
    </w:r>
    <w:r>
      <w:t xml:space="preserve"> -17</w:t>
    </w:r>
    <w:proofErr w:type="gramStart"/>
    <w:r w:rsidRPr="00287F35">
      <w:rPr>
        <w:vertAlign w:val="superscript"/>
      </w:rPr>
      <w:t>th</w:t>
    </w:r>
    <w:r>
      <w:t xml:space="preserve"> </w:t>
    </w:r>
    <w:r>
      <w:rPr>
        <w:vertAlign w:val="superscript"/>
      </w:rPr>
      <w:t xml:space="preserve"> </w:t>
    </w:r>
    <w:r>
      <w:t>January</w:t>
    </w:r>
    <w:proofErr w:type="gramEnd"/>
    <w:r>
      <w:t xml:space="preserve"> 2024</w:t>
    </w:r>
    <w:r>
      <w:tab/>
    </w:r>
    <w:r>
      <w:fldChar w:fldCharType="begin"/>
    </w:r>
    <w:r>
      <w:instrText xml:space="preserve"> PAGE   \* MERGEFORMAT </w:instrText>
    </w:r>
    <w:r>
      <w:fldChar w:fldCharType="separate"/>
    </w:r>
    <w:r>
      <w:t>2</w:t>
    </w:r>
    <w:r>
      <w:fldChar w:fldCharType="end"/>
    </w:r>
  </w:p>
  <w:p w14:paraId="5D8820C3" w14:textId="4387CACC" w:rsidR="00365ACF" w:rsidRPr="000C0AB1" w:rsidRDefault="00365ACF" w:rsidP="000C0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F4C0" w14:textId="77777777" w:rsidR="00BF3F7A" w:rsidRDefault="00BF3F7A" w:rsidP="00365ACF">
      <w:pPr>
        <w:spacing w:after="0" w:line="240" w:lineRule="auto"/>
      </w:pPr>
      <w:r>
        <w:separator/>
      </w:r>
    </w:p>
  </w:footnote>
  <w:footnote w:type="continuationSeparator" w:id="0">
    <w:p w14:paraId="46FF96E8" w14:textId="77777777" w:rsidR="00BF3F7A" w:rsidRDefault="00BF3F7A" w:rsidP="00365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024F" w14:textId="77777777" w:rsidR="000C0AB1" w:rsidRDefault="000C0AB1" w:rsidP="000C0AB1">
    <w:pPr>
      <w:pStyle w:val="ConferenceDetails"/>
    </w:pPr>
    <w:r>
      <w:t>30</w:t>
    </w:r>
    <w:r w:rsidRPr="00D062C6">
      <w:rPr>
        <w:vertAlign w:val="superscript"/>
      </w:rPr>
      <w:t>TH</w:t>
    </w:r>
    <w:r>
      <w:t xml:space="preserve"> Annual Pacific Rim Real Estate Society Conference</w:t>
    </w:r>
  </w:p>
  <w:p w14:paraId="5513716E" w14:textId="77777777" w:rsidR="000C0AB1" w:rsidRPr="002E71D8" w:rsidRDefault="000C0AB1" w:rsidP="000C0AB1">
    <w:pPr>
      <w:pStyle w:val="ConferenceDetails"/>
    </w:pPr>
    <w:r>
      <w:t>GOLD COAST, AUSTRALIA 14</w:t>
    </w:r>
    <w:r>
      <w:rPr>
        <w:vertAlign w:val="superscript"/>
      </w:rPr>
      <w:t xml:space="preserve">th </w:t>
    </w:r>
    <w:r>
      <w:t xml:space="preserve">– </w:t>
    </w:r>
    <w:r w:rsidRPr="00E26DBC">
      <w:t>17</w:t>
    </w:r>
    <w:proofErr w:type="gramStart"/>
    <w:r>
      <w:rPr>
        <w:vertAlign w:val="superscript"/>
      </w:rPr>
      <w:t xml:space="preserve">th  </w:t>
    </w:r>
    <w:r>
      <w:t>January</w:t>
    </w:r>
    <w:proofErr w:type="gramEnd"/>
    <w:r>
      <w:t xml:space="preserve"> 2024</w:t>
    </w:r>
  </w:p>
  <w:p w14:paraId="38D7613C" w14:textId="77777777" w:rsidR="000C0AB1" w:rsidRDefault="000C0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417C"/>
    <w:multiLevelType w:val="hybridMultilevel"/>
    <w:tmpl w:val="E708B6FA"/>
    <w:lvl w:ilvl="0" w:tplc="0F32725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411B3"/>
    <w:multiLevelType w:val="hybridMultilevel"/>
    <w:tmpl w:val="87FC610C"/>
    <w:lvl w:ilvl="0" w:tplc="86B2D736">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02E9F"/>
    <w:multiLevelType w:val="hybridMultilevel"/>
    <w:tmpl w:val="52969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266605"/>
    <w:multiLevelType w:val="hybridMultilevel"/>
    <w:tmpl w:val="2D7417B8"/>
    <w:lvl w:ilvl="0" w:tplc="58AA0014">
      <w:start w:val="1"/>
      <w:numFmt w:val="bullet"/>
      <w:lvlText w:val="•"/>
      <w:lvlJc w:val="left"/>
      <w:pPr>
        <w:tabs>
          <w:tab w:val="num" w:pos="720"/>
        </w:tabs>
        <w:ind w:left="720" w:hanging="360"/>
      </w:pPr>
      <w:rPr>
        <w:rFonts w:ascii="Arial" w:hAnsi="Arial" w:hint="default"/>
      </w:rPr>
    </w:lvl>
    <w:lvl w:ilvl="1" w:tplc="5AB8BAE2" w:tentative="1">
      <w:start w:val="1"/>
      <w:numFmt w:val="bullet"/>
      <w:lvlText w:val="•"/>
      <w:lvlJc w:val="left"/>
      <w:pPr>
        <w:tabs>
          <w:tab w:val="num" w:pos="1440"/>
        </w:tabs>
        <w:ind w:left="1440" w:hanging="360"/>
      </w:pPr>
      <w:rPr>
        <w:rFonts w:ascii="Arial" w:hAnsi="Arial" w:hint="default"/>
      </w:rPr>
    </w:lvl>
    <w:lvl w:ilvl="2" w:tplc="E4CABFAE" w:tentative="1">
      <w:start w:val="1"/>
      <w:numFmt w:val="bullet"/>
      <w:lvlText w:val="•"/>
      <w:lvlJc w:val="left"/>
      <w:pPr>
        <w:tabs>
          <w:tab w:val="num" w:pos="2160"/>
        </w:tabs>
        <w:ind w:left="2160" w:hanging="360"/>
      </w:pPr>
      <w:rPr>
        <w:rFonts w:ascii="Arial" w:hAnsi="Arial" w:hint="default"/>
      </w:rPr>
    </w:lvl>
    <w:lvl w:ilvl="3" w:tplc="E708A284" w:tentative="1">
      <w:start w:val="1"/>
      <w:numFmt w:val="bullet"/>
      <w:lvlText w:val="•"/>
      <w:lvlJc w:val="left"/>
      <w:pPr>
        <w:tabs>
          <w:tab w:val="num" w:pos="2880"/>
        </w:tabs>
        <w:ind w:left="2880" w:hanging="360"/>
      </w:pPr>
      <w:rPr>
        <w:rFonts w:ascii="Arial" w:hAnsi="Arial" w:hint="default"/>
      </w:rPr>
    </w:lvl>
    <w:lvl w:ilvl="4" w:tplc="4C5A693E" w:tentative="1">
      <w:start w:val="1"/>
      <w:numFmt w:val="bullet"/>
      <w:lvlText w:val="•"/>
      <w:lvlJc w:val="left"/>
      <w:pPr>
        <w:tabs>
          <w:tab w:val="num" w:pos="3600"/>
        </w:tabs>
        <w:ind w:left="3600" w:hanging="360"/>
      </w:pPr>
      <w:rPr>
        <w:rFonts w:ascii="Arial" w:hAnsi="Arial" w:hint="default"/>
      </w:rPr>
    </w:lvl>
    <w:lvl w:ilvl="5" w:tplc="E6F4B67A" w:tentative="1">
      <w:start w:val="1"/>
      <w:numFmt w:val="bullet"/>
      <w:lvlText w:val="•"/>
      <w:lvlJc w:val="left"/>
      <w:pPr>
        <w:tabs>
          <w:tab w:val="num" w:pos="4320"/>
        </w:tabs>
        <w:ind w:left="4320" w:hanging="360"/>
      </w:pPr>
      <w:rPr>
        <w:rFonts w:ascii="Arial" w:hAnsi="Arial" w:hint="default"/>
      </w:rPr>
    </w:lvl>
    <w:lvl w:ilvl="6" w:tplc="072A29EA" w:tentative="1">
      <w:start w:val="1"/>
      <w:numFmt w:val="bullet"/>
      <w:lvlText w:val="•"/>
      <w:lvlJc w:val="left"/>
      <w:pPr>
        <w:tabs>
          <w:tab w:val="num" w:pos="5040"/>
        </w:tabs>
        <w:ind w:left="5040" w:hanging="360"/>
      </w:pPr>
      <w:rPr>
        <w:rFonts w:ascii="Arial" w:hAnsi="Arial" w:hint="default"/>
      </w:rPr>
    </w:lvl>
    <w:lvl w:ilvl="7" w:tplc="397499C0" w:tentative="1">
      <w:start w:val="1"/>
      <w:numFmt w:val="bullet"/>
      <w:lvlText w:val="•"/>
      <w:lvlJc w:val="left"/>
      <w:pPr>
        <w:tabs>
          <w:tab w:val="num" w:pos="5760"/>
        </w:tabs>
        <w:ind w:left="5760" w:hanging="360"/>
      </w:pPr>
      <w:rPr>
        <w:rFonts w:ascii="Arial" w:hAnsi="Arial" w:hint="default"/>
      </w:rPr>
    </w:lvl>
    <w:lvl w:ilvl="8" w:tplc="E86E87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23E213D"/>
    <w:multiLevelType w:val="hybridMultilevel"/>
    <w:tmpl w:val="D026D8B2"/>
    <w:lvl w:ilvl="0" w:tplc="AFD88E98">
      <w:start w:val="1"/>
      <w:numFmt w:val="bullet"/>
      <w:lvlText w:val="•"/>
      <w:lvlJc w:val="left"/>
      <w:pPr>
        <w:tabs>
          <w:tab w:val="num" w:pos="720"/>
        </w:tabs>
        <w:ind w:left="720" w:hanging="360"/>
      </w:pPr>
      <w:rPr>
        <w:rFonts w:ascii="Arial" w:hAnsi="Arial" w:hint="default"/>
      </w:rPr>
    </w:lvl>
    <w:lvl w:ilvl="1" w:tplc="D3224068" w:tentative="1">
      <w:start w:val="1"/>
      <w:numFmt w:val="bullet"/>
      <w:lvlText w:val="•"/>
      <w:lvlJc w:val="left"/>
      <w:pPr>
        <w:tabs>
          <w:tab w:val="num" w:pos="1440"/>
        </w:tabs>
        <w:ind w:left="1440" w:hanging="360"/>
      </w:pPr>
      <w:rPr>
        <w:rFonts w:ascii="Arial" w:hAnsi="Arial" w:hint="default"/>
      </w:rPr>
    </w:lvl>
    <w:lvl w:ilvl="2" w:tplc="61F43B8E" w:tentative="1">
      <w:start w:val="1"/>
      <w:numFmt w:val="bullet"/>
      <w:lvlText w:val="•"/>
      <w:lvlJc w:val="left"/>
      <w:pPr>
        <w:tabs>
          <w:tab w:val="num" w:pos="2160"/>
        </w:tabs>
        <w:ind w:left="2160" w:hanging="360"/>
      </w:pPr>
      <w:rPr>
        <w:rFonts w:ascii="Arial" w:hAnsi="Arial" w:hint="default"/>
      </w:rPr>
    </w:lvl>
    <w:lvl w:ilvl="3" w:tplc="34F28298" w:tentative="1">
      <w:start w:val="1"/>
      <w:numFmt w:val="bullet"/>
      <w:lvlText w:val="•"/>
      <w:lvlJc w:val="left"/>
      <w:pPr>
        <w:tabs>
          <w:tab w:val="num" w:pos="2880"/>
        </w:tabs>
        <w:ind w:left="2880" w:hanging="360"/>
      </w:pPr>
      <w:rPr>
        <w:rFonts w:ascii="Arial" w:hAnsi="Arial" w:hint="default"/>
      </w:rPr>
    </w:lvl>
    <w:lvl w:ilvl="4" w:tplc="6BD092E4" w:tentative="1">
      <w:start w:val="1"/>
      <w:numFmt w:val="bullet"/>
      <w:lvlText w:val="•"/>
      <w:lvlJc w:val="left"/>
      <w:pPr>
        <w:tabs>
          <w:tab w:val="num" w:pos="3600"/>
        </w:tabs>
        <w:ind w:left="3600" w:hanging="360"/>
      </w:pPr>
      <w:rPr>
        <w:rFonts w:ascii="Arial" w:hAnsi="Arial" w:hint="default"/>
      </w:rPr>
    </w:lvl>
    <w:lvl w:ilvl="5" w:tplc="C51C44B8" w:tentative="1">
      <w:start w:val="1"/>
      <w:numFmt w:val="bullet"/>
      <w:lvlText w:val="•"/>
      <w:lvlJc w:val="left"/>
      <w:pPr>
        <w:tabs>
          <w:tab w:val="num" w:pos="4320"/>
        </w:tabs>
        <w:ind w:left="4320" w:hanging="360"/>
      </w:pPr>
      <w:rPr>
        <w:rFonts w:ascii="Arial" w:hAnsi="Arial" w:hint="default"/>
      </w:rPr>
    </w:lvl>
    <w:lvl w:ilvl="6" w:tplc="C032E0AC" w:tentative="1">
      <w:start w:val="1"/>
      <w:numFmt w:val="bullet"/>
      <w:lvlText w:val="•"/>
      <w:lvlJc w:val="left"/>
      <w:pPr>
        <w:tabs>
          <w:tab w:val="num" w:pos="5040"/>
        </w:tabs>
        <w:ind w:left="5040" w:hanging="360"/>
      </w:pPr>
      <w:rPr>
        <w:rFonts w:ascii="Arial" w:hAnsi="Arial" w:hint="default"/>
      </w:rPr>
    </w:lvl>
    <w:lvl w:ilvl="7" w:tplc="DD92EA3E" w:tentative="1">
      <w:start w:val="1"/>
      <w:numFmt w:val="bullet"/>
      <w:lvlText w:val="•"/>
      <w:lvlJc w:val="left"/>
      <w:pPr>
        <w:tabs>
          <w:tab w:val="num" w:pos="5760"/>
        </w:tabs>
        <w:ind w:left="5760" w:hanging="360"/>
      </w:pPr>
      <w:rPr>
        <w:rFonts w:ascii="Arial" w:hAnsi="Arial" w:hint="default"/>
      </w:rPr>
    </w:lvl>
    <w:lvl w:ilvl="8" w:tplc="CB6EC2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DB41DC"/>
    <w:multiLevelType w:val="hybridMultilevel"/>
    <w:tmpl w:val="9C6A3852"/>
    <w:lvl w:ilvl="0" w:tplc="3280AA0E">
      <w:start w:val="1"/>
      <w:numFmt w:val="bullet"/>
      <w:lvlText w:val="•"/>
      <w:lvlJc w:val="left"/>
      <w:pPr>
        <w:tabs>
          <w:tab w:val="num" w:pos="720"/>
        </w:tabs>
        <w:ind w:left="720" w:hanging="360"/>
      </w:pPr>
      <w:rPr>
        <w:rFonts w:ascii="Times New Roman" w:hAnsi="Times New Roman" w:hint="default"/>
      </w:rPr>
    </w:lvl>
    <w:lvl w:ilvl="1" w:tplc="5FF0F8AE" w:tentative="1">
      <w:start w:val="1"/>
      <w:numFmt w:val="bullet"/>
      <w:lvlText w:val="•"/>
      <w:lvlJc w:val="left"/>
      <w:pPr>
        <w:tabs>
          <w:tab w:val="num" w:pos="1440"/>
        </w:tabs>
        <w:ind w:left="1440" w:hanging="360"/>
      </w:pPr>
      <w:rPr>
        <w:rFonts w:ascii="Times New Roman" w:hAnsi="Times New Roman" w:hint="default"/>
      </w:rPr>
    </w:lvl>
    <w:lvl w:ilvl="2" w:tplc="ED6E358E" w:tentative="1">
      <w:start w:val="1"/>
      <w:numFmt w:val="bullet"/>
      <w:lvlText w:val="•"/>
      <w:lvlJc w:val="left"/>
      <w:pPr>
        <w:tabs>
          <w:tab w:val="num" w:pos="2160"/>
        </w:tabs>
        <w:ind w:left="2160" w:hanging="360"/>
      </w:pPr>
      <w:rPr>
        <w:rFonts w:ascii="Times New Roman" w:hAnsi="Times New Roman" w:hint="default"/>
      </w:rPr>
    </w:lvl>
    <w:lvl w:ilvl="3" w:tplc="145E9B42" w:tentative="1">
      <w:start w:val="1"/>
      <w:numFmt w:val="bullet"/>
      <w:lvlText w:val="•"/>
      <w:lvlJc w:val="left"/>
      <w:pPr>
        <w:tabs>
          <w:tab w:val="num" w:pos="2880"/>
        </w:tabs>
        <w:ind w:left="2880" w:hanging="360"/>
      </w:pPr>
      <w:rPr>
        <w:rFonts w:ascii="Times New Roman" w:hAnsi="Times New Roman" w:hint="default"/>
      </w:rPr>
    </w:lvl>
    <w:lvl w:ilvl="4" w:tplc="D286DCC4" w:tentative="1">
      <w:start w:val="1"/>
      <w:numFmt w:val="bullet"/>
      <w:lvlText w:val="•"/>
      <w:lvlJc w:val="left"/>
      <w:pPr>
        <w:tabs>
          <w:tab w:val="num" w:pos="3600"/>
        </w:tabs>
        <w:ind w:left="3600" w:hanging="360"/>
      </w:pPr>
      <w:rPr>
        <w:rFonts w:ascii="Times New Roman" w:hAnsi="Times New Roman" w:hint="default"/>
      </w:rPr>
    </w:lvl>
    <w:lvl w:ilvl="5" w:tplc="CCD8FACC" w:tentative="1">
      <w:start w:val="1"/>
      <w:numFmt w:val="bullet"/>
      <w:lvlText w:val="•"/>
      <w:lvlJc w:val="left"/>
      <w:pPr>
        <w:tabs>
          <w:tab w:val="num" w:pos="4320"/>
        </w:tabs>
        <w:ind w:left="4320" w:hanging="360"/>
      </w:pPr>
      <w:rPr>
        <w:rFonts w:ascii="Times New Roman" w:hAnsi="Times New Roman" w:hint="default"/>
      </w:rPr>
    </w:lvl>
    <w:lvl w:ilvl="6" w:tplc="23E20B36" w:tentative="1">
      <w:start w:val="1"/>
      <w:numFmt w:val="bullet"/>
      <w:lvlText w:val="•"/>
      <w:lvlJc w:val="left"/>
      <w:pPr>
        <w:tabs>
          <w:tab w:val="num" w:pos="5040"/>
        </w:tabs>
        <w:ind w:left="5040" w:hanging="360"/>
      </w:pPr>
      <w:rPr>
        <w:rFonts w:ascii="Times New Roman" w:hAnsi="Times New Roman" w:hint="default"/>
      </w:rPr>
    </w:lvl>
    <w:lvl w:ilvl="7" w:tplc="646E2C68" w:tentative="1">
      <w:start w:val="1"/>
      <w:numFmt w:val="bullet"/>
      <w:lvlText w:val="•"/>
      <w:lvlJc w:val="left"/>
      <w:pPr>
        <w:tabs>
          <w:tab w:val="num" w:pos="5760"/>
        </w:tabs>
        <w:ind w:left="5760" w:hanging="360"/>
      </w:pPr>
      <w:rPr>
        <w:rFonts w:ascii="Times New Roman" w:hAnsi="Times New Roman" w:hint="default"/>
      </w:rPr>
    </w:lvl>
    <w:lvl w:ilvl="8" w:tplc="ECA8AD1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4A36C8F"/>
    <w:multiLevelType w:val="hybridMultilevel"/>
    <w:tmpl w:val="F4B8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7E169F"/>
    <w:multiLevelType w:val="hybridMultilevel"/>
    <w:tmpl w:val="D1CAEADA"/>
    <w:lvl w:ilvl="0" w:tplc="86B2D736">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BD6DF0"/>
    <w:multiLevelType w:val="hybridMultilevel"/>
    <w:tmpl w:val="DD52512C"/>
    <w:lvl w:ilvl="0" w:tplc="5756EB36">
      <w:start w:val="1"/>
      <w:numFmt w:val="bullet"/>
      <w:lvlText w:val="•"/>
      <w:lvlJc w:val="left"/>
      <w:pPr>
        <w:tabs>
          <w:tab w:val="num" w:pos="720"/>
        </w:tabs>
        <w:ind w:left="720" w:hanging="360"/>
      </w:pPr>
      <w:rPr>
        <w:rFonts w:ascii="Arial" w:hAnsi="Arial" w:hint="default"/>
      </w:rPr>
    </w:lvl>
    <w:lvl w:ilvl="1" w:tplc="2D8E30CA" w:tentative="1">
      <w:start w:val="1"/>
      <w:numFmt w:val="bullet"/>
      <w:lvlText w:val="•"/>
      <w:lvlJc w:val="left"/>
      <w:pPr>
        <w:tabs>
          <w:tab w:val="num" w:pos="1440"/>
        </w:tabs>
        <w:ind w:left="1440" w:hanging="360"/>
      </w:pPr>
      <w:rPr>
        <w:rFonts w:ascii="Arial" w:hAnsi="Arial" w:hint="default"/>
      </w:rPr>
    </w:lvl>
    <w:lvl w:ilvl="2" w:tplc="0DD04F56" w:tentative="1">
      <w:start w:val="1"/>
      <w:numFmt w:val="bullet"/>
      <w:lvlText w:val="•"/>
      <w:lvlJc w:val="left"/>
      <w:pPr>
        <w:tabs>
          <w:tab w:val="num" w:pos="2160"/>
        </w:tabs>
        <w:ind w:left="2160" w:hanging="360"/>
      </w:pPr>
      <w:rPr>
        <w:rFonts w:ascii="Arial" w:hAnsi="Arial" w:hint="default"/>
      </w:rPr>
    </w:lvl>
    <w:lvl w:ilvl="3" w:tplc="0826D81E" w:tentative="1">
      <w:start w:val="1"/>
      <w:numFmt w:val="bullet"/>
      <w:lvlText w:val="•"/>
      <w:lvlJc w:val="left"/>
      <w:pPr>
        <w:tabs>
          <w:tab w:val="num" w:pos="2880"/>
        </w:tabs>
        <w:ind w:left="2880" w:hanging="360"/>
      </w:pPr>
      <w:rPr>
        <w:rFonts w:ascii="Arial" w:hAnsi="Arial" w:hint="default"/>
      </w:rPr>
    </w:lvl>
    <w:lvl w:ilvl="4" w:tplc="7E3C47B6" w:tentative="1">
      <w:start w:val="1"/>
      <w:numFmt w:val="bullet"/>
      <w:lvlText w:val="•"/>
      <w:lvlJc w:val="left"/>
      <w:pPr>
        <w:tabs>
          <w:tab w:val="num" w:pos="3600"/>
        </w:tabs>
        <w:ind w:left="3600" w:hanging="360"/>
      </w:pPr>
      <w:rPr>
        <w:rFonts w:ascii="Arial" w:hAnsi="Arial" w:hint="default"/>
      </w:rPr>
    </w:lvl>
    <w:lvl w:ilvl="5" w:tplc="87821C78" w:tentative="1">
      <w:start w:val="1"/>
      <w:numFmt w:val="bullet"/>
      <w:lvlText w:val="•"/>
      <w:lvlJc w:val="left"/>
      <w:pPr>
        <w:tabs>
          <w:tab w:val="num" w:pos="4320"/>
        </w:tabs>
        <w:ind w:left="4320" w:hanging="360"/>
      </w:pPr>
      <w:rPr>
        <w:rFonts w:ascii="Arial" w:hAnsi="Arial" w:hint="default"/>
      </w:rPr>
    </w:lvl>
    <w:lvl w:ilvl="6" w:tplc="9FA4C896" w:tentative="1">
      <w:start w:val="1"/>
      <w:numFmt w:val="bullet"/>
      <w:lvlText w:val="•"/>
      <w:lvlJc w:val="left"/>
      <w:pPr>
        <w:tabs>
          <w:tab w:val="num" w:pos="5040"/>
        </w:tabs>
        <w:ind w:left="5040" w:hanging="360"/>
      </w:pPr>
      <w:rPr>
        <w:rFonts w:ascii="Arial" w:hAnsi="Arial" w:hint="default"/>
      </w:rPr>
    </w:lvl>
    <w:lvl w:ilvl="7" w:tplc="CCB6108E" w:tentative="1">
      <w:start w:val="1"/>
      <w:numFmt w:val="bullet"/>
      <w:lvlText w:val="•"/>
      <w:lvlJc w:val="left"/>
      <w:pPr>
        <w:tabs>
          <w:tab w:val="num" w:pos="5760"/>
        </w:tabs>
        <w:ind w:left="5760" w:hanging="360"/>
      </w:pPr>
      <w:rPr>
        <w:rFonts w:ascii="Arial" w:hAnsi="Arial" w:hint="default"/>
      </w:rPr>
    </w:lvl>
    <w:lvl w:ilvl="8" w:tplc="78D4FD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C220AEB"/>
    <w:multiLevelType w:val="hybridMultilevel"/>
    <w:tmpl w:val="02E204C4"/>
    <w:lvl w:ilvl="0" w:tplc="14484EF8">
      <w:start w:val="1"/>
      <w:numFmt w:val="bullet"/>
      <w:lvlText w:val="•"/>
      <w:lvlJc w:val="left"/>
      <w:pPr>
        <w:tabs>
          <w:tab w:val="num" w:pos="720"/>
        </w:tabs>
        <w:ind w:left="720" w:hanging="360"/>
      </w:pPr>
      <w:rPr>
        <w:rFonts w:ascii="Arial" w:hAnsi="Arial" w:hint="default"/>
      </w:rPr>
    </w:lvl>
    <w:lvl w:ilvl="1" w:tplc="E78C7CAC" w:tentative="1">
      <w:start w:val="1"/>
      <w:numFmt w:val="bullet"/>
      <w:lvlText w:val="•"/>
      <w:lvlJc w:val="left"/>
      <w:pPr>
        <w:tabs>
          <w:tab w:val="num" w:pos="1440"/>
        </w:tabs>
        <w:ind w:left="1440" w:hanging="360"/>
      </w:pPr>
      <w:rPr>
        <w:rFonts w:ascii="Arial" w:hAnsi="Arial" w:hint="default"/>
      </w:rPr>
    </w:lvl>
    <w:lvl w:ilvl="2" w:tplc="5EA2EC4C" w:tentative="1">
      <w:start w:val="1"/>
      <w:numFmt w:val="bullet"/>
      <w:lvlText w:val="•"/>
      <w:lvlJc w:val="left"/>
      <w:pPr>
        <w:tabs>
          <w:tab w:val="num" w:pos="2160"/>
        </w:tabs>
        <w:ind w:left="2160" w:hanging="360"/>
      </w:pPr>
      <w:rPr>
        <w:rFonts w:ascii="Arial" w:hAnsi="Arial" w:hint="default"/>
      </w:rPr>
    </w:lvl>
    <w:lvl w:ilvl="3" w:tplc="BD5016B8" w:tentative="1">
      <w:start w:val="1"/>
      <w:numFmt w:val="bullet"/>
      <w:lvlText w:val="•"/>
      <w:lvlJc w:val="left"/>
      <w:pPr>
        <w:tabs>
          <w:tab w:val="num" w:pos="2880"/>
        </w:tabs>
        <w:ind w:left="2880" w:hanging="360"/>
      </w:pPr>
      <w:rPr>
        <w:rFonts w:ascii="Arial" w:hAnsi="Arial" w:hint="default"/>
      </w:rPr>
    </w:lvl>
    <w:lvl w:ilvl="4" w:tplc="D04EB524" w:tentative="1">
      <w:start w:val="1"/>
      <w:numFmt w:val="bullet"/>
      <w:lvlText w:val="•"/>
      <w:lvlJc w:val="left"/>
      <w:pPr>
        <w:tabs>
          <w:tab w:val="num" w:pos="3600"/>
        </w:tabs>
        <w:ind w:left="3600" w:hanging="360"/>
      </w:pPr>
      <w:rPr>
        <w:rFonts w:ascii="Arial" w:hAnsi="Arial" w:hint="default"/>
      </w:rPr>
    </w:lvl>
    <w:lvl w:ilvl="5" w:tplc="9C3AD31E" w:tentative="1">
      <w:start w:val="1"/>
      <w:numFmt w:val="bullet"/>
      <w:lvlText w:val="•"/>
      <w:lvlJc w:val="left"/>
      <w:pPr>
        <w:tabs>
          <w:tab w:val="num" w:pos="4320"/>
        </w:tabs>
        <w:ind w:left="4320" w:hanging="360"/>
      </w:pPr>
      <w:rPr>
        <w:rFonts w:ascii="Arial" w:hAnsi="Arial" w:hint="default"/>
      </w:rPr>
    </w:lvl>
    <w:lvl w:ilvl="6" w:tplc="D5F468C6" w:tentative="1">
      <w:start w:val="1"/>
      <w:numFmt w:val="bullet"/>
      <w:lvlText w:val="•"/>
      <w:lvlJc w:val="left"/>
      <w:pPr>
        <w:tabs>
          <w:tab w:val="num" w:pos="5040"/>
        </w:tabs>
        <w:ind w:left="5040" w:hanging="360"/>
      </w:pPr>
      <w:rPr>
        <w:rFonts w:ascii="Arial" w:hAnsi="Arial" w:hint="default"/>
      </w:rPr>
    </w:lvl>
    <w:lvl w:ilvl="7" w:tplc="0902DE30" w:tentative="1">
      <w:start w:val="1"/>
      <w:numFmt w:val="bullet"/>
      <w:lvlText w:val="•"/>
      <w:lvlJc w:val="left"/>
      <w:pPr>
        <w:tabs>
          <w:tab w:val="num" w:pos="5760"/>
        </w:tabs>
        <w:ind w:left="5760" w:hanging="360"/>
      </w:pPr>
      <w:rPr>
        <w:rFonts w:ascii="Arial" w:hAnsi="Arial" w:hint="default"/>
      </w:rPr>
    </w:lvl>
    <w:lvl w:ilvl="8" w:tplc="8EC813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D9B73D0"/>
    <w:multiLevelType w:val="hybridMultilevel"/>
    <w:tmpl w:val="783AB8CA"/>
    <w:lvl w:ilvl="0" w:tplc="B8A63146">
      <w:start w:val="1"/>
      <w:numFmt w:val="bullet"/>
      <w:lvlText w:val="•"/>
      <w:lvlJc w:val="left"/>
      <w:pPr>
        <w:tabs>
          <w:tab w:val="num" w:pos="720"/>
        </w:tabs>
        <w:ind w:left="720" w:hanging="360"/>
      </w:pPr>
      <w:rPr>
        <w:rFonts w:ascii="Arial" w:hAnsi="Arial" w:hint="default"/>
      </w:rPr>
    </w:lvl>
    <w:lvl w:ilvl="1" w:tplc="AC4695F0" w:tentative="1">
      <w:start w:val="1"/>
      <w:numFmt w:val="bullet"/>
      <w:lvlText w:val="•"/>
      <w:lvlJc w:val="left"/>
      <w:pPr>
        <w:tabs>
          <w:tab w:val="num" w:pos="1440"/>
        </w:tabs>
        <w:ind w:left="1440" w:hanging="360"/>
      </w:pPr>
      <w:rPr>
        <w:rFonts w:ascii="Arial" w:hAnsi="Arial" w:hint="default"/>
      </w:rPr>
    </w:lvl>
    <w:lvl w:ilvl="2" w:tplc="7B468936" w:tentative="1">
      <w:start w:val="1"/>
      <w:numFmt w:val="bullet"/>
      <w:lvlText w:val="•"/>
      <w:lvlJc w:val="left"/>
      <w:pPr>
        <w:tabs>
          <w:tab w:val="num" w:pos="2160"/>
        </w:tabs>
        <w:ind w:left="2160" w:hanging="360"/>
      </w:pPr>
      <w:rPr>
        <w:rFonts w:ascii="Arial" w:hAnsi="Arial" w:hint="default"/>
      </w:rPr>
    </w:lvl>
    <w:lvl w:ilvl="3" w:tplc="79425460" w:tentative="1">
      <w:start w:val="1"/>
      <w:numFmt w:val="bullet"/>
      <w:lvlText w:val="•"/>
      <w:lvlJc w:val="left"/>
      <w:pPr>
        <w:tabs>
          <w:tab w:val="num" w:pos="2880"/>
        </w:tabs>
        <w:ind w:left="2880" w:hanging="360"/>
      </w:pPr>
      <w:rPr>
        <w:rFonts w:ascii="Arial" w:hAnsi="Arial" w:hint="default"/>
      </w:rPr>
    </w:lvl>
    <w:lvl w:ilvl="4" w:tplc="68F4E138" w:tentative="1">
      <w:start w:val="1"/>
      <w:numFmt w:val="bullet"/>
      <w:lvlText w:val="•"/>
      <w:lvlJc w:val="left"/>
      <w:pPr>
        <w:tabs>
          <w:tab w:val="num" w:pos="3600"/>
        </w:tabs>
        <w:ind w:left="3600" w:hanging="360"/>
      </w:pPr>
      <w:rPr>
        <w:rFonts w:ascii="Arial" w:hAnsi="Arial" w:hint="default"/>
      </w:rPr>
    </w:lvl>
    <w:lvl w:ilvl="5" w:tplc="E3ACF04E" w:tentative="1">
      <w:start w:val="1"/>
      <w:numFmt w:val="bullet"/>
      <w:lvlText w:val="•"/>
      <w:lvlJc w:val="left"/>
      <w:pPr>
        <w:tabs>
          <w:tab w:val="num" w:pos="4320"/>
        </w:tabs>
        <w:ind w:left="4320" w:hanging="360"/>
      </w:pPr>
      <w:rPr>
        <w:rFonts w:ascii="Arial" w:hAnsi="Arial" w:hint="default"/>
      </w:rPr>
    </w:lvl>
    <w:lvl w:ilvl="6" w:tplc="66705B5C" w:tentative="1">
      <w:start w:val="1"/>
      <w:numFmt w:val="bullet"/>
      <w:lvlText w:val="•"/>
      <w:lvlJc w:val="left"/>
      <w:pPr>
        <w:tabs>
          <w:tab w:val="num" w:pos="5040"/>
        </w:tabs>
        <w:ind w:left="5040" w:hanging="360"/>
      </w:pPr>
      <w:rPr>
        <w:rFonts w:ascii="Arial" w:hAnsi="Arial" w:hint="default"/>
      </w:rPr>
    </w:lvl>
    <w:lvl w:ilvl="7" w:tplc="67049D4E" w:tentative="1">
      <w:start w:val="1"/>
      <w:numFmt w:val="bullet"/>
      <w:lvlText w:val="•"/>
      <w:lvlJc w:val="left"/>
      <w:pPr>
        <w:tabs>
          <w:tab w:val="num" w:pos="5760"/>
        </w:tabs>
        <w:ind w:left="5760" w:hanging="360"/>
      </w:pPr>
      <w:rPr>
        <w:rFonts w:ascii="Arial" w:hAnsi="Arial" w:hint="default"/>
      </w:rPr>
    </w:lvl>
    <w:lvl w:ilvl="8" w:tplc="22A45406" w:tentative="1">
      <w:start w:val="1"/>
      <w:numFmt w:val="bullet"/>
      <w:lvlText w:val="•"/>
      <w:lvlJc w:val="left"/>
      <w:pPr>
        <w:tabs>
          <w:tab w:val="num" w:pos="6480"/>
        </w:tabs>
        <w:ind w:left="6480" w:hanging="360"/>
      </w:pPr>
      <w:rPr>
        <w:rFonts w:ascii="Arial" w:hAnsi="Arial" w:hint="default"/>
      </w:rPr>
    </w:lvl>
  </w:abstractNum>
  <w:num w:numId="1" w16cid:durableId="1475180326">
    <w:abstractNumId w:val="7"/>
  </w:num>
  <w:num w:numId="2" w16cid:durableId="280770360">
    <w:abstractNumId w:val="1"/>
  </w:num>
  <w:num w:numId="3" w16cid:durableId="461845848">
    <w:abstractNumId w:val="2"/>
  </w:num>
  <w:num w:numId="4" w16cid:durableId="856696797">
    <w:abstractNumId w:val="8"/>
  </w:num>
  <w:num w:numId="5" w16cid:durableId="1530801135">
    <w:abstractNumId w:val="3"/>
  </w:num>
  <w:num w:numId="6" w16cid:durableId="1092507190">
    <w:abstractNumId w:val="5"/>
  </w:num>
  <w:num w:numId="7" w16cid:durableId="505440503">
    <w:abstractNumId w:val="0"/>
  </w:num>
  <w:num w:numId="8" w16cid:durableId="1120107867">
    <w:abstractNumId w:val="4"/>
  </w:num>
  <w:num w:numId="9" w16cid:durableId="869800363">
    <w:abstractNumId w:val="10"/>
  </w:num>
  <w:num w:numId="10" w16cid:durableId="255671575">
    <w:abstractNumId w:val="9"/>
  </w:num>
  <w:num w:numId="11" w16cid:durableId="18867964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ar29sre9ve0woevt0ix2wv1pvasrzaedp5f&quot;&gt;Schmidt 190710&lt;record-ids&gt;&lt;item&gt;874&lt;/item&gt;&lt;item&gt;917&lt;/item&gt;&lt;item&gt;1064&lt;/item&gt;&lt;item&gt;1070&lt;/item&gt;&lt;item&gt;1080&lt;/item&gt;&lt;item&gt;1226&lt;/item&gt;&lt;item&gt;1227&lt;/item&gt;&lt;item&gt;1228&lt;/item&gt;&lt;item&gt;1229&lt;/item&gt;&lt;item&gt;1231&lt;/item&gt;&lt;item&gt;1232&lt;/item&gt;&lt;item&gt;1233&lt;/item&gt;&lt;item&gt;1234&lt;/item&gt;&lt;item&gt;1235&lt;/item&gt;&lt;item&gt;1236&lt;/item&gt;&lt;item&gt;1237&lt;/item&gt;&lt;item&gt;1238&lt;/item&gt;&lt;item&gt;1239&lt;/item&gt;&lt;item&gt;1240&lt;/item&gt;&lt;item&gt;1241&lt;/item&gt;&lt;item&gt;1242&lt;/item&gt;&lt;item&gt;1243&lt;/item&gt;&lt;item&gt;1244&lt;/item&gt;&lt;item&gt;1245&lt;/item&gt;&lt;item&gt;1246&lt;/item&gt;&lt;item&gt;1247&lt;/item&gt;&lt;item&gt;1248&lt;/item&gt;&lt;/record-ids&gt;&lt;/item&gt;&lt;/Libraries&gt;"/>
  </w:docVars>
  <w:rsids>
    <w:rsidRoot w:val="161F2350"/>
    <w:rsid w:val="00002B23"/>
    <w:rsid w:val="00025D1F"/>
    <w:rsid w:val="000325CC"/>
    <w:rsid w:val="00035F44"/>
    <w:rsid w:val="00047FC6"/>
    <w:rsid w:val="00050C90"/>
    <w:rsid w:val="00055F33"/>
    <w:rsid w:val="00061742"/>
    <w:rsid w:val="000655D2"/>
    <w:rsid w:val="00087934"/>
    <w:rsid w:val="000A751F"/>
    <w:rsid w:val="000B4312"/>
    <w:rsid w:val="000B598B"/>
    <w:rsid w:val="000C0AB1"/>
    <w:rsid w:val="000C172D"/>
    <w:rsid w:val="000C57FE"/>
    <w:rsid w:val="000E419B"/>
    <w:rsid w:val="000F03B9"/>
    <w:rsid w:val="000F3256"/>
    <w:rsid w:val="000F411F"/>
    <w:rsid w:val="000F4491"/>
    <w:rsid w:val="000F4E1A"/>
    <w:rsid w:val="0010148F"/>
    <w:rsid w:val="00111435"/>
    <w:rsid w:val="0013509C"/>
    <w:rsid w:val="00136B72"/>
    <w:rsid w:val="00143F75"/>
    <w:rsid w:val="00144614"/>
    <w:rsid w:val="00144917"/>
    <w:rsid w:val="001514C5"/>
    <w:rsid w:val="0017466F"/>
    <w:rsid w:val="00196EF3"/>
    <w:rsid w:val="001974CB"/>
    <w:rsid w:val="001A0EE3"/>
    <w:rsid w:val="001A4319"/>
    <w:rsid w:val="001B524B"/>
    <w:rsid w:val="001E5808"/>
    <w:rsid w:val="001F27A5"/>
    <w:rsid w:val="001F3153"/>
    <w:rsid w:val="001F7281"/>
    <w:rsid w:val="00202BFA"/>
    <w:rsid w:val="00220DB2"/>
    <w:rsid w:val="00223EFC"/>
    <w:rsid w:val="002243F9"/>
    <w:rsid w:val="002260B9"/>
    <w:rsid w:val="00233245"/>
    <w:rsid w:val="00235BA4"/>
    <w:rsid w:val="00236982"/>
    <w:rsid w:val="0024330A"/>
    <w:rsid w:val="0024788C"/>
    <w:rsid w:val="00255940"/>
    <w:rsid w:val="00262D8D"/>
    <w:rsid w:val="0028335F"/>
    <w:rsid w:val="00292AD3"/>
    <w:rsid w:val="002B309A"/>
    <w:rsid w:val="002D3AA1"/>
    <w:rsid w:val="002D4F12"/>
    <w:rsid w:val="002E71D8"/>
    <w:rsid w:val="002F42CD"/>
    <w:rsid w:val="003035ED"/>
    <w:rsid w:val="00314F4C"/>
    <w:rsid w:val="00316AA9"/>
    <w:rsid w:val="00334F31"/>
    <w:rsid w:val="003375B2"/>
    <w:rsid w:val="00342FCF"/>
    <w:rsid w:val="0034700D"/>
    <w:rsid w:val="00347977"/>
    <w:rsid w:val="00347C30"/>
    <w:rsid w:val="00351ACD"/>
    <w:rsid w:val="00353082"/>
    <w:rsid w:val="00354326"/>
    <w:rsid w:val="00362E18"/>
    <w:rsid w:val="00365ACF"/>
    <w:rsid w:val="003814E3"/>
    <w:rsid w:val="003868DC"/>
    <w:rsid w:val="00393B0C"/>
    <w:rsid w:val="003B02F4"/>
    <w:rsid w:val="003C6B9F"/>
    <w:rsid w:val="003C7F55"/>
    <w:rsid w:val="003D59BA"/>
    <w:rsid w:val="003E1D06"/>
    <w:rsid w:val="003F4287"/>
    <w:rsid w:val="003F4A0C"/>
    <w:rsid w:val="003F78AC"/>
    <w:rsid w:val="0040425E"/>
    <w:rsid w:val="004132FB"/>
    <w:rsid w:val="00423460"/>
    <w:rsid w:val="00437534"/>
    <w:rsid w:val="00441557"/>
    <w:rsid w:val="00443E99"/>
    <w:rsid w:val="0045267C"/>
    <w:rsid w:val="00452773"/>
    <w:rsid w:val="00454A3E"/>
    <w:rsid w:val="0046614F"/>
    <w:rsid w:val="004A451D"/>
    <w:rsid w:val="004B485D"/>
    <w:rsid w:val="004C4B48"/>
    <w:rsid w:val="004D37D2"/>
    <w:rsid w:val="004D41E0"/>
    <w:rsid w:val="004F7C53"/>
    <w:rsid w:val="0051212F"/>
    <w:rsid w:val="00534D8E"/>
    <w:rsid w:val="005513EA"/>
    <w:rsid w:val="00552773"/>
    <w:rsid w:val="00557743"/>
    <w:rsid w:val="00577988"/>
    <w:rsid w:val="00593E3A"/>
    <w:rsid w:val="00596441"/>
    <w:rsid w:val="005A0FDF"/>
    <w:rsid w:val="005B783D"/>
    <w:rsid w:val="005C318C"/>
    <w:rsid w:val="005D78A9"/>
    <w:rsid w:val="00610CB5"/>
    <w:rsid w:val="0061116A"/>
    <w:rsid w:val="00622A49"/>
    <w:rsid w:val="00636DFD"/>
    <w:rsid w:val="006453C5"/>
    <w:rsid w:val="006664C7"/>
    <w:rsid w:val="00667A6E"/>
    <w:rsid w:val="00676C11"/>
    <w:rsid w:val="0068042F"/>
    <w:rsid w:val="006B2CCF"/>
    <w:rsid w:val="006C0F58"/>
    <w:rsid w:val="006C30C0"/>
    <w:rsid w:val="006D1A52"/>
    <w:rsid w:val="006D6913"/>
    <w:rsid w:val="007043C9"/>
    <w:rsid w:val="007121C0"/>
    <w:rsid w:val="00712E2F"/>
    <w:rsid w:val="00723B2E"/>
    <w:rsid w:val="0074767B"/>
    <w:rsid w:val="00764923"/>
    <w:rsid w:val="00785D51"/>
    <w:rsid w:val="00787197"/>
    <w:rsid w:val="00792A52"/>
    <w:rsid w:val="007A3FFC"/>
    <w:rsid w:val="007A420B"/>
    <w:rsid w:val="007A6D0A"/>
    <w:rsid w:val="007B2598"/>
    <w:rsid w:val="007B7922"/>
    <w:rsid w:val="007C72A0"/>
    <w:rsid w:val="007D5563"/>
    <w:rsid w:val="007E6296"/>
    <w:rsid w:val="00836918"/>
    <w:rsid w:val="008439E4"/>
    <w:rsid w:val="008540F6"/>
    <w:rsid w:val="00857445"/>
    <w:rsid w:val="00883E08"/>
    <w:rsid w:val="008901F3"/>
    <w:rsid w:val="00893241"/>
    <w:rsid w:val="008A1B8C"/>
    <w:rsid w:val="008B2140"/>
    <w:rsid w:val="008B79C4"/>
    <w:rsid w:val="008C222D"/>
    <w:rsid w:val="008C2EE4"/>
    <w:rsid w:val="008C48BD"/>
    <w:rsid w:val="008E39D5"/>
    <w:rsid w:val="00902ED0"/>
    <w:rsid w:val="00914510"/>
    <w:rsid w:val="00922402"/>
    <w:rsid w:val="0093494F"/>
    <w:rsid w:val="00945A2D"/>
    <w:rsid w:val="00951B19"/>
    <w:rsid w:val="00953834"/>
    <w:rsid w:val="00960DCE"/>
    <w:rsid w:val="00962725"/>
    <w:rsid w:val="00994EA4"/>
    <w:rsid w:val="009A4B6E"/>
    <w:rsid w:val="009A7496"/>
    <w:rsid w:val="009C5FC7"/>
    <w:rsid w:val="009D27D8"/>
    <w:rsid w:val="009F00C2"/>
    <w:rsid w:val="009F2298"/>
    <w:rsid w:val="009F2DF5"/>
    <w:rsid w:val="00A15AE3"/>
    <w:rsid w:val="00A21E68"/>
    <w:rsid w:val="00A24876"/>
    <w:rsid w:val="00A362C3"/>
    <w:rsid w:val="00A376E7"/>
    <w:rsid w:val="00A402A8"/>
    <w:rsid w:val="00A4071E"/>
    <w:rsid w:val="00A60E97"/>
    <w:rsid w:val="00A6121F"/>
    <w:rsid w:val="00A82C93"/>
    <w:rsid w:val="00A839FF"/>
    <w:rsid w:val="00A8799A"/>
    <w:rsid w:val="00A91979"/>
    <w:rsid w:val="00A95C9E"/>
    <w:rsid w:val="00AB1654"/>
    <w:rsid w:val="00AC6222"/>
    <w:rsid w:val="00AD5DC5"/>
    <w:rsid w:val="00B10F6E"/>
    <w:rsid w:val="00B156C6"/>
    <w:rsid w:val="00B23CC1"/>
    <w:rsid w:val="00B33F81"/>
    <w:rsid w:val="00B4689C"/>
    <w:rsid w:val="00B54612"/>
    <w:rsid w:val="00B621B2"/>
    <w:rsid w:val="00B64027"/>
    <w:rsid w:val="00B72A95"/>
    <w:rsid w:val="00BA2888"/>
    <w:rsid w:val="00BA2E86"/>
    <w:rsid w:val="00BC172B"/>
    <w:rsid w:val="00BD4659"/>
    <w:rsid w:val="00BE40D6"/>
    <w:rsid w:val="00BE6D46"/>
    <w:rsid w:val="00BF3F7A"/>
    <w:rsid w:val="00C02BC6"/>
    <w:rsid w:val="00C04FAA"/>
    <w:rsid w:val="00C1681C"/>
    <w:rsid w:val="00C1724C"/>
    <w:rsid w:val="00C310C5"/>
    <w:rsid w:val="00C355AF"/>
    <w:rsid w:val="00C35B30"/>
    <w:rsid w:val="00C36D5A"/>
    <w:rsid w:val="00C40EB5"/>
    <w:rsid w:val="00C47D50"/>
    <w:rsid w:val="00C608C2"/>
    <w:rsid w:val="00C71CA6"/>
    <w:rsid w:val="00C77473"/>
    <w:rsid w:val="00C83A7A"/>
    <w:rsid w:val="00C86259"/>
    <w:rsid w:val="00CB0F57"/>
    <w:rsid w:val="00CB2BCC"/>
    <w:rsid w:val="00CB7D05"/>
    <w:rsid w:val="00CB7EC2"/>
    <w:rsid w:val="00CE2C56"/>
    <w:rsid w:val="00D07A4B"/>
    <w:rsid w:val="00D4112C"/>
    <w:rsid w:val="00D45EAB"/>
    <w:rsid w:val="00D473CF"/>
    <w:rsid w:val="00D506DF"/>
    <w:rsid w:val="00D5115B"/>
    <w:rsid w:val="00D57F57"/>
    <w:rsid w:val="00D933D7"/>
    <w:rsid w:val="00D97652"/>
    <w:rsid w:val="00DA4FFD"/>
    <w:rsid w:val="00DD2DB7"/>
    <w:rsid w:val="00DF66E3"/>
    <w:rsid w:val="00E01E57"/>
    <w:rsid w:val="00E1438A"/>
    <w:rsid w:val="00E40982"/>
    <w:rsid w:val="00E46457"/>
    <w:rsid w:val="00E47484"/>
    <w:rsid w:val="00E77FD6"/>
    <w:rsid w:val="00EA5F3B"/>
    <w:rsid w:val="00EB7862"/>
    <w:rsid w:val="00EC704C"/>
    <w:rsid w:val="00EE4610"/>
    <w:rsid w:val="00EE6D36"/>
    <w:rsid w:val="00F011BE"/>
    <w:rsid w:val="00F07D8B"/>
    <w:rsid w:val="00F12254"/>
    <w:rsid w:val="00F32628"/>
    <w:rsid w:val="00F35F37"/>
    <w:rsid w:val="00F63BE3"/>
    <w:rsid w:val="00F700AE"/>
    <w:rsid w:val="00F74BCA"/>
    <w:rsid w:val="00F77EE9"/>
    <w:rsid w:val="00FC063D"/>
    <w:rsid w:val="00FD3C9B"/>
    <w:rsid w:val="00FD4F1A"/>
    <w:rsid w:val="08BDF7EE"/>
    <w:rsid w:val="161F2350"/>
    <w:rsid w:val="17BD2831"/>
    <w:rsid w:val="18B7535B"/>
    <w:rsid w:val="1D27EC0E"/>
    <w:rsid w:val="2678A268"/>
    <w:rsid w:val="26B54FB8"/>
    <w:rsid w:val="296B8555"/>
    <w:rsid w:val="29C72F73"/>
    <w:rsid w:val="2A7A1360"/>
    <w:rsid w:val="2B4E2CF3"/>
    <w:rsid w:val="2C0FD90A"/>
    <w:rsid w:val="3A8F1E36"/>
    <w:rsid w:val="3C3DB840"/>
    <w:rsid w:val="3D6ECB21"/>
    <w:rsid w:val="45ADDB68"/>
    <w:rsid w:val="492299FC"/>
    <w:rsid w:val="4AA99DA3"/>
    <w:rsid w:val="4C5A3ABE"/>
    <w:rsid w:val="4D34D554"/>
    <w:rsid w:val="50702E67"/>
    <w:rsid w:val="575C388C"/>
    <w:rsid w:val="59272E62"/>
    <w:rsid w:val="5D4AF91E"/>
    <w:rsid w:val="5EE6C97F"/>
    <w:rsid w:val="5EEEB705"/>
    <w:rsid w:val="5F7ED963"/>
    <w:rsid w:val="608299E0"/>
    <w:rsid w:val="6085C531"/>
    <w:rsid w:val="608A8766"/>
    <w:rsid w:val="63BA3AA2"/>
    <w:rsid w:val="66E0A08D"/>
    <w:rsid w:val="68106A86"/>
    <w:rsid w:val="6895994B"/>
    <w:rsid w:val="690A95B0"/>
    <w:rsid w:val="6A3169AC"/>
    <w:rsid w:val="6B0416BC"/>
    <w:rsid w:val="6BCD3A0D"/>
    <w:rsid w:val="6D690A6E"/>
    <w:rsid w:val="6E92BA01"/>
    <w:rsid w:val="6F04DACF"/>
    <w:rsid w:val="70B73D7F"/>
    <w:rsid w:val="71431DB8"/>
    <w:rsid w:val="74AAF902"/>
    <w:rsid w:val="7809C5F3"/>
    <w:rsid w:val="7CBDF86D"/>
    <w:rsid w:val="7E59C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F2350"/>
  <w15:chartTrackingRefBased/>
  <w15:docId w15:val="{CA334F12-D758-42BA-A189-CF01C01F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B0C"/>
    <w:rPr>
      <w:rFonts w:ascii="Times New Roman" w:hAnsi="Times New Roman"/>
    </w:rPr>
  </w:style>
  <w:style w:type="paragraph" w:styleId="Heading1">
    <w:name w:val="heading 1"/>
    <w:basedOn w:val="Normal"/>
    <w:next w:val="Normal"/>
    <w:link w:val="Heading1Char"/>
    <w:uiPriority w:val="9"/>
    <w:qFormat/>
    <w:rsid w:val="008901F3"/>
    <w:pPr>
      <w:keepNext/>
      <w:keepLines/>
      <w:spacing w:before="240" w:after="120"/>
      <w:outlineLvl w:val="0"/>
    </w:pPr>
    <w:rPr>
      <w:rFonts w:eastAsiaTheme="majorEastAsia" w:cstheme="minorHAnsi"/>
      <w:b/>
      <w:bCs/>
      <w:caps/>
      <w:sz w:val="24"/>
      <w:szCs w:val="32"/>
    </w:rPr>
  </w:style>
  <w:style w:type="paragraph" w:styleId="Heading2">
    <w:name w:val="heading 2"/>
    <w:basedOn w:val="Normal"/>
    <w:next w:val="Normal"/>
    <w:link w:val="Heading2Char"/>
    <w:uiPriority w:val="9"/>
    <w:unhideWhenUsed/>
    <w:qFormat/>
    <w:rsid w:val="00351ACD"/>
    <w:pPr>
      <w:keepNext/>
      <w:keepLines/>
      <w:spacing w:before="40" w:after="120"/>
      <w:outlineLvl w:val="1"/>
    </w:pPr>
    <w:rPr>
      <w:rFonts w:eastAsiaTheme="majorEastAsia" w:cstheme="minorHAnsi"/>
      <w:b/>
      <w:bCs/>
      <w:sz w:val="24"/>
      <w:szCs w:val="26"/>
    </w:rPr>
  </w:style>
  <w:style w:type="paragraph" w:styleId="Heading3">
    <w:name w:val="heading 3"/>
    <w:basedOn w:val="Normal"/>
    <w:next w:val="Normal"/>
    <w:link w:val="Heading3Char"/>
    <w:uiPriority w:val="9"/>
    <w:unhideWhenUsed/>
    <w:qFormat/>
    <w:rsid w:val="00393B0C"/>
    <w:pPr>
      <w:keepNext/>
      <w:keepLines/>
      <w:spacing w:before="40" w:after="120"/>
      <w:ind w:left="288"/>
      <w:outlineLvl w:val="2"/>
    </w:pPr>
    <w:rPr>
      <w:rFonts w:eastAsiaTheme="majorEastAsia" w:cstheme="majorBidi"/>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466F"/>
    <w:rPr>
      <w:sz w:val="16"/>
      <w:szCs w:val="16"/>
    </w:rPr>
  </w:style>
  <w:style w:type="paragraph" w:styleId="CommentText">
    <w:name w:val="annotation text"/>
    <w:basedOn w:val="Normal"/>
    <w:link w:val="CommentTextChar"/>
    <w:uiPriority w:val="99"/>
    <w:unhideWhenUsed/>
    <w:rsid w:val="0017466F"/>
    <w:pPr>
      <w:spacing w:line="240" w:lineRule="auto"/>
    </w:pPr>
    <w:rPr>
      <w:sz w:val="20"/>
      <w:szCs w:val="20"/>
    </w:rPr>
  </w:style>
  <w:style w:type="character" w:customStyle="1" w:styleId="CommentTextChar">
    <w:name w:val="Comment Text Char"/>
    <w:basedOn w:val="DefaultParagraphFont"/>
    <w:link w:val="CommentText"/>
    <w:uiPriority w:val="99"/>
    <w:rsid w:val="0017466F"/>
    <w:rPr>
      <w:sz w:val="20"/>
      <w:szCs w:val="20"/>
    </w:rPr>
  </w:style>
  <w:style w:type="paragraph" w:styleId="CommentSubject">
    <w:name w:val="annotation subject"/>
    <w:basedOn w:val="CommentText"/>
    <w:next w:val="CommentText"/>
    <w:link w:val="CommentSubjectChar"/>
    <w:uiPriority w:val="99"/>
    <w:semiHidden/>
    <w:unhideWhenUsed/>
    <w:rsid w:val="0017466F"/>
    <w:rPr>
      <w:b/>
      <w:bCs/>
    </w:rPr>
  </w:style>
  <w:style w:type="character" w:customStyle="1" w:styleId="CommentSubjectChar">
    <w:name w:val="Comment Subject Char"/>
    <w:basedOn w:val="CommentTextChar"/>
    <w:link w:val="CommentSubject"/>
    <w:uiPriority w:val="99"/>
    <w:semiHidden/>
    <w:rsid w:val="0017466F"/>
    <w:rPr>
      <w:b/>
      <w:bCs/>
      <w:sz w:val="20"/>
      <w:szCs w:val="20"/>
    </w:rPr>
  </w:style>
  <w:style w:type="table" w:styleId="TableGrid">
    <w:name w:val="Table Grid"/>
    <w:basedOn w:val="TableNormal"/>
    <w:uiPriority w:val="39"/>
    <w:rsid w:val="007A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20B"/>
    <w:pPr>
      <w:ind w:left="720"/>
      <w:contextualSpacing/>
    </w:pPr>
  </w:style>
  <w:style w:type="table" w:styleId="PlainTable3">
    <w:name w:val="Plain Table 3"/>
    <w:basedOn w:val="TableNormal"/>
    <w:uiPriority w:val="43"/>
    <w:rsid w:val="00342F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42F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1F27A5"/>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1F27A5"/>
  </w:style>
  <w:style w:type="character" w:customStyle="1" w:styleId="eop">
    <w:name w:val="eop"/>
    <w:basedOn w:val="DefaultParagraphFont"/>
    <w:rsid w:val="001F27A5"/>
  </w:style>
  <w:style w:type="paragraph" w:customStyle="1" w:styleId="Abstract">
    <w:name w:val="Abstract"/>
    <w:basedOn w:val="Normal"/>
    <w:qFormat/>
    <w:rsid w:val="00E46457"/>
    <w:pPr>
      <w:spacing w:before="120" w:after="120" w:line="240" w:lineRule="auto"/>
      <w:jc w:val="both"/>
    </w:pPr>
    <w:rPr>
      <w:rFonts w:eastAsia="Times New Roman" w:cs="Times New Roman"/>
      <w:i/>
      <w:szCs w:val="24"/>
      <w:lang w:val="en-AU" w:eastAsia="en-AU"/>
    </w:rPr>
  </w:style>
  <w:style w:type="paragraph" w:styleId="Subtitle">
    <w:name w:val="Subtitle"/>
    <w:basedOn w:val="Normal"/>
    <w:next w:val="Normal"/>
    <w:link w:val="SubtitleChar"/>
    <w:uiPriority w:val="11"/>
    <w:qFormat/>
    <w:rsid w:val="00E4645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4645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901F3"/>
    <w:rPr>
      <w:rFonts w:eastAsiaTheme="majorEastAsia" w:cstheme="minorHAnsi"/>
      <w:b/>
      <w:bCs/>
      <w:caps/>
      <w:sz w:val="24"/>
      <w:szCs w:val="32"/>
    </w:rPr>
  </w:style>
  <w:style w:type="paragraph" w:customStyle="1" w:styleId="EndNoteBibliographyTitle">
    <w:name w:val="EndNote Bibliography Title"/>
    <w:basedOn w:val="Normal"/>
    <w:link w:val="EndNoteBibliographyTitleChar"/>
    <w:rsid w:val="00E46457"/>
    <w:pPr>
      <w:spacing w:after="0"/>
      <w:jc w:val="center"/>
    </w:pPr>
    <w:rPr>
      <w:rFonts w:ascii="Calibri" w:hAnsi="Calibri" w:cs="Calibri"/>
      <w:noProof/>
      <w:sz w:val="32"/>
    </w:rPr>
  </w:style>
  <w:style w:type="character" w:customStyle="1" w:styleId="EndNoteBibliographyTitleChar">
    <w:name w:val="EndNote Bibliography Title Char"/>
    <w:basedOn w:val="DefaultParagraphFont"/>
    <w:link w:val="EndNoteBibliographyTitle"/>
    <w:rsid w:val="00E46457"/>
    <w:rPr>
      <w:rFonts w:ascii="Calibri" w:hAnsi="Calibri" w:cs="Calibri"/>
      <w:noProof/>
      <w:sz w:val="32"/>
    </w:rPr>
  </w:style>
  <w:style w:type="paragraph" w:customStyle="1" w:styleId="EndNoteBibliography">
    <w:name w:val="EndNote Bibliography"/>
    <w:basedOn w:val="Normal"/>
    <w:link w:val="EndNoteBibliographyChar"/>
    <w:rsid w:val="00E46457"/>
    <w:pPr>
      <w:spacing w:line="240" w:lineRule="auto"/>
    </w:pPr>
    <w:rPr>
      <w:rFonts w:ascii="Calibri" w:hAnsi="Calibri" w:cs="Calibri"/>
      <w:noProof/>
      <w:sz w:val="32"/>
    </w:rPr>
  </w:style>
  <w:style w:type="character" w:customStyle="1" w:styleId="EndNoteBibliographyChar">
    <w:name w:val="EndNote Bibliography Char"/>
    <w:basedOn w:val="DefaultParagraphFont"/>
    <w:link w:val="EndNoteBibliography"/>
    <w:rsid w:val="00E46457"/>
    <w:rPr>
      <w:rFonts w:ascii="Calibri" w:hAnsi="Calibri" w:cs="Calibri"/>
      <w:noProof/>
      <w:sz w:val="32"/>
    </w:rPr>
  </w:style>
  <w:style w:type="character" w:styleId="Hyperlink">
    <w:name w:val="Hyperlink"/>
    <w:basedOn w:val="DefaultParagraphFont"/>
    <w:uiPriority w:val="99"/>
    <w:unhideWhenUsed/>
    <w:rsid w:val="00E46457"/>
    <w:rPr>
      <w:color w:val="0563C1" w:themeColor="hyperlink"/>
      <w:u w:val="single"/>
    </w:rPr>
  </w:style>
  <w:style w:type="character" w:styleId="UnresolvedMention">
    <w:name w:val="Unresolved Mention"/>
    <w:basedOn w:val="DefaultParagraphFont"/>
    <w:uiPriority w:val="99"/>
    <w:semiHidden/>
    <w:unhideWhenUsed/>
    <w:rsid w:val="00E46457"/>
    <w:rPr>
      <w:color w:val="605E5C"/>
      <w:shd w:val="clear" w:color="auto" w:fill="E1DFDD"/>
    </w:rPr>
  </w:style>
  <w:style w:type="character" w:customStyle="1" w:styleId="Heading2Char">
    <w:name w:val="Heading 2 Char"/>
    <w:basedOn w:val="DefaultParagraphFont"/>
    <w:link w:val="Heading2"/>
    <w:uiPriority w:val="9"/>
    <w:rsid w:val="00351ACD"/>
    <w:rPr>
      <w:rFonts w:ascii="Times New Roman" w:eastAsiaTheme="majorEastAsia" w:hAnsi="Times New Roman" w:cstheme="minorHAnsi"/>
      <w:b/>
      <w:bCs/>
      <w:sz w:val="24"/>
      <w:szCs w:val="26"/>
    </w:rPr>
  </w:style>
  <w:style w:type="character" w:customStyle="1" w:styleId="Heading3Char">
    <w:name w:val="Heading 3 Char"/>
    <w:basedOn w:val="DefaultParagraphFont"/>
    <w:link w:val="Heading3"/>
    <w:uiPriority w:val="9"/>
    <w:rsid w:val="00393B0C"/>
    <w:rPr>
      <w:rFonts w:ascii="Times New Roman" w:eastAsiaTheme="majorEastAsia" w:hAnsi="Times New Roman" w:cstheme="majorBidi"/>
      <w:b/>
      <w:bCs/>
      <w:szCs w:val="24"/>
    </w:rPr>
  </w:style>
  <w:style w:type="paragraph" w:styleId="Caption">
    <w:name w:val="caption"/>
    <w:basedOn w:val="Normal"/>
    <w:next w:val="Normal"/>
    <w:uiPriority w:val="35"/>
    <w:unhideWhenUsed/>
    <w:qFormat/>
    <w:rsid w:val="00393B0C"/>
    <w:pPr>
      <w:spacing w:after="200" w:line="240" w:lineRule="auto"/>
    </w:pPr>
    <w:rPr>
      <w:b/>
      <w:iCs/>
      <w:sz w:val="24"/>
      <w:szCs w:val="18"/>
    </w:rPr>
  </w:style>
  <w:style w:type="character" w:styleId="FollowedHyperlink">
    <w:name w:val="FollowedHyperlink"/>
    <w:basedOn w:val="DefaultParagraphFont"/>
    <w:uiPriority w:val="99"/>
    <w:semiHidden/>
    <w:unhideWhenUsed/>
    <w:rsid w:val="00C1681C"/>
    <w:rPr>
      <w:color w:val="954F72" w:themeColor="followedHyperlink"/>
      <w:u w:val="single"/>
    </w:rPr>
  </w:style>
  <w:style w:type="paragraph" w:styleId="Header">
    <w:name w:val="header"/>
    <w:basedOn w:val="Normal"/>
    <w:link w:val="HeaderChar"/>
    <w:uiPriority w:val="99"/>
    <w:unhideWhenUsed/>
    <w:rsid w:val="00365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ACF"/>
  </w:style>
  <w:style w:type="paragraph" w:styleId="Footer">
    <w:name w:val="footer"/>
    <w:basedOn w:val="Normal"/>
    <w:link w:val="FooterChar"/>
    <w:uiPriority w:val="99"/>
    <w:unhideWhenUsed/>
    <w:rsid w:val="00365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ACF"/>
  </w:style>
  <w:style w:type="paragraph" w:customStyle="1" w:styleId="ConferenceDetails">
    <w:name w:val="Conference Details"/>
    <w:basedOn w:val="Normal"/>
    <w:qFormat/>
    <w:rsid w:val="002E71D8"/>
    <w:pPr>
      <w:spacing w:before="120" w:after="120" w:line="240" w:lineRule="auto"/>
      <w:jc w:val="center"/>
    </w:pPr>
    <w:rPr>
      <w:rFonts w:eastAsia="Times New Roman" w:cs="Times New Roman"/>
      <w:b/>
      <w:smallCaps/>
      <w:szCs w:val="24"/>
      <w:lang w:val="en-AU" w:eastAsia="en-AU"/>
    </w:rPr>
  </w:style>
  <w:style w:type="paragraph" w:customStyle="1" w:styleId="Authors">
    <w:name w:val="Author/s"/>
    <w:basedOn w:val="Heading1"/>
    <w:qFormat/>
    <w:rsid w:val="00351ACD"/>
    <w:pPr>
      <w:keepLines w:val="0"/>
      <w:spacing w:before="120" w:line="240" w:lineRule="auto"/>
      <w:jc w:val="center"/>
    </w:pPr>
    <w:rPr>
      <w:rFonts w:eastAsia="Times New Roman" w:cs="Times New Roman"/>
      <w:caps w:val="0"/>
      <w:kern w:val="32"/>
      <w:lang w:val="en-AU" w:eastAsia="en-AU"/>
    </w:rPr>
  </w:style>
  <w:style w:type="paragraph" w:styleId="Revision">
    <w:name w:val="Revision"/>
    <w:hidden/>
    <w:uiPriority w:val="99"/>
    <w:semiHidden/>
    <w:rsid w:val="00111435"/>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5687">
      <w:bodyDiv w:val="1"/>
      <w:marLeft w:val="0"/>
      <w:marRight w:val="0"/>
      <w:marTop w:val="0"/>
      <w:marBottom w:val="0"/>
      <w:divBdr>
        <w:top w:val="none" w:sz="0" w:space="0" w:color="auto"/>
        <w:left w:val="none" w:sz="0" w:space="0" w:color="auto"/>
        <w:bottom w:val="none" w:sz="0" w:space="0" w:color="auto"/>
        <w:right w:val="none" w:sz="0" w:space="0" w:color="auto"/>
      </w:divBdr>
      <w:divsChild>
        <w:div w:id="535243639">
          <w:marLeft w:val="274"/>
          <w:marRight w:val="0"/>
          <w:marTop w:val="0"/>
          <w:marBottom w:val="0"/>
          <w:divBdr>
            <w:top w:val="none" w:sz="0" w:space="0" w:color="auto"/>
            <w:left w:val="none" w:sz="0" w:space="0" w:color="auto"/>
            <w:bottom w:val="none" w:sz="0" w:space="0" w:color="auto"/>
            <w:right w:val="none" w:sz="0" w:space="0" w:color="auto"/>
          </w:divBdr>
        </w:div>
      </w:divsChild>
    </w:div>
    <w:div w:id="181751634">
      <w:bodyDiv w:val="1"/>
      <w:marLeft w:val="0"/>
      <w:marRight w:val="0"/>
      <w:marTop w:val="0"/>
      <w:marBottom w:val="0"/>
      <w:divBdr>
        <w:top w:val="none" w:sz="0" w:space="0" w:color="auto"/>
        <w:left w:val="none" w:sz="0" w:space="0" w:color="auto"/>
        <w:bottom w:val="none" w:sz="0" w:space="0" w:color="auto"/>
        <w:right w:val="none" w:sz="0" w:space="0" w:color="auto"/>
      </w:divBdr>
      <w:divsChild>
        <w:div w:id="1818112941">
          <w:marLeft w:val="274"/>
          <w:marRight w:val="0"/>
          <w:marTop w:val="0"/>
          <w:marBottom w:val="0"/>
          <w:divBdr>
            <w:top w:val="none" w:sz="0" w:space="0" w:color="auto"/>
            <w:left w:val="none" w:sz="0" w:space="0" w:color="auto"/>
            <w:bottom w:val="none" w:sz="0" w:space="0" w:color="auto"/>
            <w:right w:val="none" w:sz="0" w:space="0" w:color="auto"/>
          </w:divBdr>
        </w:div>
      </w:divsChild>
    </w:div>
    <w:div w:id="203954340">
      <w:bodyDiv w:val="1"/>
      <w:marLeft w:val="0"/>
      <w:marRight w:val="0"/>
      <w:marTop w:val="0"/>
      <w:marBottom w:val="0"/>
      <w:divBdr>
        <w:top w:val="none" w:sz="0" w:space="0" w:color="auto"/>
        <w:left w:val="none" w:sz="0" w:space="0" w:color="auto"/>
        <w:bottom w:val="none" w:sz="0" w:space="0" w:color="auto"/>
        <w:right w:val="none" w:sz="0" w:space="0" w:color="auto"/>
      </w:divBdr>
    </w:div>
    <w:div w:id="218176784">
      <w:bodyDiv w:val="1"/>
      <w:marLeft w:val="0"/>
      <w:marRight w:val="0"/>
      <w:marTop w:val="0"/>
      <w:marBottom w:val="0"/>
      <w:divBdr>
        <w:top w:val="none" w:sz="0" w:space="0" w:color="auto"/>
        <w:left w:val="none" w:sz="0" w:space="0" w:color="auto"/>
        <w:bottom w:val="none" w:sz="0" w:space="0" w:color="auto"/>
        <w:right w:val="none" w:sz="0" w:space="0" w:color="auto"/>
      </w:divBdr>
    </w:div>
    <w:div w:id="556013494">
      <w:bodyDiv w:val="1"/>
      <w:marLeft w:val="0"/>
      <w:marRight w:val="0"/>
      <w:marTop w:val="0"/>
      <w:marBottom w:val="0"/>
      <w:divBdr>
        <w:top w:val="none" w:sz="0" w:space="0" w:color="auto"/>
        <w:left w:val="none" w:sz="0" w:space="0" w:color="auto"/>
        <w:bottom w:val="none" w:sz="0" w:space="0" w:color="auto"/>
        <w:right w:val="none" w:sz="0" w:space="0" w:color="auto"/>
      </w:divBdr>
    </w:div>
    <w:div w:id="580143314">
      <w:bodyDiv w:val="1"/>
      <w:marLeft w:val="0"/>
      <w:marRight w:val="0"/>
      <w:marTop w:val="0"/>
      <w:marBottom w:val="0"/>
      <w:divBdr>
        <w:top w:val="none" w:sz="0" w:space="0" w:color="auto"/>
        <w:left w:val="none" w:sz="0" w:space="0" w:color="auto"/>
        <w:bottom w:val="none" w:sz="0" w:space="0" w:color="auto"/>
        <w:right w:val="none" w:sz="0" w:space="0" w:color="auto"/>
      </w:divBdr>
    </w:div>
    <w:div w:id="606696894">
      <w:bodyDiv w:val="1"/>
      <w:marLeft w:val="0"/>
      <w:marRight w:val="0"/>
      <w:marTop w:val="0"/>
      <w:marBottom w:val="0"/>
      <w:divBdr>
        <w:top w:val="none" w:sz="0" w:space="0" w:color="auto"/>
        <w:left w:val="none" w:sz="0" w:space="0" w:color="auto"/>
        <w:bottom w:val="none" w:sz="0" w:space="0" w:color="auto"/>
        <w:right w:val="none" w:sz="0" w:space="0" w:color="auto"/>
      </w:divBdr>
    </w:div>
    <w:div w:id="670106026">
      <w:bodyDiv w:val="1"/>
      <w:marLeft w:val="0"/>
      <w:marRight w:val="0"/>
      <w:marTop w:val="0"/>
      <w:marBottom w:val="0"/>
      <w:divBdr>
        <w:top w:val="none" w:sz="0" w:space="0" w:color="auto"/>
        <w:left w:val="none" w:sz="0" w:space="0" w:color="auto"/>
        <w:bottom w:val="none" w:sz="0" w:space="0" w:color="auto"/>
        <w:right w:val="none" w:sz="0" w:space="0" w:color="auto"/>
      </w:divBdr>
      <w:divsChild>
        <w:div w:id="241719216">
          <w:marLeft w:val="274"/>
          <w:marRight w:val="0"/>
          <w:marTop w:val="0"/>
          <w:marBottom w:val="0"/>
          <w:divBdr>
            <w:top w:val="none" w:sz="0" w:space="0" w:color="auto"/>
            <w:left w:val="none" w:sz="0" w:space="0" w:color="auto"/>
            <w:bottom w:val="none" w:sz="0" w:space="0" w:color="auto"/>
            <w:right w:val="none" w:sz="0" w:space="0" w:color="auto"/>
          </w:divBdr>
        </w:div>
        <w:div w:id="1630820396">
          <w:marLeft w:val="274"/>
          <w:marRight w:val="0"/>
          <w:marTop w:val="0"/>
          <w:marBottom w:val="0"/>
          <w:divBdr>
            <w:top w:val="none" w:sz="0" w:space="0" w:color="auto"/>
            <w:left w:val="none" w:sz="0" w:space="0" w:color="auto"/>
            <w:bottom w:val="none" w:sz="0" w:space="0" w:color="auto"/>
            <w:right w:val="none" w:sz="0" w:space="0" w:color="auto"/>
          </w:divBdr>
        </w:div>
      </w:divsChild>
    </w:div>
    <w:div w:id="836120180">
      <w:bodyDiv w:val="1"/>
      <w:marLeft w:val="0"/>
      <w:marRight w:val="0"/>
      <w:marTop w:val="0"/>
      <w:marBottom w:val="0"/>
      <w:divBdr>
        <w:top w:val="none" w:sz="0" w:space="0" w:color="auto"/>
        <w:left w:val="none" w:sz="0" w:space="0" w:color="auto"/>
        <w:bottom w:val="none" w:sz="0" w:space="0" w:color="auto"/>
        <w:right w:val="none" w:sz="0" w:space="0" w:color="auto"/>
      </w:divBdr>
      <w:divsChild>
        <w:div w:id="751127278">
          <w:marLeft w:val="0"/>
          <w:marRight w:val="0"/>
          <w:marTop w:val="0"/>
          <w:marBottom w:val="0"/>
          <w:divBdr>
            <w:top w:val="none" w:sz="0" w:space="0" w:color="auto"/>
            <w:left w:val="none" w:sz="0" w:space="0" w:color="auto"/>
            <w:bottom w:val="none" w:sz="0" w:space="0" w:color="auto"/>
            <w:right w:val="none" w:sz="0" w:space="0" w:color="auto"/>
          </w:divBdr>
        </w:div>
      </w:divsChild>
    </w:div>
    <w:div w:id="947349361">
      <w:bodyDiv w:val="1"/>
      <w:marLeft w:val="0"/>
      <w:marRight w:val="0"/>
      <w:marTop w:val="0"/>
      <w:marBottom w:val="0"/>
      <w:divBdr>
        <w:top w:val="none" w:sz="0" w:space="0" w:color="auto"/>
        <w:left w:val="none" w:sz="0" w:space="0" w:color="auto"/>
        <w:bottom w:val="none" w:sz="0" w:space="0" w:color="auto"/>
        <w:right w:val="none" w:sz="0" w:space="0" w:color="auto"/>
      </w:divBdr>
    </w:div>
    <w:div w:id="1032152870">
      <w:bodyDiv w:val="1"/>
      <w:marLeft w:val="0"/>
      <w:marRight w:val="0"/>
      <w:marTop w:val="0"/>
      <w:marBottom w:val="0"/>
      <w:divBdr>
        <w:top w:val="none" w:sz="0" w:space="0" w:color="auto"/>
        <w:left w:val="none" w:sz="0" w:space="0" w:color="auto"/>
        <w:bottom w:val="none" w:sz="0" w:space="0" w:color="auto"/>
        <w:right w:val="none" w:sz="0" w:space="0" w:color="auto"/>
      </w:divBdr>
    </w:div>
    <w:div w:id="1474983388">
      <w:bodyDiv w:val="1"/>
      <w:marLeft w:val="0"/>
      <w:marRight w:val="0"/>
      <w:marTop w:val="0"/>
      <w:marBottom w:val="0"/>
      <w:divBdr>
        <w:top w:val="none" w:sz="0" w:space="0" w:color="auto"/>
        <w:left w:val="none" w:sz="0" w:space="0" w:color="auto"/>
        <w:bottom w:val="none" w:sz="0" w:space="0" w:color="auto"/>
        <w:right w:val="none" w:sz="0" w:space="0" w:color="auto"/>
      </w:divBdr>
    </w:div>
    <w:div w:id="1547375209">
      <w:bodyDiv w:val="1"/>
      <w:marLeft w:val="0"/>
      <w:marRight w:val="0"/>
      <w:marTop w:val="0"/>
      <w:marBottom w:val="0"/>
      <w:divBdr>
        <w:top w:val="none" w:sz="0" w:space="0" w:color="auto"/>
        <w:left w:val="none" w:sz="0" w:space="0" w:color="auto"/>
        <w:bottom w:val="none" w:sz="0" w:space="0" w:color="auto"/>
        <w:right w:val="none" w:sz="0" w:space="0" w:color="auto"/>
      </w:divBdr>
      <w:divsChild>
        <w:div w:id="1434472706">
          <w:marLeft w:val="547"/>
          <w:marRight w:val="0"/>
          <w:marTop w:val="0"/>
          <w:marBottom w:val="0"/>
          <w:divBdr>
            <w:top w:val="none" w:sz="0" w:space="0" w:color="auto"/>
            <w:left w:val="none" w:sz="0" w:space="0" w:color="auto"/>
            <w:bottom w:val="none" w:sz="0" w:space="0" w:color="auto"/>
            <w:right w:val="none" w:sz="0" w:space="0" w:color="auto"/>
          </w:divBdr>
        </w:div>
      </w:divsChild>
    </w:div>
    <w:div w:id="1799058773">
      <w:bodyDiv w:val="1"/>
      <w:marLeft w:val="0"/>
      <w:marRight w:val="0"/>
      <w:marTop w:val="0"/>
      <w:marBottom w:val="0"/>
      <w:divBdr>
        <w:top w:val="none" w:sz="0" w:space="0" w:color="auto"/>
        <w:left w:val="none" w:sz="0" w:space="0" w:color="auto"/>
        <w:bottom w:val="none" w:sz="0" w:space="0" w:color="auto"/>
        <w:right w:val="none" w:sz="0" w:space="0" w:color="auto"/>
      </w:divBdr>
      <w:divsChild>
        <w:div w:id="1635139341">
          <w:marLeft w:val="274"/>
          <w:marRight w:val="0"/>
          <w:marTop w:val="0"/>
          <w:marBottom w:val="0"/>
          <w:divBdr>
            <w:top w:val="none" w:sz="0" w:space="0" w:color="auto"/>
            <w:left w:val="none" w:sz="0" w:space="0" w:color="auto"/>
            <w:bottom w:val="none" w:sz="0" w:space="0" w:color="auto"/>
            <w:right w:val="none" w:sz="0" w:space="0" w:color="auto"/>
          </w:divBdr>
        </w:div>
      </w:divsChild>
    </w:div>
    <w:div w:id="1816797887">
      <w:bodyDiv w:val="1"/>
      <w:marLeft w:val="0"/>
      <w:marRight w:val="0"/>
      <w:marTop w:val="0"/>
      <w:marBottom w:val="0"/>
      <w:divBdr>
        <w:top w:val="none" w:sz="0" w:space="0" w:color="auto"/>
        <w:left w:val="none" w:sz="0" w:space="0" w:color="auto"/>
        <w:bottom w:val="none" w:sz="0" w:space="0" w:color="auto"/>
        <w:right w:val="none" w:sz="0" w:space="0" w:color="auto"/>
      </w:divBdr>
    </w:div>
    <w:div w:id="1943763794">
      <w:bodyDiv w:val="1"/>
      <w:marLeft w:val="0"/>
      <w:marRight w:val="0"/>
      <w:marTop w:val="0"/>
      <w:marBottom w:val="0"/>
      <w:divBdr>
        <w:top w:val="none" w:sz="0" w:space="0" w:color="auto"/>
        <w:left w:val="none" w:sz="0" w:space="0" w:color="auto"/>
        <w:bottom w:val="none" w:sz="0" w:space="0" w:color="auto"/>
        <w:right w:val="none" w:sz="0" w:space="0" w:color="auto"/>
      </w:divBdr>
    </w:div>
    <w:div w:id="1987784778">
      <w:bodyDiv w:val="1"/>
      <w:marLeft w:val="0"/>
      <w:marRight w:val="0"/>
      <w:marTop w:val="0"/>
      <w:marBottom w:val="0"/>
      <w:divBdr>
        <w:top w:val="none" w:sz="0" w:space="0" w:color="auto"/>
        <w:left w:val="none" w:sz="0" w:space="0" w:color="auto"/>
        <w:bottom w:val="none" w:sz="0" w:space="0" w:color="auto"/>
        <w:right w:val="none" w:sz="0" w:space="0" w:color="auto"/>
      </w:divBdr>
      <w:divsChild>
        <w:div w:id="370303009">
          <w:marLeft w:val="274"/>
          <w:marRight w:val="0"/>
          <w:marTop w:val="0"/>
          <w:marBottom w:val="0"/>
          <w:divBdr>
            <w:top w:val="none" w:sz="0" w:space="0" w:color="auto"/>
            <w:left w:val="none" w:sz="0" w:space="0" w:color="auto"/>
            <w:bottom w:val="none" w:sz="0" w:space="0" w:color="auto"/>
            <w:right w:val="none" w:sz="0" w:space="0" w:color="auto"/>
          </w:divBdr>
        </w:div>
        <w:div w:id="1737359769">
          <w:marLeft w:val="274"/>
          <w:marRight w:val="0"/>
          <w:marTop w:val="0"/>
          <w:marBottom w:val="0"/>
          <w:divBdr>
            <w:top w:val="none" w:sz="0" w:space="0" w:color="auto"/>
            <w:left w:val="none" w:sz="0" w:space="0" w:color="auto"/>
            <w:bottom w:val="none" w:sz="0" w:space="0" w:color="auto"/>
            <w:right w:val="none" w:sz="0" w:space="0" w:color="auto"/>
          </w:divBdr>
        </w:div>
        <w:div w:id="307243220">
          <w:marLeft w:val="274"/>
          <w:marRight w:val="0"/>
          <w:marTop w:val="0"/>
          <w:marBottom w:val="0"/>
          <w:divBdr>
            <w:top w:val="none" w:sz="0" w:space="0" w:color="auto"/>
            <w:left w:val="none" w:sz="0" w:space="0" w:color="auto"/>
            <w:bottom w:val="none" w:sz="0" w:space="0" w:color="auto"/>
            <w:right w:val="none" w:sz="0" w:space="0" w:color="auto"/>
          </w:divBdr>
        </w:div>
        <w:div w:id="1561818760">
          <w:marLeft w:val="274"/>
          <w:marRight w:val="0"/>
          <w:marTop w:val="0"/>
          <w:marBottom w:val="0"/>
          <w:divBdr>
            <w:top w:val="none" w:sz="0" w:space="0" w:color="auto"/>
            <w:left w:val="none" w:sz="0" w:space="0" w:color="auto"/>
            <w:bottom w:val="none" w:sz="0" w:space="0" w:color="auto"/>
            <w:right w:val="none" w:sz="0" w:space="0" w:color="auto"/>
          </w:divBdr>
        </w:div>
      </w:divsChild>
    </w:div>
    <w:div w:id="2111315091">
      <w:bodyDiv w:val="1"/>
      <w:marLeft w:val="0"/>
      <w:marRight w:val="0"/>
      <w:marTop w:val="0"/>
      <w:marBottom w:val="0"/>
      <w:divBdr>
        <w:top w:val="none" w:sz="0" w:space="0" w:color="auto"/>
        <w:left w:val="none" w:sz="0" w:space="0" w:color="auto"/>
        <w:bottom w:val="none" w:sz="0" w:space="0" w:color="auto"/>
        <w:right w:val="none" w:sz="0" w:space="0" w:color="auto"/>
      </w:divBdr>
      <w:divsChild>
        <w:div w:id="7219480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chart" Target="charts/chart3.xml"/><Relationship Id="rId21" Type="http://schemas.openxmlformats.org/officeDocument/2006/relationships/chart" Target="charts/chart6.xml"/><Relationship Id="rId42" Type="http://schemas.openxmlformats.org/officeDocument/2006/relationships/image" Target="media/image1.png"/><Relationship Id="rId47" Type="http://schemas.openxmlformats.org/officeDocument/2006/relationships/hyperlink" Target="https://www.youtube.com/watch?v=HZh5DHyvOW8" TargetMode="External"/><Relationship Id="rId50" Type="http://schemas.openxmlformats.org/officeDocument/2006/relationships/hyperlink" Target="https://www.ipcc.ch/report/ar5/wg3/buildings/" TargetMode="External"/><Relationship Id="rId55" Type="http://schemas.openxmlformats.org/officeDocument/2006/relationships/hyperlink" Target="https://www.urban.com.au/news/carbon-risk-real-estate-monitor-announces-decarbonisation-pla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chart" Target="charts/chart5.xml"/><Relationship Id="rId54" Type="http://schemas.openxmlformats.org/officeDocument/2006/relationships/hyperlink" Target="https://www.carboncollective.co/sustainable-investing/carbon-risk-real-estate-monitor-crre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45" Type="http://schemas.openxmlformats.org/officeDocument/2006/relationships/hyperlink" Target="http://www.cbd.gov.au/" TargetMode="External"/><Relationship Id="rId53" Type="http://schemas.openxmlformats.org/officeDocument/2006/relationships/hyperlink" Target="https://www.climatechange.environment.nsw.gov.au/nsw-government-action-climate-change" TargetMode="External"/><Relationship Id="rId58" Type="http://schemas.openxmlformats.org/officeDocument/2006/relationships/hyperlink" Target="https://esg.conservice.com/how-crrem-mitigates-risk-real-estate-portfolios/" TargetMode="External"/><Relationship Id="rId5" Type="http://schemas.openxmlformats.org/officeDocument/2006/relationships/numbering" Target="numbering.xml"/><Relationship Id="rId15" Type="http://schemas.openxmlformats.org/officeDocument/2006/relationships/diagramColors" Target="diagrams/colors1.xml"/><Relationship Id="rId23" Type="http://schemas.microsoft.com/office/2014/relationships/chartEx" Target="charts/chartEx1.xml"/><Relationship Id="rId49" Type="http://schemas.openxmlformats.org/officeDocument/2006/relationships/hyperlink" Target="https://www.iea.org/news/australia-has-raised-its-climate-targets-and-now-needs-to-accelerate-its-clean-energy-transition-says-new-iea-review" TargetMode="External"/><Relationship Id="rId57" Type="http://schemas.openxmlformats.org/officeDocument/2006/relationships/hyperlink" Target="https://scholar.google.com.au/citations?view_op=view_citation&amp;hl=en&amp;user=6UBwXwcAAAAJ&amp;cstart=20&amp;pagesize=80&amp;sortby=pubdate&amp;citation_for_view=6UBwXwcAAAAJ:W7OEmFMy1HYC"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4.xml"/><Relationship Id="rId44" Type="http://schemas.openxmlformats.org/officeDocument/2006/relationships/hyperlink" Target="https://www.c40knowledgehub.org/s/article/Climate-Change-Mitigation-Strategy-to-2050-Melbourne-Together-for-1-5-C?language=en_US" TargetMode="External"/><Relationship Id="rId52" Type="http://schemas.openxmlformats.org/officeDocument/2006/relationships/hyperlink" Target="https://www.nabers.gov.au/sites/default/files/2022-11/Fact%20Sheet%20-%20Office%20Buildings.pdf"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chart" Target="charts/chart7.xml"/><Relationship Id="rId43" Type="http://schemas.openxmlformats.org/officeDocument/2006/relationships/hyperlink" Target="https://bregroup.com/breeam-news/breeam-usa-news/navigating-the-carbon-risk-real-estate-monitor-crrem-tool-for-a-stronger-pathway-to-net-zero/" TargetMode="External"/><Relationship Id="rId48" Type="http://schemas.openxmlformats.org/officeDocument/2006/relationships/hyperlink" Target="https://gresb.com/" TargetMode="External"/><Relationship Id="rId56" Type="http://schemas.openxmlformats.org/officeDocument/2006/relationships/hyperlink" Target="https://www.climatechange.vic.gov.au/climate-action-targets" TargetMode="External"/><Relationship Id="rId8" Type="http://schemas.openxmlformats.org/officeDocument/2006/relationships/webSettings" Target="webSettings.xml"/><Relationship Id="rId51" Type="http://schemas.openxmlformats.org/officeDocument/2006/relationships/hyperlink" Target="https://www.nabers.gov.au/" TargetMode="Externa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chart" Target="charts/chart2.xml"/><Relationship Id="rId46" Type="http://schemas.openxmlformats.org/officeDocument/2006/relationships/hyperlink" Target="https://www.crrem.eu/about-crrem/" TargetMode="External"/><Relationship Id="rId5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FOUCHEM\Documents\00%20Research%20Fellow\03%20CRREM%20Project%202023\06%20Case%20Study%20Data\01%20CRREM%20Tool%20Results\V2.03\NABERS\Second%20Round%20Analysis\2023_04_18_CRREM-Risk-Assessment-Tool-Asia-Pacific-NABERS_V2.03_12_08_23_OFFICE%202020_1%20to%2025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FOUCHEM\Documents\00%20Research%20Fellow\03%20CRREM%20Project%202023\06%20Case%20Study%20Data\01%20CRREM%20Tool%20Results\V2.02\2023_04_08_CRREM%20Risk%20Assessment%20Tool%20(Asia%20Pacific)%20-%20Case%20Study%20Data_MS_25%20April%2023_V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OUCHEM\Documents\00%20Research%20Fellow\03%20CRREM%20Project%202023\06%20Case%20Study%20Data\01%20CRREM%20Tool%20Results\V2.02\2023_04_08_CRREM%20Risk%20Assessment%20Tool%20(Asia%20Pacific)%20-%20Case%20Study%20Data_MS_25%20April%2023_V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FOUCHEM\Documents\00%20Research%20Fellow\03%20CRREM%20Project%202023\06%20Case%20Study%20Data\01%20CRREM%20Tool%20Results\V2.03\2023_04_18_CRREM-Risk-Assessment-Tool-Asia-Pacific-Cbus_V2.03_05_05_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FOUCHEM\Documents\00%20Research%20Fellow\03%20CRREM%20Project%202023\06%20Case%20Study%20Data\01%20CRREM%20Tool%20Results\V2.03\2023_04_18_CRREM-Risk-Assessment-Tool-Asia-Pacific-GPT_V2.03_05_05_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FOUCHEM\Documents\00%20Research%20Fellow\03%20CRREM%20Project%202023\06%20Case%20Study%20Data\01%20CRREM%20Tool%20Results\V2.03\2023_04_18_CRREM-Risk-Assessment-Tool-Asia-Pacific-Investa_V2.03_05_05_2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FOUCHEM\Documents\00%20Research%20Fellow\03%20CRREM%20Project%202023\06%20Case%20Study%20Data\00%20Case%20Study%20Data\00%20All%20Case%20Studies\Cbus%20case%20study%20details_Investa_GPT_Cbus%2006_05_23.xlsx" TargetMode="External"/><Relationship Id="rId2" Type="http://schemas.microsoft.com/office/2011/relationships/chartColorStyle" Target="colors7.xml"/><Relationship Id="rId1" Type="http://schemas.microsoft.com/office/2011/relationships/chartStyle" Target="style7.xml"/></Relationships>
</file>

<file path=word/charts/_rels/chartEx1.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FOUCHEM\Documents\00%20Research%20Fellow\03%20CRREM%20Project%202023\06%20Case%20Study%20Data\00%20Case%20Study%20Data\00%20All%20Case%20Studies\Cbus%20case%20study%20details_Investa_GPT_Cbus%2006_05_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807678656644422E-2"/>
          <c:y val="1.9637593540287438E-2"/>
          <c:w val="0.90423304613233002"/>
          <c:h val="0.66827509634006299"/>
        </c:manualLayout>
      </c:layout>
      <c:areaChart>
        <c:grouping val="stacked"/>
        <c:varyColors val="0"/>
        <c:ser>
          <c:idx val="5"/>
          <c:order val="0"/>
          <c:tx>
            <c:strRef>
              <c:f>'Back-end'!$A$19</c:f>
              <c:strCache>
                <c:ptCount val="1"/>
                <c:pt idx="0">
                  <c:v>Excess dummy low</c:v>
                </c:pt>
              </c:strCache>
            </c:strRef>
          </c:tx>
          <c:spPr>
            <a:noFill/>
            <a:ln>
              <a:noFill/>
            </a:ln>
            <a:effectLst/>
          </c:spPr>
          <c:cat>
            <c:numRef>
              <c:f>'Back-end'!$E$16:$AI$16</c:f>
              <c:numCache>
                <c:formatCode>General</c:formatCode>
                <c:ptCount val="3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numCache>
            </c:numRef>
          </c:cat>
          <c:val>
            <c:numRef>
              <c:f>'Back-end'!$E$19:$AI$19</c:f>
              <c:numCache>
                <c:formatCode>0</c:formatCode>
                <c:ptCount val="31"/>
                <c:pt idx="0">
                  <c:v>0</c:v>
                </c:pt>
                <c:pt idx="1">
                  <c:v>0</c:v>
                </c:pt>
                <c:pt idx="2">
                  <c:v>0</c:v>
                </c:pt>
                <c:pt idx="3">
                  <c:v>117.9420757322126</c:v>
                </c:pt>
                <c:pt idx="4">
                  <c:v>107.56963000210868</c:v>
                </c:pt>
                <c:pt idx="5">
                  <c:v>96.859806225900527</c:v>
                </c:pt>
                <c:pt idx="6">
                  <c:v>86.145338145042331</c:v>
                </c:pt>
                <c:pt idx="7">
                  <c:v>76.50678479463798</c:v>
                </c:pt>
                <c:pt idx="8">
                  <c:v>67.558687132761548</c:v>
                </c:pt>
                <c:pt idx="9">
                  <c:v>59.277148512624017</c:v>
                </c:pt>
                <c:pt idx="10">
                  <c:v>51.405693719174145</c:v>
                </c:pt>
                <c:pt idx="11">
                  <c:v>44.809031340208989</c:v>
                </c:pt>
                <c:pt idx="12">
                  <c:v>38.525661552806881</c:v>
                </c:pt>
                <c:pt idx="13">
                  <c:v>32.757923818120787</c:v>
                </c:pt>
                <c:pt idx="14">
                  <c:v>27.47539555313989</c:v>
                </c:pt>
                <c:pt idx="15">
                  <c:v>22.663442394715133</c:v>
                </c:pt>
                <c:pt idx="16">
                  <c:v>18.240210361215798</c:v>
                </c:pt>
                <c:pt idx="17">
                  <c:v>14.260100502056932</c:v>
                </c:pt>
                <c:pt idx="18">
                  <c:v>10.942897804717104</c:v>
                </c:pt>
                <c:pt idx="19">
                  <c:v>8.331035282185562</c:v>
                </c:pt>
                <c:pt idx="20">
                  <c:v>6.275343265276252</c:v>
                </c:pt>
                <c:pt idx="21">
                  <c:v>5.1238465870428751</c:v>
                </c:pt>
                <c:pt idx="22">
                  <c:v>4.2603561055597154</c:v>
                </c:pt>
                <c:pt idx="23">
                  <c:v>3.5184768925970755</c:v>
                </c:pt>
                <c:pt idx="24">
                  <c:v>2.8868963451156451</c:v>
                </c:pt>
                <c:pt idx="25">
                  <c:v>2.3134670994657283</c:v>
                </c:pt>
                <c:pt idx="26">
                  <c:v>1.9038369336872649</c:v>
                </c:pt>
                <c:pt idx="27">
                  <c:v>1.5236625104738937</c:v>
                </c:pt>
                <c:pt idx="28">
                  <c:v>1.1965974900278744</c:v>
                </c:pt>
                <c:pt idx="29">
                  <c:v>0.90576340463593841</c:v>
                </c:pt>
                <c:pt idx="30">
                  <c:v>0.63863461997307935</c:v>
                </c:pt>
              </c:numCache>
            </c:numRef>
          </c:val>
          <c:extLst>
            <c:ext xmlns:c16="http://schemas.microsoft.com/office/drawing/2014/chart" uri="{C3380CC4-5D6E-409C-BE32-E72D297353CC}">
              <c16:uniqueId val="{00000000-218B-E448-B625-A4FAD062923C}"/>
            </c:ext>
          </c:extLst>
        </c:ser>
        <c:ser>
          <c:idx val="4"/>
          <c:order val="1"/>
          <c:tx>
            <c:strRef>
              <c:f>'Back-end'!$A$17</c:f>
              <c:strCache>
                <c:ptCount val="1"/>
                <c:pt idx="0">
                  <c:v>Excess emissions</c:v>
                </c:pt>
              </c:strCache>
            </c:strRef>
          </c:tx>
          <c:spPr>
            <a:solidFill>
              <a:schemeClr val="accent1">
                <a:alpha val="60000"/>
              </a:schemeClr>
            </a:solidFill>
            <a:ln>
              <a:noFill/>
            </a:ln>
            <a:effectLst/>
          </c:spPr>
          <c:cat>
            <c:numRef>
              <c:f>'Back-end'!$E$16:$AI$16</c:f>
              <c:numCache>
                <c:formatCode>General</c:formatCode>
                <c:ptCount val="3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numCache>
            </c:numRef>
          </c:cat>
          <c:val>
            <c:numRef>
              <c:f>'Back-end'!$E$20:$AI$20</c:f>
              <c:numCache>
                <c:formatCode>0</c:formatCode>
                <c:ptCount val="31"/>
                <c:pt idx="0">
                  <c:v>0</c:v>
                </c:pt>
                <c:pt idx="1">
                  <c:v>0</c:v>
                </c:pt>
                <c:pt idx="2">
                  <c:v>0</c:v>
                </c:pt>
                <c:pt idx="3">
                  <c:v>0</c:v>
                </c:pt>
                <c:pt idx="4">
                  <c:v>4.4725701011183929</c:v>
                </c:pt>
                <c:pt idx="5">
                  <c:v>10.935779791822299</c:v>
                </c:pt>
                <c:pt idx="6">
                  <c:v>17.611594220661758</c:v>
                </c:pt>
                <c:pt idx="7">
                  <c:v>23.409011250351853</c:v>
                </c:pt>
                <c:pt idx="8">
                  <c:v>28.703571051491821</c:v>
                </c:pt>
                <c:pt idx="9">
                  <c:v>33.509749357924711</c:v>
                </c:pt>
                <c:pt idx="10">
                  <c:v>38.075073471988055</c:v>
                </c:pt>
                <c:pt idx="11">
                  <c:v>41.526336183957312</c:v>
                </c:pt>
                <c:pt idx="12">
                  <c:v>44.816965462515228</c:v>
                </c:pt>
                <c:pt idx="13">
                  <c:v>47.736955363962522</c:v>
                </c:pt>
                <c:pt idx="14">
                  <c:v>50.309447035267596</c:v>
                </c:pt>
                <c:pt idx="15">
                  <c:v>52.542159142171442</c:v>
                </c:pt>
                <c:pt idx="16">
                  <c:v>54.510377366157996</c:v>
                </c:pt>
                <c:pt idx="17">
                  <c:v>56.153462331762242</c:v>
                </c:pt>
                <c:pt idx="18">
                  <c:v>57.24570414871485</c:v>
                </c:pt>
                <c:pt idx="19">
                  <c:v>57.739042602392139</c:v>
                </c:pt>
                <c:pt idx="20">
                  <c:v>57.777302926713844</c:v>
                </c:pt>
                <c:pt idx="21">
                  <c:v>57.007384432902342</c:v>
                </c:pt>
                <c:pt idx="22">
                  <c:v>56.040655510447522</c:v>
                </c:pt>
                <c:pt idx="23">
                  <c:v>55.038932637224534</c:v>
                </c:pt>
                <c:pt idx="24">
                  <c:v>54.009180108087122</c:v>
                </c:pt>
                <c:pt idx="25">
                  <c:v>52.999415569982723</c:v>
                </c:pt>
                <c:pt idx="26">
                  <c:v>51.900069147725993</c:v>
                </c:pt>
                <c:pt idx="27">
                  <c:v>50.841759278920172</c:v>
                </c:pt>
                <c:pt idx="28">
                  <c:v>49.797294701297439</c:v>
                </c:pt>
                <c:pt idx="29">
                  <c:v>48.780194174519458</c:v>
                </c:pt>
                <c:pt idx="30">
                  <c:v>47.799792586606188</c:v>
                </c:pt>
              </c:numCache>
            </c:numRef>
          </c:val>
          <c:extLst>
            <c:ext xmlns:c16="http://schemas.microsoft.com/office/drawing/2014/chart" uri="{C3380CC4-5D6E-409C-BE32-E72D297353CC}">
              <c16:uniqueId val="{00000001-218B-E448-B625-A4FAD062923C}"/>
            </c:ext>
          </c:extLst>
        </c:ser>
        <c:dLbls>
          <c:showLegendKey val="0"/>
          <c:showVal val="0"/>
          <c:showCatName val="0"/>
          <c:showSerName val="0"/>
          <c:showPercent val="0"/>
          <c:showBubbleSize val="0"/>
        </c:dLbls>
        <c:axId val="604615272"/>
        <c:axId val="604615600"/>
      </c:areaChart>
      <c:lineChart>
        <c:grouping val="standard"/>
        <c:varyColors val="0"/>
        <c:ser>
          <c:idx val="0"/>
          <c:order val="2"/>
          <c:tx>
            <c:v>Decarbonisation target</c:v>
          </c:tx>
          <c:spPr>
            <a:ln w="19050" cap="rnd">
              <a:solidFill>
                <a:schemeClr val="accent6"/>
              </a:solidFill>
              <a:round/>
            </a:ln>
            <a:effectLst/>
          </c:spPr>
          <c:marker>
            <c:symbol val="none"/>
          </c:marker>
          <c:cat>
            <c:numRef>
              <c:f>'Back-end'!$E$16:$AI$16</c:f>
              <c:numCache>
                <c:formatCode>General</c:formatCode>
                <c:ptCount val="3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numCache>
            </c:numRef>
          </c:cat>
          <c:val>
            <c:numRef>
              <c:f>'Back-end'!$E$4:$AI$4</c:f>
              <c:numCache>
                <c:formatCode>0.0</c:formatCode>
                <c:ptCount val="31"/>
                <c:pt idx="0">
                  <c:v>154.78346185074767</c:v>
                </c:pt>
                <c:pt idx="1">
                  <c:v>145.02871211703416</c:v>
                </c:pt>
                <c:pt idx="2">
                  <c:v>131.8888204443781</c:v>
                </c:pt>
                <c:pt idx="3">
                  <c:v>119.37638185330967</c:v>
                </c:pt>
                <c:pt idx="4">
                  <c:v>107.56963000210868</c:v>
                </c:pt>
                <c:pt idx="5">
                  <c:v>96.859806225900527</c:v>
                </c:pt>
                <c:pt idx="6">
                  <c:v>86.145338145042331</c:v>
                </c:pt>
                <c:pt idx="7">
                  <c:v>76.50678479463798</c:v>
                </c:pt>
                <c:pt idx="8">
                  <c:v>67.558687132761548</c:v>
                </c:pt>
                <c:pt idx="9">
                  <c:v>59.277148512624017</c:v>
                </c:pt>
                <c:pt idx="10">
                  <c:v>51.405693719174145</c:v>
                </c:pt>
                <c:pt idx="11">
                  <c:v>44.809031340208989</c:v>
                </c:pt>
                <c:pt idx="12">
                  <c:v>38.525661552806881</c:v>
                </c:pt>
                <c:pt idx="13">
                  <c:v>32.757923818120787</c:v>
                </c:pt>
                <c:pt idx="14">
                  <c:v>27.47539555313989</c:v>
                </c:pt>
                <c:pt idx="15">
                  <c:v>22.663442394715133</c:v>
                </c:pt>
                <c:pt idx="16">
                  <c:v>18.240210361215798</c:v>
                </c:pt>
                <c:pt idx="17">
                  <c:v>14.260100502056932</c:v>
                </c:pt>
                <c:pt idx="18">
                  <c:v>10.942897804717104</c:v>
                </c:pt>
                <c:pt idx="19">
                  <c:v>8.331035282185562</c:v>
                </c:pt>
                <c:pt idx="20">
                  <c:v>6.275343265276252</c:v>
                </c:pt>
                <c:pt idx="21">
                  <c:v>5.1238465870428751</c:v>
                </c:pt>
                <c:pt idx="22">
                  <c:v>4.2603561055597154</c:v>
                </c:pt>
                <c:pt idx="23">
                  <c:v>3.5184768925970755</c:v>
                </c:pt>
                <c:pt idx="24">
                  <c:v>2.8868963451156451</c:v>
                </c:pt>
                <c:pt idx="25">
                  <c:v>2.3134670994657283</c:v>
                </c:pt>
                <c:pt idx="26">
                  <c:v>1.9038369336872649</c:v>
                </c:pt>
                <c:pt idx="27">
                  <c:v>1.5236625104738937</c:v>
                </c:pt>
                <c:pt idx="28">
                  <c:v>1.1965974900278744</c:v>
                </c:pt>
                <c:pt idx="29">
                  <c:v>0.90576340463593841</c:v>
                </c:pt>
                <c:pt idx="30">
                  <c:v>0.63863461997307935</c:v>
                </c:pt>
              </c:numCache>
            </c:numRef>
          </c:val>
          <c:smooth val="0"/>
          <c:extLst>
            <c:ext xmlns:c16="http://schemas.microsoft.com/office/drawing/2014/chart" uri="{C3380CC4-5D6E-409C-BE32-E72D297353CC}">
              <c16:uniqueId val="{00000002-218B-E448-B625-A4FAD062923C}"/>
            </c:ext>
          </c:extLst>
        </c:ser>
        <c:ser>
          <c:idx val="1"/>
          <c:order val="3"/>
          <c:tx>
            <c:v>Baseline asset performance</c:v>
          </c:tx>
          <c:spPr>
            <a:ln w="12700" cap="rnd">
              <a:solidFill>
                <a:schemeClr val="tx1">
                  <a:lumMod val="75000"/>
                  <a:lumOff val="25000"/>
                </a:schemeClr>
              </a:solidFill>
              <a:prstDash val="dash"/>
              <a:round/>
            </a:ln>
            <a:effectLst/>
          </c:spPr>
          <c:marker>
            <c:symbol val="none"/>
          </c:marker>
          <c:dPt>
            <c:idx val="0"/>
            <c:marker>
              <c:symbol val="diamond"/>
              <c:size val="9"/>
              <c:spPr>
                <a:solidFill>
                  <a:schemeClr val="tx1">
                    <a:lumMod val="85000"/>
                    <a:lumOff val="15000"/>
                  </a:schemeClr>
                </a:solidFill>
                <a:ln w="9525">
                  <a:noFill/>
                </a:ln>
                <a:effectLst/>
              </c:spPr>
            </c:marker>
            <c:bubble3D val="0"/>
            <c:spPr>
              <a:ln w="19050" cap="rnd">
                <a:noFill/>
                <a:round/>
              </a:ln>
              <a:effectLst/>
            </c:spPr>
            <c:extLst>
              <c:ext xmlns:c16="http://schemas.microsoft.com/office/drawing/2014/chart" uri="{C3380CC4-5D6E-409C-BE32-E72D297353CC}">
                <c16:uniqueId val="{00000004-218B-E448-B625-A4FAD062923C}"/>
              </c:ext>
            </c:extLst>
          </c:dPt>
          <c:cat>
            <c:numRef>
              <c:f>'Back-end'!$E$16:$AI$16</c:f>
              <c:numCache>
                <c:formatCode>General</c:formatCode>
                <c:ptCount val="3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numCache>
            </c:numRef>
          </c:cat>
          <c:val>
            <c:numRef>
              <c:f>'Back-end'!$E$5:$AI$5</c:f>
              <c:numCache>
                <c:formatCode>#,##0.00</c:formatCode>
                <c:ptCount val="31"/>
                <c:pt idx="0">
                  <c:v>131.33706101799882</c:v>
                </c:pt>
                <c:pt idx="1">
                  <c:v>131.33706101799882</c:v>
                </c:pt>
                <c:pt idx="2">
                  <c:v>131.33706101799882</c:v>
                </c:pt>
                <c:pt idx="3">
                  <c:v>131.33706101799882</c:v>
                </c:pt>
                <c:pt idx="4">
                  <c:v>131.33706101799882</c:v>
                </c:pt>
                <c:pt idx="5">
                  <c:v>131.33706101799882</c:v>
                </c:pt>
                <c:pt idx="6">
                  <c:v>131.33706101799882</c:v>
                </c:pt>
                <c:pt idx="7">
                  <c:v>131.33706101799882</c:v>
                </c:pt>
                <c:pt idx="8">
                  <c:v>131.33706101799882</c:v>
                </c:pt>
                <c:pt idx="9">
                  <c:v>131.33706101799882</c:v>
                </c:pt>
                <c:pt idx="10">
                  <c:v>131.33706101799882</c:v>
                </c:pt>
                <c:pt idx="11">
                  <c:v>131.33706101799882</c:v>
                </c:pt>
                <c:pt idx="12">
                  <c:v>131.33706101799882</c:v>
                </c:pt>
                <c:pt idx="13">
                  <c:v>131.33706101799882</c:v>
                </c:pt>
                <c:pt idx="14">
                  <c:v>131.33706101799882</c:v>
                </c:pt>
                <c:pt idx="15">
                  <c:v>131.33706101799882</c:v>
                </c:pt>
                <c:pt idx="16">
                  <c:v>131.33706101799882</c:v>
                </c:pt>
                <c:pt idx="17">
                  <c:v>131.33706101799882</c:v>
                </c:pt>
                <c:pt idx="18">
                  <c:v>131.33706101799882</c:v>
                </c:pt>
                <c:pt idx="19">
                  <c:v>131.33706101799882</c:v>
                </c:pt>
                <c:pt idx="20">
                  <c:v>131.33706101799882</c:v>
                </c:pt>
                <c:pt idx="21">
                  <c:v>131.33706101799882</c:v>
                </c:pt>
                <c:pt idx="22">
                  <c:v>131.33706101799882</c:v>
                </c:pt>
                <c:pt idx="23">
                  <c:v>131.33706101799882</c:v>
                </c:pt>
                <c:pt idx="24">
                  <c:v>131.33706101799882</c:v>
                </c:pt>
                <c:pt idx="25">
                  <c:v>131.33706101799882</c:v>
                </c:pt>
                <c:pt idx="26">
                  <c:v>131.33706101799882</c:v>
                </c:pt>
                <c:pt idx="27">
                  <c:v>131.33706101799882</c:v>
                </c:pt>
                <c:pt idx="28">
                  <c:v>131.33706101799882</c:v>
                </c:pt>
                <c:pt idx="29">
                  <c:v>131.33706101799882</c:v>
                </c:pt>
                <c:pt idx="30">
                  <c:v>131.33706101799882</c:v>
                </c:pt>
              </c:numCache>
            </c:numRef>
          </c:val>
          <c:smooth val="0"/>
          <c:extLst>
            <c:ext xmlns:c16="http://schemas.microsoft.com/office/drawing/2014/chart" uri="{C3380CC4-5D6E-409C-BE32-E72D297353CC}">
              <c16:uniqueId val="{00000005-218B-E448-B625-A4FAD062923C}"/>
            </c:ext>
          </c:extLst>
        </c:ser>
        <c:ser>
          <c:idx val="2"/>
          <c:order val="4"/>
          <c:tx>
            <c:strRef>
              <c:f>'Back-end'!$H$117</c:f>
              <c:strCache>
                <c:ptCount val="1"/>
                <c:pt idx="0">
                  <c:v>Climate and grid corrected asset performance</c:v>
                </c:pt>
              </c:strCache>
            </c:strRef>
          </c:tx>
          <c:spPr>
            <a:ln w="19050" cap="rnd">
              <a:solidFill>
                <a:schemeClr val="tx1">
                  <a:lumMod val="85000"/>
                  <a:lumOff val="15000"/>
                </a:schemeClr>
              </a:solidFill>
              <a:round/>
            </a:ln>
            <a:effectLst/>
          </c:spPr>
          <c:marker>
            <c:symbol val="none"/>
          </c:marker>
          <c:cat>
            <c:numRef>
              <c:f>'Back-end'!$E$16:$AI$16</c:f>
              <c:numCache>
                <c:formatCode>General</c:formatCode>
                <c:ptCount val="3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numCache>
            </c:numRef>
          </c:cat>
          <c:val>
            <c:numRef>
              <c:f>'Back-end'!$E$13:$AI$13</c:f>
              <c:numCache>
                <c:formatCode>#,##0.00</c:formatCode>
                <c:ptCount val="31"/>
                <c:pt idx="0">
                  <c:v>131.33706101799882</c:v>
                </c:pt>
                <c:pt idx="1">
                  <c:v>126.14269048741993</c:v>
                </c:pt>
                <c:pt idx="2">
                  <c:v>121.20387052894193</c:v>
                </c:pt>
                <c:pt idx="3">
                  <c:v>116.50776961111555</c:v>
                </c:pt>
                <c:pt idx="4">
                  <c:v>112.04220010322707</c:v>
                </c:pt>
                <c:pt idx="5">
                  <c:v>107.79558601772283</c:v>
                </c:pt>
                <c:pt idx="6">
                  <c:v>103.75693236570409</c:v>
                </c:pt>
                <c:pt idx="7">
                  <c:v>99.915796044989833</c:v>
                </c:pt>
                <c:pt idx="8">
                  <c:v>96.262258184253369</c:v>
                </c:pt>
                <c:pt idx="9">
                  <c:v>92.786897870548728</c:v>
                </c:pt>
                <c:pt idx="10">
                  <c:v>89.480767191162201</c:v>
                </c:pt>
                <c:pt idx="11">
                  <c:v>86.335367524166301</c:v>
                </c:pt>
                <c:pt idx="12">
                  <c:v>83.342627015322108</c:v>
                </c:pt>
                <c:pt idx="13">
                  <c:v>80.494879182083309</c:v>
                </c:pt>
                <c:pt idx="14">
                  <c:v>77.784842588407486</c:v>
                </c:pt>
                <c:pt idx="15">
                  <c:v>75.205601536886576</c:v>
                </c:pt>
                <c:pt idx="16">
                  <c:v>72.750587727373798</c:v>
                </c:pt>
                <c:pt idx="17">
                  <c:v>70.413562833819171</c:v>
                </c:pt>
                <c:pt idx="18">
                  <c:v>68.188601953431956</c:v>
                </c:pt>
                <c:pt idx="19">
                  <c:v>66.070077884577699</c:v>
                </c:pt>
                <c:pt idx="20">
                  <c:v>64.052646191990092</c:v>
                </c:pt>
                <c:pt idx="21">
                  <c:v>62.131231019945218</c:v>
                </c:pt>
                <c:pt idx="22">
                  <c:v>60.301011616007237</c:v>
                </c:pt>
                <c:pt idx="23">
                  <c:v>58.557409529821612</c:v>
                </c:pt>
                <c:pt idx="24">
                  <c:v>56.896076453202767</c:v>
                </c:pt>
                <c:pt idx="25">
                  <c:v>55.312882669448449</c:v>
                </c:pt>
                <c:pt idx="26">
                  <c:v>53.80390608141326</c:v>
                </c:pt>
                <c:pt idx="27">
                  <c:v>52.365421789394063</c:v>
                </c:pt>
                <c:pt idx="28">
                  <c:v>50.993892191325315</c:v>
                </c:pt>
                <c:pt idx="29">
                  <c:v>49.685957579155399</c:v>
                </c:pt>
                <c:pt idx="30">
                  <c:v>48.43842720657927</c:v>
                </c:pt>
              </c:numCache>
            </c:numRef>
          </c:val>
          <c:smooth val="0"/>
          <c:extLst>
            <c:ext xmlns:c16="http://schemas.microsoft.com/office/drawing/2014/chart" uri="{C3380CC4-5D6E-409C-BE32-E72D297353CC}">
              <c16:uniqueId val="{00000006-218B-E448-B625-A4FAD062923C}"/>
            </c:ext>
          </c:extLst>
        </c:ser>
        <c:dLbls>
          <c:showLegendKey val="0"/>
          <c:showVal val="0"/>
          <c:showCatName val="0"/>
          <c:showSerName val="0"/>
          <c:showPercent val="0"/>
          <c:showBubbleSize val="0"/>
        </c:dLbls>
        <c:marker val="1"/>
        <c:smooth val="0"/>
        <c:axId val="604615272"/>
        <c:axId val="604615600"/>
      </c:lineChart>
      <c:scatterChart>
        <c:scatterStyle val="lineMarker"/>
        <c:varyColors val="0"/>
        <c:ser>
          <c:idx val="3"/>
          <c:order val="5"/>
          <c:tx>
            <c:v>Stranding</c:v>
          </c:tx>
          <c:spPr>
            <a:ln w="19050" cap="rnd">
              <a:solidFill>
                <a:schemeClr val="bg1"/>
              </a:solidFill>
              <a:round/>
            </a:ln>
            <a:effectLst/>
          </c:spPr>
          <c:marker>
            <c:symbol val="circle"/>
            <c:size val="17"/>
            <c:spPr>
              <a:noFill/>
              <a:ln w="15875">
                <a:solidFill>
                  <a:srgbClr val="FF0000"/>
                </a:solidFill>
              </a:ln>
              <a:effectLst/>
            </c:spPr>
          </c:marker>
          <c:xVal>
            <c:numRef>
              <c:f>'Back-end'!$O$113</c:f>
              <c:numCache>
                <c:formatCode>0.0</c:formatCode>
                <c:ptCount val="1"/>
                <c:pt idx="0">
                  <c:v>4.3907561627054292</c:v>
                </c:pt>
              </c:numCache>
            </c:numRef>
          </c:xVal>
          <c:yVal>
            <c:numRef>
              <c:f>'Back-end'!$N$112</c:f>
              <c:numCache>
                <c:formatCode>0.0</c:formatCode>
                <c:ptCount val="1"/>
                <c:pt idx="0">
                  <c:v>114.10199795491097</c:v>
                </c:pt>
              </c:numCache>
            </c:numRef>
          </c:yVal>
          <c:smooth val="0"/>
          <c:extLst>
            <c:ext xmlns:c16="http://schemas.microsoft.com/office/drawing/2014/chart" uri="{C3380CC4-5D6E-409C-BE32-E72D297353CC}">
              <c16:uniqueId val="{00000007-218B-E448-B625-A4FAD062923C}"/>
            </c:ext>
          </c:extLst>
        </c:ser>
        <c:ser>
          <c:idx val="6"/>
          <c:order val="6"/>
          <c:tx>
            <c:strRef>
              <c:f>'Back-end'!$A$21</c:f>
              <c:strCache>
                <c:ptCount val="1"/>
                <c:pt idx="0">
                  <c:v>2020 Performance</c:v>
                </c:pt>
              </c:strCache>
            </c:strRef>
          </c:tx>
          <c:spPr>
            <a:ln w="19050" cap="rnd">
              <a:noFill/>
              <a:round/>
            </a:ln>
            <a:effectLst/>
          </c:spPr>
          <c:marker>
            <c:symbol val="diamond"/>
            <c:size val="9"/>
            <c:spPr>
              <a:solidFill>
                <a:schemeClr val="tx1">
                  <a:lumMod val="85000"/>
                  <a:lumOff val="15000"/>
                </a:schemeClr>
              </a:solidFill>
              <a:ln w="9525">
                <a:noFill/>
              </a:ln>
              <a:effectLst/>
            </c:spPr>
          </c:marker>
          <c:xVal>
            <c:numRef>
              <c:f>'Back-end'!$I$118</c:f>
              <c:numCache>
                <c:formatCode>General</c:formatCode>
                <c:ptCount val="1"/>
                <c:pt idx="0">
                  <c:v>1</c:v>
                </c:pt>
              </c:numCache>
            </c:numRef>
          </c:xVal>
          <c:yVal>
            <c:numRef>
              <c:f>'Back-end'!$K$118</c:f>
              <c:numCache>
                <c:formatCode>General</c:formatCode>
                <c:ptCount val="1"/>
                <c:pt idx="0">
                  <c:v>131.33706101799882</c:v>
                </c:pt>
              </c:numCache>
            </c:numRef>
          </c:yVal>
          <c:smooth val="0"/>
          <c:extLst>
            <c:ext xmlns:c16="http://schemas.microsoft.com/office/drawing/2014/chart" uri="{C3380CC4-5D6E-409C-BE32-E72D297353CC}">
              <c16:uniqueId val="{00000008-218B-E448-B625-A4FAD062923C}"/>
            </c:ext>
          </c:extLst>
        </c:ser>
        <c:ser>
          <c:idx val="7"/>
          <c:order val="7"/>
          <c:tx>
            <c:v>2018 Performance</c:v>
          </c:tx>
          <c:spPr>
            <a:ln w="25400" cap="rnd">
              <a:solidFill>
                <a:schemeClr val="bg1">
                  <a:lumMod val="50000"/>
                </a:schemeClr>
              </a:solidFill>
              <a:prstDash val="sysDot"/>
              <a:round/>
            </a:ln>
            <a:effectLst/>
          </c:spPr>
          <c:marker>
            <c:symbol val="circle"/>
            <c:size val="8"/>
            <c:spPr>
              <a:noFill/>
              <a:ln w="15875">
                <a:noFill/>
              </a:ln>
              <a:effectLst/>
            </c:spPr>
          </c:marker>
          <c:xVal>
            <c:numRef>
              <c:f>'Back-end'!$C$1:$D$1</c:f>
              <c:numCache>
                <c:formatCode>General</c:formatCode>
                <c:ptCount val="2"/>
                <c:pt idx="0">
                  <c:v>1</c:v>
                </c:pt>
                <c:pt idx="1">
                  <c:v>2</c:v>
                </c:pt>
              </c:numCache>
            </c:numRef>
          </c:xVal>
          <c:yVal>
            <c:numRef>
              <c:f>'Back-end'!$B$222:$B$223</c:f>
              <c:numCache>
                <c:formatCode>General</c:formatCode>
                <c:ptCount val="2"/>
                <c:pt idx="0">
                  <c:v>#N/A</c:v>
                </c:pt>
                <c:pt idx="1">
                  <c:v>#N/A</c:v>
                </c:pt>
              </c:numCache>
            </c:numRef>
          </c:yVal>
          <c:smooth val="0"/>
          <c:extLst>
            <c:ext xmlns:c16="http://schemas.microsoft.com/office/drawing/2014/chart" uri="{C3380CC4-5D6E-409C-BE32-E72D297353CC}">
              <c16:uniqueId val="{00000009-218B-E448-B625-A4FAD062923C}"/>
            </c:ext>
          </c:extLst>
        </c:ser>
        <c:ser>
          <c:idx val="8"/>
          <c:order val="8"/>
          <c:tx>
            <c:v>2018 Performance</c:v>
          </c:tx>
          <c:spPr>
            <a:ln w="19050" cap="rnd">
              <a:noFill/>
              <a:round/>
            </a:ln>
            <a:effectLst/>
          </c:spPr>
          <c:marker>
            <c:symbol val="diamond"/>
            <c:size val="8"/>
            <c:spPr>
              <a:solidFill>
                <a:schemeClr val="bg1"/>
              </a:solidFill>
              <a:ln w="15875">
                <a:solidFill>
                  <a:schemeClr val="tx1"/>
                </a:solidFill>
              </a:ln>
              <a:effectLst/>
            </c:spPr>
          </c:marker>
          <c:dPt>
            <c:idx val="0"/>
            <c:marker>
              <c:symbol val="diamond"/>
              <c:size val="8"/>
              <c:spPr>
                <a:solidFill>
                  <a:schemeClr val="bg1"/>
                </a:solidFill>
                <a:ln w="15875">
                  <a:solidFill>
                    <a:schemeClr val="tx1"/>
                  </a:solidFill>
                </a:ln>
                <a:effectLst/>
              </c:spPr>
            </c:marker>
            <c:bubble3D val="0"/>
            <c:extLst>
              <c:ext xmlns:c16="http://schemas.microsoft.com/office/drawing/2014/chart" uri="{C3380CC4-5D6E-409C-BE32-E72D297353CC}">
                <c16:uniqueId val="{0000000A-218B-E448-B625-A4FAD062923C}"/>
              </c:ext>
            </c:extLst>
          </c:dPt>
          <c:xVal>
            <c:numLit>
              <c:formatCode>General</c:formatCode>
              <c:ptCount val="1"/>
              <c:pt idx="0">
                <c:v>1</c:v>
              </c:pt>
            </c:numLit>
          </c:xVal>
          <c:yVal>
            <c:numRef>
              <c:f>'Back-end'!$B$222</c:f>
              <c:numCache>
                <c:formatCode>General</c:formatCode>
                <c:ptCount val="1"/>
                <c:pt idx="0">
                  <c:v>#N/A</c:v>
                </c:pt>
              </c:numCache>
            </c:numRef>
          </c:yVal>
          <c:smooth val="0"/>
          <c:extLst>
            <c:ext xmlns:c16="http://schemas.microsoft.com/office/drawing/2014/chart" uri="{C3380CC4-5D6E-409C-BE32-E72D297353CC}">
              <c16:uniqueId val="{0000000B-218B-E448-B625-A4FAD062923C}"/>
            </c:ext>
          </c:extLst>
        </c:ser>
        <c:ser>
          <c:idx val="9"/>
          <c:order val="9"/>
          <c:tx>
            <c:v>Past performance</c:v>
          </c:tx>
          <c:spPr>
            <a:ln w="19050" cap="rnd">
              <a:solidFill>
                <a:schemeClr val="tx1"/>
              </a:solidFill>
              <a:prstDash val="sysDot"/>
              <a:round/>
            </a:ln>
            <a:effectLst/>
          </c:spPr>
          <c:marker>
            <c:symbol val="none"/>
          </c:marker>
          <c:dPt>
            <c:idx val="0"/>
            <c:marker>
              <c:symbol val="none"/>
            </c:marker>
            <c:bubble3D val="0"/>
            <c:spPr>
              <a:ln w="19050" cap="rnd">
                <a:solidFill>
                  <a:schemeClr val="bg1">
                    <a:lumMod val="50000"/>
                  </a:schemeClr>
                </a:solidFill>
                <a:prstDash val="sysDot"/>
                <a:round/>
              </a:ln>
              <a:effectLst/>
            </c:spPr>
            <c:extLst>
              <c:ext xmlns:c16="http://schemas.microsoft.com/office/drawing/2014/chart" uri="{C3380CC4-5D6E-409C-BE32-E72D297353CC}">
                <c16:uniqueId val="{0000000D-218B-E448-B625-A4FAD062923C}"/>
              </c:ext>
            </c:extLst>
          </c:dPt>
          <c:dPt>
            <c:idx val="1"/>
            <c:marker>
              <c:symbol val="none"/>
            </c:marker>
            <c:bubble3D val="0"/>
            <c:spPr>
              <a:ln w="19050" cap="rnd">
                <a:solidFill>
                  <a:schemeClr val="bg1">
                    <a:lumMod val="50000"/>
                  </a:schemeClr>
                </a:solidFill>
                <a:prstDash val="sysDot"/>
                <a:round/>
              </a:ln>
              <a:effectLst/>
            </c:spPr>
            <c:extLst>
              <c:ext xmlns:c16="http://schemas.microsoft.com/office/drawing/2014/chart" uri="{C3380CC4-5D6E-409C-BE32-E72D297353CC}">
                <c16:uniqueId val="{0000000F-218B-E448-B625-A4FAD062923C}"/>
              </c:ext>
            </c:extLst>
          </c:dPt>
          <c:xVal>
            <c:numRef>
              <c:f>'Back-end'!$D$1:$E$1</c:f>
              <c:numCache>
                <c:formatCode>General</c:formatCode>
                <c:ptCount val="2"/>
                <c:pt idx="0">
                  <c:v>2</c:v>
                </c:pt>
                <c:pt idx="1">
                  <c:v>3</c:v>
                </c:pt>
              </c:numCache>
            </c:numRef>
          </c:xVal>
          <c:yVal>
            <c:numRef>
              <c:f>'Back-end'!$F$222:$F$223</c:f>
              <c:numCache>
                <c:formatCode>General</c:formatCode>
                <c:ptCount val="2"/>
                <c:pt idx="0">
                  <c:v>#N/A</c:v>
                </c:pt>
                <c:pt idx="1">
                  <c:v>#N/A</c:v>
                </c:pt>
              </c:numCache>
            </c:numRef>
          </c:yVal>
          <c:smooth val="0"/>
          <c:extLst>
            <c:ext xmlns:c16="http://schemas.microsoft.com/office/drawing/2014/chart" uri="{C3380CC4-5D6E-409C-BE32-E72D297353CC}">
              <c16:uniqueId val="{00000010-218B-E448-B625-A4FAD062923C}"/>
            </c:ext>
          </c:extLst>
        </c:ser>
        <c:dLbls>
          <c:showLegendKey val="0"/>
          <c:showVal val="0"/>
          <c:showCatName val="0"/>
          <c:showSerName val="0"/>
          <c:showPercent val="0"/>
          <c:showBubbleSize val="0"/>
        </c:dLbls>
        <c:axId val="604615272"/>
        <c:axId val="604615600"/>
      </c:scatterChart>
      <c:catAx>
        <c:axId val="60461527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de-DE" sz="1050" b="1"/>
                  <a:t>Year</a:t>
                </a:r>
              </a:p>
            </c:rich>
          </c:tx>
          <c:layout>
            <c:manualLayout>
              <c:xMode val="edge"/>
              <c:yMode val="edge"/>
              <c:x val="0.46995662633622326"/>
              <c:y val="0.77873383806986651"/>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bg1">
                <a:lumMod val="85000"/>
              </a:schemeClr>
            </a:solidFill>
            <a:round/>
          </a:ln>
          <a:effectLst/>
        </c:spPr>
        <c:txPr>
          <a:bodyPr rot="-5400000" spcFirstLastPara="1" vertOverflow="ellipsis"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604615600"/>
        <c:crosses val="autoZero"/>
        <c:auto val="1"/>
        <c:lblAlgn val="ctr"/>
        <c:lblOffset val="100"/>
        <c:noMultiLvlLbl val="1"/>
      </c:catAx>
      <c:valAx>
        <c:axId val="604615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de-DE" b="1"/>
                  <a:t>GHG intensity [kgCO</a:t>
                </a:r>
                <a:r>
                  <a:rPr lang="de-DE" b="1" baseline="-25000"/>
                  <a:t>2</a:t>
                </a:r>
                <a:r>
                  <a:rPr lang="de-DE" b="1"/>
                  <a:t>e/m²/yr]</a:t>
                </a:r>
              </a:p>
            </c:rich>
          </c:tx>
          <c:layout>
            <c:manualLayout>
              <c:xMode val="edge"/>
              <c:yMode val="edge"/>
              <c:x val="2.8118232286188042E-3"/>
              <c:y val="0.23091884675945659"/>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604615272"/>
        <c:crosses val="autoZero"/>
        <c:crossBetween val="between"/>
      </c:valAx>
      <c:spPr>
        <a:noFill/>
        <a:ln w="6350">
          <a:solidFill>
            <a:schemeClr val="bg1">
              <a:lumMod val="85000"/>
            </a:schemeClr>
          </a:solidFill>
        </a:ln>
        <a:effectLst/>
      </c:spPr>
    </c:plotArea>
    <c:legend>
      <c:legendPos val="l"/>
      <c:legendEntry>
        <c:idx val="1"/>
        <c:delete val="1"/>
      </c:legendEntry>
      <c:legendEntry>
        <c:idx val="7"/>
        <c:delete val="1"/>
      </c:legendEntry>
      <c:legendEntry>
        <c:idx val="8"/>
        <c:delete val="1"/>
      </c:legendEntry>
      <c:layout>
        <c:manualLayout>
          <c:xMode val="edge"/>
          <c:yMode val="edge"/>
          <c:x val="6.8923830482262513E-3"/>
          <c:y val="0.82342200657204334"/>
          <c:w val="0.96169778216023061"/>
          <c:h val="0.1451568808319254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0"/>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68185383337935"/>
          <c:y val="1.9637593540287438E-2"/>
          <c:w val="0.84635880448166012"/>
          <c:h val="0.60607796906742595"/>
        </c:manualLayout>
      </c:layout>
      <c:areaChart>
        <c:grouping val="stacked"/>
        <c:varyColors val="0"/>
        <c:ser>
          <c:idx val="5"/>
          <c:order val="0"/>
          <c:tx>
            <c:strRef>
              <c:f>'Back-end'!$A$19</c:f>
              <c:strCache>
                <c:ptCount val="1"/>
                <c:pt idx="0">
                  <c:v>Excess dummy low</c:v>
                </c:pt>
              </c:strCache>
            </c:strRef>
          </c:tx>
          <c:spPr>
            <a:noFill/>
            <a:ln>
              <a:noFill/>
            </a:ln>
            <a:effectLst/>
          </c:spPr>
          <c:cat>
            <c:numRef>
              <c:f>'Back-end'!$E$16:$AI$16</c:f>
              <c:numCache>
                <c:formatCode>General</c:formatCode>
                <c:ptCount val="3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numCache>
            </c:numRef>
          </c:cat>
          <c:val>
            <c:numRef>
              <c:f>'Back-end'!$E$19:$AI$19</c:f>
              <c:numCache>
                <c:formatCode>0</c:formatCode>
                <c:ptCount val="31"/>
                <c:pt idx="0">
                  <c:v>154.78346185074767</c:v>
                </c:pt>
                <c:pt idx="1">
                  <c:v>145.02871211703416</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18.093612920339666</c:v>
                </c:pt>
                <c:pt idx="17">
                  <c:v>14.260100502056932</c:v>
                </c:pt>
                <c:pt idx="18">
                  <c:v>10.942897804717104</c:v>
                </c:pt>
                <c:pt idx="19">
                  <c:v>8.331035282185562</c:v>
                </c:pt>
                <c:pt idx="20">
                  <c:v>6.275343265276252</c:v>
                </c:pt>
                <c:pt idx="21">
                  <c:v>5.1238465870428751</c:v>
                </c:pt>
                <c:pt idx="22">
                  <c:v>4.2603561055597154</c:v>
                </c:pt>
                <c:pt idx="23">
                  <c:v>3.5184768925970755</c:v>
                </c:pt>
                <c:pt idx="24">
                  <c:v>2.8868963451156451</c:v>
                </c:pt>
                <c:pt idx="25">
                  <c:v>2.3134670994657283</c:v>
                </c:pt>
                <c:pt idx="26">
                  <c:v>1.9038369336872649</c:v>
                </c:pt>
                <c:pt idx="27">
                  <c:v>1.5236625104738937</c:v>
                </c:pt>
                <c:pt idx="28">
                  <c:v>1.1965974900278744</c:v>
                </c:pt>
                <c:pt idx="29">
                  <c:v>0.90576340463593841</c:v>
                </c:pt>
                <c:pt idx="30">
                  <c:v>0.63863461997307935</c:v>
                </c:pt>
              </c:numCache>
            </c:numRef>
          </c:val>
          <c:extLst>
            <c:ext xmlns:c16="http://schemas.microsoft.com/office/drawing/2014/chart" uri="{C3380CC4-5D6E-409C-BE32-E72D297353CC}">
              <c16:uniqueId val="{00000000-90FA-4DB9-A654-D3A2516136DC}"/>
            </c:ext>
          </c:extLst>
        </c:ser>
        <c:ser>
          <c:idx val="4"/>
          <c:order val="1"/>
          <c:tx>
            <c:strRef>
              <c:f>'Back-end'!$A$17</c:f>
              <c:strCache>
                <c:ptCount val="1"/>
                <c:pt idx="0">
                  <c:v>Excess emissions</c:v>
                </c:pt>
              </c:strCache>
            </c:strRef>
          </c:tx>
          <c:spPr>
            <a:solidFill>
              <a:schemeClr val="accent1">
                <a:alpha val="60000"/>
              </a:schemeClr>
            </a:solidFill>
            <a:ln>
              <a:noFill/>
            </a:ln>
            <a:effectLst/>
          </c:spPr>
          <c:cat>
            <c:numRef>
              <c:f>'Back-end'!$E$16:$AI$16</c:f>
              <c:numCache>
                <c:formatCode>General</c:formatCode>
                <c:ptCount val="3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numCache>
            </c:numRef>
          </c:cat>
          <c:val>
            <c:numRef>
              <c:f>'Back-end'!$E$20:$AI$20</c:f>
              <c:numCache>
                <c:formatCode>0</c:formatCode>
                <c:ptCount val="3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2.7850462409527736</c:v>
                </c:pt>
                <c:pt idx="18">
                  <c:v>5.2458040472215384</c:v>
                </c:pt>
                <c:pt idx="19">
                  <c:v>7.0443600642709878</c:v>
                </c:pt>
                <c:pt idx="20">
                  <c:v>8.3277133265685332</c:v>
                </c:pt>
                <c:pt idx="21">
                  <c:v>8.7457774315009402</c:v>
                </c:pt>
                <c:pt idx="22">
                  <c:v>8.9127835451164366</c:v>
                </c:pt>
                <c:pt idx="23">
                  <c:v>8.9932670159941601</c:v>
                </c:pt>
                <c:pt idx="24">
                  <c:v>8.9967743266180698</c:v>
                </c:pt>
                <c:pt idx="25">
                  <c:v>8.9737754893549386</c:v>
                </c:pt>
                <c:pt idx="26">
                  <c:v>8.8170296892748841</c:v>
                </c:pt>
                <c:pt idx="27">
                  <c:v>8.6593673095027786</c:v>
                </c:pt>
                <c:pt idx="28">
                  <c:v>8.4756977987118436</c:v>
                </c:pt>
                <c:pt idx="29">
                  <c:v>8.2815349783241317</c:v>
                </c:pt>
                <c:pt idx="30">
                  <c:v>8.0881084543355062</c:v>
                </c:pt>
              </c:numCache>
            </c:numRef>
          </c:val>
          <c:extLst>
            <c:ext xmlns:c16="http://schemas.microsoft.com/office/drawing/2014/chart" uri="{C3380CC4-5D6E-409C-BE32-E72D297353CC}">
              <c16:uniqueId val="{00000001-90FA-4DB9-A654-D3A2516136DC}"/>
            </c:ext>
          </c:extLst>
        </c:ser>
        <c:dLbls>
          <c:showLegendKey val="0"/>
          <c:showVal val="0"/>
          <c:showCatName val="0"/>
          <c:showSerName val="0"/>
          <c:showPercent val="0"/>
          <c:showBubbleSize val="0"/>
        </c:dLbls>
        <c:axId val="604615272"/>
        <c:axId val="604615600"/>
      </c:areaChart>
      <c:lineChart>
        <c:grouping val="standard"/>
        <c:varyColors val="0"/>
        <c:ser>
          <c:idx val="0"/>
          <c:order val="2"/>
          <c:tx>
            <c:v>Decarbonisation target</c:v>
          </c:tx>
          <c:spPr>
            <a:ln w="19050" cap="rnd">
              <a:solidFill>
                <a:schemeClr val="accent6"/>
              </a:solidFill>
              <a:round/>
            </a:ln>
            <a:effectLst/>
          </c:spPr>
          <c:marker>
            <c:symbol val="none"/>
          </c:marker>
          <c:cat>
            <c:numRef>
              <c:f>'Back-end'!$E$16:$AI$16</c:f>
              <c:numCache>
                <c:formatCode>General</c:formatCode>
                <c:ptCount val="3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numCache>
            </c:numRef>
          </c:cat>
          <c:val>
            <c:numRef>
              <c:f>'Back-end'!$E$4:$AI$4</c:f>
              <c:numCache>
                <c:formatCode>0.0</c:formatCode>
                <c:ptCount val="31"/>
                <c:pt idx="0">
                  <c:v>154.78346185074767</c:v>
                </c:pt>
                <c:pt idx="1">
                  <c:v>145.02871211703416</c:v>
                </c:pt>
                <c:pt idx="2">
                  <c:v>131.8888204443781</c:v>
                </c:pt>
                <c:pt idx="3">
                  <c:v>119.37638185330967</c:v>
                </c:pt>
                <c:pt idx="4">
                  <c:v>107.56963000210868</c:v>
                </c:pt>
                <c:pt idx="5">
                  <c:v>96.859806225900527</c:v>
                </c:pt>
                <c:pt idx="6">
                  <c:v>86.145338145042331</c:v>
                </c:pt>
                <c:pt idx="7">
                  <c:v>76.50678479463798</c:v>
                </c:pt>
                <c:pt idx="8">
                  <c:v>67.558687132761548</c:v>
                </c:pt>
                <c:pt idx="9">
                  <c:v>59.277148512624017</c:v>
                </c:pt>
                <c:pt idx="10">
                  <c:v>51.405693719174145</c:v>
                </c:pt>
                <c:pt idx="11">
                  <c:v>44.809031340208989</c:v>
                </c:pt>
                <c:pt idx="12">
                  <c:v>38.525661552806881</c:v>
                </c:pt>
                <c:pt idx="13">
                  <c:v>32.757923818120787</c:v>
                </c:pt>
                <c:pt idx="14">
                  <c:v>27.47539555313989</c:v>
                </c:pt>
                <c:pt idx="15">
                  <c:v>22.663442394715133</c:v>
                </c:pt>
                <c:pt idx="16">
                  <c:v>18.240210361215798</c:v>
                </c:pt>
                <c:pt idx="17">
                  <c:v>14.260100502056932</c:v>
                </c:pt>
                <c:pt idx="18">
                  <c:v>10.942897804717104</c:v>
                </c:pt>
                <c:pt idx="19">
                  <c:v>8.331035282185562</c:v>
                </c:pt>
                <c:pt idx="20">
                  <c:v>6.275343265276252</c:v>
                </c:pt>
                <c:pt idx="21">
                  <c:v>5.1238465870428751</c:v>
                </c:pt>
                <c:pt idx="22">
                  <c:v>4.2603561055597154</c:v>
                </c:pt>
                <c:pt idx="23">
                  <c:v>3.5184768925970755</c:v>
                </c:pt>
                <c:pt idx="24">
                  <c:v>2.8868963451156451</c:v>
                </c:pt>
                <c:pt idx="25">
                  <c:v>2.3134670994657283</c:v>
                </c:pt>
                <c:pt idx="26">
                  <c:v>1.9038369336872649</c:v>
                </c:pt>
                <c:pt idx="27">
                  <c:v>1.5236625104738937</c:v>
                </c:pt>
                <c:pt idx="28">
                  <c:v>1.1965974900278744</c:v>
                </c:pt>
                <c:pt idx="29">
                  <c:v>0.90576340463593841</c:v>
                </c:pt>
                <c:pt idx="30">
                  <c:v>0.63863461997307935</c:v>
                </c:pt>
              </c:numCache>
            </c:numRef>
          </c:val>
          <c:smooth val="0"/>
          <c:extLst>
            <c:ext xmlns:c16="http://schemas.microsoft.com/office/drawing/2014/chart" uri="{C3380CC4-5D6E-409C-BE32-E72D297353CC}">
              <c16:uniqueId val="{00000002-90FA-4DB9-A654-D3A2516136DC}"/>
            </c:ext>
          </c:extLst>
        </c:ser>
        <c:ser>
          <c:idx val="1"/>
          <c:order val="3"/>
          <c:tx>
            <c:v>Baseline asset performance</c:v>
          </c:tx>
          <c:spPr>
            <a:ln w="12700" cap="rnd">
              <a:solidFill>
                <a:schemeClr val="tx1">
                  <a:lumMod val="75000"/>
                  <a:lumOff val="25000"/>
                </a:schemeClr>
              </a:solidFill>
              <a:prstDash val="dash"/>
              <a:round/>
            </a:ln>
            <a:effectLst/>
          </c:spPr>
          <c:marker>
            <c:symbol val="none"/>
          </c:marker>
          <c:dPt>
            <c:idx val="0"/>
            <c:marker>
              <c:symbol val="diamond"/>
              <c:size val="9"/>
              <c:spPr>
                <a:solidFill>
                  <a:schemeClr val="tx1">
                    <a:lumMod val="85000"/>
                    <a:lumOff val="15000"/>
                  </a:schemeClr>
                </a:solidFill>
                <a:ln w="9525">
                  <a:noFill/>
                </a:ln>
                <a:effectLst/>
              </c:spPr>
            </c:marker>
            <c:bubble3D val="0"/>
            <c:spPr>
              <a:ln w="19050" cap="rnd">
                <a:noFill/>
                <a:round/>
              </a:ln>
              <a:effectLst/>
            </c:spPr>
            <c:extLst>
              <c:ext xmlns:c16="http://schemas.microsoft.com/office/drawing/2014/chart" uri="{C3380CC4-5D6E-409C-BE32-E72D297353CC}">
                <c16:uniqueId val="{00000004-90FA-4DB9-A654-D3A2516136DC}"/>
              </c:ext>
            </c:extLst>
          </c:dPt>
          <c:cat>
            <c:numRef>
              <c:f>'Back-end'!$E$16:$AI$16</c:f>
              <c:numCache>
                <c:formatCode>General</c:formatCode>
                <c:ptCount val="3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numCache>
            </c:numRef>
          </c:cat>
          <c:val>
            <c:numRef>
              <c:f>'Back-end'!$E$5:$AI$5</c:f>
              <c:numCache>
                <c:formatCode>#,##0.00</c:formatCode>
                <c:ptCount val="31"/>
                <c:pt idx="0">
                  <c:v>#N/A</c:v>
                </c:pt>
                <c:pt idx="1">
                  <c:v>#N/A</c:v>
                </c:pt>
                <c:pt idx="2">
                  <c:v>36.95428367059499</c:v>
                </c:pt>
                <c:pt idx="3">
                  <c:v>36.95428367059499</c:v>
                </c:pt>
                <c:pt idx="4">
                  <c:v>36.95428367059499</c:v>
                </c:pt>
                <c:pt idx="5">
                  <c:v>36.95428367059499</c:v>
                </c:pt>
                <c:pt idx="6">
                  <c:v>36.95428367059499</c:v>
                </c:pt>
                <c:pt idx="7">
                  <c:v>36.95428367059499</c:v>
                </c:pt>
                <c:pt idx="8">
                  <c:v>36.95428367059499</c:v>
                </c:pt>
                <c:pt idx="9">
                  <c:v>36.95428367059499</c:v>
                </c:pt>
                <c:pt idx="10">
                  <c:v>36.95428367059499</c:v>
                </c:pt>
                <c:pt idx="11">
                  <c:v>36.95428367059499</c:v>
                </c:pt>
                <c:pt idx="12">
                  <c:v>36.95428367059499</c:v>
                </c:pt>
                <c:pt idx="13">
                  <c:v>36.95428367059499</c:v>
                </c:pt>
                <c:pt idx="14">
                  <c:v>36.95428367059499</c:v>
                </c:pt>
                <c:pt idx="15">
                  <c:v>36.95428367059499</c:v>
                </c:pt>
                <c:pt idx="16">
                  <c:v>36.95428367059499</c:v>
                </c:pt>
                <c:pt idx="17">
                  <c:v>36.95428367059499</c:v>
                </c:pt>
                <c:pt idx="18">
                  <c:v>36.95428367059499</c:v>
                </c:pt>
                <c:pt idx="19">
                  <c:v>36.95428367059499</c:v>
                </c:pt>
                <c:pt idx="20">
                  <c:v>36.95428367059499</c:v>
                </c:pt>
                <c:pt idx="21">
                  <c:v>36.95428367059499</c:v>
                </c:pt>
                <c:pt idx="22">
                  <c:v>36.95428367059499</c:v>
                </c:pt>
                <c:pt idx="23">
                  <c:v>36.95428367059499</c:v>
                </c:pt>
                <c:pt idx="24">
                  <c:v>36.95428367059499</c:v>
                </c:pt>
                <c:pt idx="25">
                  <c:v>36.95428367059499</c:v>
                </c:pt>
                <c:pt idx="26">
                  <c:v>36.95428367059499</c:v>
                </c:pt>
                <c:pt idx="27">
                  <c:v>36.95428367059499</c:v>
                </c:pt>
                <c:pt idx="28">
                  <c:v>36.95428367059499</c:v>
                </c:pt>
                <c:pt idx="29">
                  <c:v>36.95428367059499</c:v>
                </c:pt>
                <c:pt idx="30">
                  <c:v>36.95428367059499</c:v>
                </c:pt>
              </c:numCache>
            </c:numRef>
          </c:val>
          <c:smooth val="0"/>
          <c:extLst>
            <c:ext xmlns:c16="http://schemas.microsoft.com/office/drawing/2014/chart" uri="{C3380CC4-5D6E-409C-BE32-E72D297353CC}">
              <c16:uniqueId val="{00000005-90FA-4DB9-A654-D3A2516136DC}"/>
            </c:ext>
          </c:extLst>
        </c:ser>
        <c:ser>
          <c:idx val="2"/>
          <c:order val="4"/>
          <c:tx>
            <c:strRef>
              <c:f>'Back-end'!$H$117</c:f>
              <c:strCache>
                <c:ptCount val="1"/>
                <c:pt idx="0">
                  <c:v>Climate and grid corrected asset performance</c:v>
                </c:pt>
              </c:strCache>
            </c:strRef>
          </c:tx>
          <c:spPr>
            <a:ln w="19050" cap="rnd">
              <a:solidFill>
                <a:schemeClr val="tx1">
                  <a:lumMod val="85000"/>
                  <a:lumOff val="15000"/>
                </a:schemeClr>
              </a:solidFill>
              <a:round/>
            </a:ln>
            <a:effectLst/>
          </c:spPr>
          <c:marker>
            <c:symbol val="none"/>
          </c:marker>
          <c:cat>
            <c:numRef>
              <c:f>'Back-end'!$E$16:$AI$16</c:f>
              <c:numCache>
                <c:formatCode>General</c:formatCode>
                <c:ptCount val="3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numCache>
            </c:numRef>
          </c:cat>
          <c:val>
            <c:numRef>
              <c:f>'Back-end'!$E$13:$AI$13</c:f>
              <c:numCache>
                <c:formatCode>#,##0.00</c:formatCode>
                <c:ptCount val="31"/>
                <c:pt idx="0">
                  <c:v>#N/A</c:v>
                </c:pt>
                <c:pt idx="1">
                  <c:v>#N/A</c:v>
                </c:pt>
                <c:pt idx="2">
                  <c:v>36.95428367059499</c:v>
                </c:pt>
                <c:pt idx="3">
                  <c:v>35.095570629008584</c:v>
                </c:pt>
                <c:pt idx="4">
                  <c:v>33.330392767241371</c:v>
                </c:pt>
                <c:pt idx="5">
                  <c:v>31.654049152866019</c:v>
                </c:pt>
                <c:pt idx="6">
                  <c:v>30.062074751552132</c:v>
                </c:pt>
                <c:pt idx="7">
                  <c:v>28.550228609249643</c:v>
                </c:pt>
                <c:pt idx="8">
                  <c:v>27.114482625333441</c:v>
                </c:pt>
                <c:pt idx="9">
                  <c:v>25.751010887216442</c:v>
                </c:pt>
                <c:pt idx="10">
                  <c:v>24.456179538406492</c:v>
                </c:pt>
                <c:pt idx="11">
                  <c:v>23.226537153379123</c:v>
                </c:pt>
                <c:pt idx="12">
                  <c:v>22.058805593963633</c:v>
                </c:pt>
                <c:pt idx="13">
                  <c:v>20.949871323201219</c:v>
                </c:pt>
                <c:pt idx="14">
                  <c:v>19.896777153830943</c:v>
                </c:pt>
                <c:pt idx="15">
                  <c:v>18.896714409698518</c:v>
                </c:pt>
                <c:pt idx="16">
                  <c:v>17.947015479463534</c:v>
                </c:pt>
                <c:pt idx="17">
                  <c:v>17.045146743009706</c:v>
                </c:pt>
                <c:pt idx="18">
                  <c:v>16.188701851938642</c:v>
                </c:pt>
                <c:pt idx="19">
                  <c:v>15.37539534645655</c:v>
                </c:pt>
                <c:pt idx="20">
                  <c:v>14.603056591844785</c:v>
                </c:pt>
                <c:pt idx="21">
                  <c:v>13.869624018543815</c:v>
                </c:pt>
                <c:pt idx="22">
                  <c:v>13.173139650676152</c:v>
                </c:pt>
                <c:pt idx="23">
                  <c:v>12.511743908591235</c:v>
                </c:pt>
                <c:pt idx="24">
                  <c:v>11.883670671733714</c:v>
                </c:pt>
                <c:pt idx="25">
                  <c:v>11.287242588820668</c:v>
                </c:pt>
                <c:pt idx="26">
                  <c:v>10.720866622962149</c:v>
                </c:pt>
                <c:pt idx="27">
                  <c:v>10.183029819976673</c:v>
                </c:pt>
                <c:pt idx="28">
                  <c:v>9.6722952887397184</c:v>
                </c:pt>
                <c:pt idx="29">
                  <c:v>9.187298382960071</c:v>
                </c:pt>
                <c:pt idx="30">
                  <c:v>8.726743074308585</c:v>
                </c:pt>
              </c:numCache>
            </c:numRef>
          </c:val>
          <c:smooth val="0"/>
          <c:extLst>
            <c:ext xmlns:c16="http://schemas.microsoft.com/office/drawing/2014/chart" uri="{C3380CC4-5D6E-409C-BE32-E72D297353CC}">
              <c16:uniqueId val="{00000006-90FA-4DB9-A654-D3A2516136DC}"/>
            </c:ext>
          </c:extLst>
        </c:ser>
        <c:dLbls>
          <c:showLegendKey val="0"/>
          <c:showVal val="0"/>
          <c:showCatName val="0"/>
          <c:showSerName val="0"/>
          <c:showPercent val="0"/>
          <c:showBubbleSize val="0"/>
        </c:dLbls>
        <c:marker val="1"/>
        <c:smooth val="0"/>
        <c:axId val="604615272"/>
        <c:axId val="604615600"/>
      </c:lineChart>
      <c:scatterChart>
        <c:scatterStyle val="lineMarker"/>
        <c:varyColors val="0"/>
        <c:ser>
          <c:idx val="3"/>
          <c:order val="5"/>
          <c:tx>
            <c:v>Stranding</c:v>
          </c:tx>
          <c:spPr>
            <a:ln w="19050" cap="rnd">
              <a:solidFill>
                <a:schemeClr val="bg1"/>
              </a:solidFill>
              <a:round/>
            </a:ln>
            <a:effectLst/>
          </c:spPr>
          <c:marker>
            <c:symbol val="circle"/>
            <c:size val="17"/>
            <c:spPr>
              <a:noFill/>
              <a:ln w="15875">
                <a:solidFill>
                  <a:srgbClr val="FF0000"/>
                </a:solidFill>
              </a:ln>
              <a:effectLst/>
            </c:spPr>
          </c:marker>
          <c:xVal>
            <c:numRef>
              <c:f>'Back-end'!$O$113</c:f>
              <c:numCache>
                <c:formatCode>0.0</c:formatCode>
                <c:ptCount val="1"/>
                <c:pt idx="0">
                  <c:v>17.095247535870385</c:v>
                </c:pt>
              </c:numCache>
            </c:numRef>
          </c:xVal>
          <c:yVal>
            <c:numRef>
              <c:f>'Back-end'!$N$112</c:f>
              <c:numCache>
                <c:formatCode>0.0</c:formatCode>
                <c:ptCount val="1"/>
                <c:pt idx="0">
                  <c:v>15.91784938047685</c:v>
                </c:pt>
              </c:numCache>
            </c:numRef>
          </c:yVal>
          <c:smooth val="0"/>
          <c:extLst>
            <c:ext xmlns:c16="http://schemas.microsoft.com/office/drawing/2014/chart" uri="{C3380CC4-5D6E-409C-BE32-E72D297353CC}">
              <c16:uniqueId val="{00000007-90FA-4DB9-A654-D3A2516136DC}"/>
            </c:ext>
          </c:extLst>
        </c:ser>
        <c:ser>
          <c:idx val="6"/>
          <c:order val="6"/>
          <c:tx>
            <c:strRef>
              <c:f>'Back-end'!$A$21</c:f>
              <c:strCache>
                <c:ptCount val="1"/>
                <c:pt idx="0">
                  <c:v>2022 Performance</c:v>
                </c:pt>
              </c:strCache>
            </c:strRef>
          </c:tx>
          <c:spPr>
            <a:ln w="19050" cap="rnd">
              <a:noFill/>
              <a:round/>
            </a:ln>
            <a:effectLst/>
          </c:spPr>
          <c:marker>
            <c:symbol val="diamond"/>
            <c:size val="9"/>
            <c:spPr>
              <a:solidFill>
                <a:schemeClr val="tx1">
                  <a:lumMod val="85000"/>
                  <a:lumOff val="15000"/>
                </a:schemeClr>
              </a:solidFill>
              <a:ln w="9525">
                <a:noFill/>
              </a:ln>
              <a:effectLst/>
            </c:spPr>
          </c:marker>
          <c:xVal>
            <c:numRef>
              <c:f>'Back-end'!$I$118</c:f>
              <c:numCache>
                <c:formatCode>General</c:formatCode>
                <c:ptCount val="1"/>
                <c:pt idx="0">
                  <c:v>3</c:v>
                </c:pt>
              </c:numCache>
            </c:numRef>
          </c:xVal>
          <c:yVal>
            <c:numRef>
              <c:f>'Back-end'!$K$118</c:f>
              <c:numCache>
                <c:formatCode>General</c:formatCode>
                <c:ptCount val="1"/>
                <c:pt idx="0">
                  <c:v>36.95428367059499</c:v>
                </c:pt>
              </c:numCache>
            </c:numRef>
          </c:yVal>
          <c:smooth val="0"/>
          <c:extLst>
            <c:ext xmlns:c16="http://schemas.microsoft.com/office/drawing/2014/chart" uri="{C3380CC4-5D6E-409C-BE32-E72D297353CC}">
              <c16:uniqueId val="{00000008-90FA-4DB9-A654-D3A2516136DC}"/>
            </c:ext>
          </c:extLst>
        </c:ser>
        <c:ser>
          <c:idx val="7"/>
          <c:order val="7"/>
          <c:tx>
            <c:v>2018 Performance</c:v>
          </c:tx>
          <c:spPr>
            <a:ln w="25400" cap="rnd">
              <a:solidFill>
                <a:schemeClr val="bg1">
                  <a:lumMod val="50000"/>
                </a:schemeClr>
              </a:solidFill>
              <a:prstDash val="sysDot"/>
              <a:round/>
            </a:ln>
            <a:effectLst/>
          </c:spPr>
          <c:marker>
            <c:symbol val="circle"/>
            <c:size val="8"/>
            <c:spPr>
              <a:noFill/>
              <a:ln w="15875">
                <a:noFill/>
              </a:ln>
              <a:effectLst/>
            </c:spPr>
          </c:marker>
          <c:xVal>
            <c:numRef>
              <c:f>'Back-end'!$C$1:$D$1</c:f>
              <c:numCache>
                <c:formatCode>General</c:formatCode>
                <c:ptCount val="2"/>
                <c:pt idx="0">
                  <c:v>1</c:v>
                </c:pt>
                <c:pt idx="1">
                  <c:v>2</c:v>
                </c:pt>
              </c:numCache>
            </c:numRef>
          </c:xVal>
          <c:yVal>
            <c:numRef>
              <c:f>'Back-end'!$B$222:$B$223</c:f>
              <c:numCache>
                <c:formatCode>General</c:formatCode>
                <c:ptCount val="2"/>
                <c:pt idx="0">
                  <c:v>#N/A</c:v>
                </c:pt>
                <c:pt idx="1">
                  <c:v>#N/A</c:v>
                </c:pt>
              </c:numCache>
            </c:numRef>
          </c:yVal>
          <c:smooth val="0"/>
          <c:extLst>
            <c:ext xmlns:c16="http://schemas.microsoft.com/office/drawing/2014/chart" uri="{C3380CC4-5D6E-409C-BE32-E72D297353CC}">
              <c16:uniqueId val="{00000009-90FA-4DB9-A654-D3A2516136DC}"/>
            </c:ext>
          </c:extLst>
        </c:ser>
        <c:ser>
          <c:idx val="8"/>
          <c:order val="8"/>
          <c:tx>
            <c:v>2018 Performance</c:v>
          </c:tx>
          <c:spPr>
            <a:ln w="19050" cap="rnd">
              <a:noFill/>
              <a:round/>
            </a:ln>
            <a:effectLst/>
          </c:spPr>
          <c:marker>
            <c:symbol val="diamond"/>
            <c:size val="8"/>
            <c:spPr>
              <a:solidFill>
                <a:schemeClr val="bg1"/>
              </a:solidFill>
              <a:ln w="15875">
                <a:solidFill>
                  <a:schemeClr val="tx1"/>
                </a:solidFill>
              </a:ln>
              <a:effectLst/>
            </c:spPr>
          </c:marker>
          <c:dPt>
            <c:idx val="0"/>
            <c:marker>
              <c:symbol val="diamond"/>
              <c:size val="8"/>
              <c:spPr>
                <a:solidFill>
                  <a:schemeClr val="bg1"/>
                </a:solidFill>
                <a:ln w="15875">
                  <a:solidFill>
                    <a:schemeClr val="tx1"/>
                  </a:solidFill>
                </a:ln>
                <a:effectLst/>
              </c:spPr>
            </c:marker>
            <c:bubble3D val="0"/>
            <c:extLst>
              <c:ext xmlns:c16="http://schemas.microsoft.com/office/drawing/2014/chart" uri="{C3380CC4-5D6E-409C-BE32-E72D297353CC}">
                <c16:uniqueId val="{0000000A-90FA-4DB9-A654-D3A2516136DC}"/>
              </c:ext>
            </c:extLst>
          </c:dPt>
          <c:xVal>
            <c:numLit>
              <c:formatCode>General</c:formatCode>
              <c:ptCount val="1"/>
              <c:pt idx="0">
                <c:v>1</c:v>
              </c:pt>
            </c:numLit>
          </c:xVal>
          <c:yVal>
            <c:numRef>
              <c:f>'Back-end'!$B$222</c:f>
              <c:numCache>
                <c:formatCode>General</c:formatCode>
                <c:ptCount val="1"/>
                <c:pt idx="0">
                  <c:v>#N/A</c:v>
                </c:pt>
              </c:numCache>
            </c:numRef>
          </c:yVal>
          <c:smooth val="0"/>
          <c:extLst>
            <c:ext xmlns:c16="http://schemas.microsoft.com/office/drawing/2014/chart" uri="{C3380CC4-5D6E-409C-BE32-E72D297353CC}">
              <c16:uniqueId val="{0000000B-90FA-4DB9-A654-D3A2516136DC}"/>
            </c:ext>
          </c:extLst>
        </c:ser>
        <c:ser>
          <c:idx val="9"/>
          <c:order val="9"/>
          <c:tx>
            <c:v>Past performance</c:v>
          </c:tx>
          <c:spPr>
            <a:ln w="19050" cap="rnd">
              <a:solidFill>
                <a:schemeClr val="tx1"/>
              </a:solidFill>
              <a:prstDash val="sysDot"/>
              <a:round/>
            </a:ln>
            <a:effectLst/>
          </c:spPr>
          <c:marker>
            <c:symbol val="none"/>
          </c:marker>
          <c:dPt>
            <c:idx val="0"/>
            <c:marker>
              <c:symbol val="none"/>
            </c:marker>
            <c:bubble3D val="0"/>
            <c:spPr>
              <a:ln w="19050" cap="rnd">
                <a:solidFill>
                  <a:schemeClr val="bg1">
                    <a:lumMod val="50000"/>
                  </a:schemeClr>
                </a:solidFill>
                <a:prstDash val="sysDot"/>
                <a:round/>
              </a:ln>
              <a:effectLst/>
            </c:spPr>
            <c:extLst>
              <c:ext xmlns:c16="http://schemas.microsoft.com/office/drawing/2014/chart" uri="{C3380CC4-5D6E-409C-BE32-E72D297353CC}">
                <c16:uniqueId val="{0000000D-90FA-4DB9-A654-D3A2516136DC}"/>
              </c:ext>
            </c:extLst>
          </c:dPt>
          <c:dPt>
            <c:idx val="1"/>
            <c:marker>
              <c:symbol val="none"/>
            </c:marker>
            <c:bubble3D val="0"/>
            <c:spPr>
              <a:ln w="19050" cap="rnd">
                <a:solidFill>
                  <a:schemeClr val="bg1">
                    <a:lumMod val="50000"/>
                  </a:schemeClr>
                </a:solidFill>
                <a:prstDash val="sysDot"/>
                <a:round/>
              </a:ln>
              <a:effectLst/>
            </c:spPr>
            <c:extLst>
              <c:ext xmlns:c16="http://schemas.microsoft.com/office/drawing/2014/chart" uri="{C3380CC4-5D6E-409C-BE32-E72D297353CC}">
                <c16:uniqueId val="{0000000F-90FA-4DB9-A654-D3A2516136DC}"/>
              </c:ext>
            </c:extLst>
          </c:dPt>
          <c:xVal>
            <c:numRef>
              <c:f>'Back-end'!$D$1:$E$1</c:f>
              <c:numCache>
                <c:formatCode>General</c:formatCode>
                <c:ptCount val="2"/>
                <c:pt idx="0">
                  <c:v>2</c:v>
                </c:pt>
                <c:pt idx="1">
                  <c:v>3</c:v>
                </c:pt>
              </c:numCache>
            </c:numRef>
          </c:xVal>
          <c:yVal>
            <c:numRef>
              <c:f>'Back-end'!$F$222:$F$223</c:f>
              <c:numCache>
                <c:formatCode>General</c:formatCode>
                <c:ptCount val="2"/>
                <c:pt idx="0">
                  <c:v>#N/A</c:v>
                </c:pt>
                <c:pt idx="1">
                  <c:v>#N/A</c:v>
                </c:pt>
              </c:numCache>
            </c:numRef>
          </c:yVal>
          <c:smooth val="0"/>
          <c:extLst>
            <c:ext xmlns:c16="http://schemas.microsoft.com/office/drawing/2014/chart" uri="{C3380CC4-5D6E-409C-BE32-E72D297353CC}">
              <c16:uniqueId val="{00000010-90FA-4DB9-A654-D3A2516136DC}"/>
            </c:ext>
          </c:extLst>
        </c:ser>
        <c:dLbls>
          <c:showLegendKey val="0"/>
          <c:showVal val="0"/>
          <c:showCatName val="0"/>
          <c:showSerName val="0"/>
          <c:showPercent val="0"/>
          <c:showBubbleSize val="0"/>
        </c:dLbls>
        <c:axId val="604615272"/>
        <c:axId val="604615600"/>
      </c:scatterChart>
      <c:catAx>
        <c:axId val="60461527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r>
                  <a:rPr lang="de-DE" sz="1050" b="1"/>
                  <a:t>Year</a:t>
                </a:r>
              </a:p>
            </c:rich>
          </c:tx>
          <c:layout>
            <c:manualLayout>
              <c:xMode val="edge"/>
              <c:yMode val="edge"/>
              <c:x val="0.51002344239524322"/>
              <c:y val="0.72223675430401713"/>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bg1">
                <a:lumMod val="85000"/>
              </a:schemeClr>
            </a:solidFill>
            <a:round/>
          </a:ln>
          <a:effectLst/>
        </c:spPr>
        <c:txPr>
          <a:bodyPr rot="-5400000" spcFirstLastPara="1" vertOverflow="ellipsis"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604615600"/>
        <c:crosses val="autoZero"/>
        <c:auto val="1"/>
        <c:lblAlgn val="ctr"/>
        <c:lblOffset val="100"/>
        <c:noMultiLvlLbl val="1"/>
      </c:catAx>
      <c:valAx>
        <c:axId val="604615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de-DE" b="1"/>
                  <a:t>GHG intensity [kgCO</a:t>
                </a:r>
                <a:r>
                  <a:rPr lang="de-DE" b="1" baseline="-25000"/>
                  <a:t>2</a:t>
                </a:r>
                <a:r>
                  <a:rPr lang="de-DE" b="1"/>
                  <a:t>e/m²/yr]</a:t>
                </a:r>
              </a:p>
            </c:rich>
          </c:tx>
          <c:layout>
            <c:manualLayout>
              <c:xMode val="edge"/>
              <c:yMode val="edge"/>
              <c:x val="3.8426774282596977E-2"/>
              <c:y val="2.6120691072279843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bg1">
                <a:lumMod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604615272"/>
        <c:crosses val="autoZero"/>
        <c:crossBetween val="between"/>
      </c:valAx>
      <c:spPr>
        <a:noFill/>
        <a:ln w="6350">
          <a:solidFill>
            <a:schemeClr val="bg1">
              <a:lumMod val="85000"/>
            </a:schemeClr>
          </a:solidFill>
        </a:ln>
        <a:effectLst/>
      </c:spPr>
    </c:plotArea>
    <c:legend>
      <c:legendPos val="l"/>
      <c:legendEntry>
        <c:idx val="1"/>
        <c:delete val="1"/>
      </c:legendEntry>
      <c:legendEntry>
        <c:idx val="7"/>
        <c:delete val="1"/>
      </c:legendEntry>
      <c:legendEntry>
        <c:idx val="8"/>
        <c:delete val="1"/>
      </c:legendEntry>
      <c:layout>
        <c:manualLayout>
          <c:xMode val="edge"/>
          <c:yMode val="edge"/>
          <c:x val="6.8923830482262513E-3"/>
          <c:y val="0.76692468526180002"/>
          <c:w val="0.96169778216023061"/>
          <c:h val="0.233075018165102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0"/>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99609664176592"/>
          <c:y val="6.9154890974422803E-2"/>
          <c:w val="0.80299986540144042"/>
          <c:h val="0.62317530045586411"/>
        </c:manualLayout>
      </c:layout>
      <c:areaChart>
        <c:grouping val="standard"/>
        <c:varyColors val="0"/>
        <c:ser>
          <c:idx val="1"/>
          <c:order val="0"/>
          <c:tx>
            <c:v>Value</c:v>
          </c:tx>
          <c:spPr>
            <a:solidFill>
              <a:schemeClr val="accent6">
                <a:lumMod val="75000"/>
                <a:alpha val="60000"/>
              </a:schemeClr>
            </a:solidFill>
            <a:ln>
              <a:noFill/>
            </a:ln>
            <a:effectLst/>
          </c:spPr>
          <c:val>
            <c:numRef>
              <c:f>'Back-end'!$E$11:$AI$11</c:f>
              <c:numCache>
                <c:formatCode>#,##0</c:formatCode>
                <c:ptCount val="31"/>
                <c:pt idx="0">
                  <c:v>0</c:v>
                </c:pt>
                <c:pt idx="1">
                  <c:v>0</c:v>
                </c:pt>
                <c:pt idx="2">
                  <c:v>-344096.95315233897</c:v>
                </c:pt>
                <c:pt idx="3">
                  <c:v>-371413.48122050229</c:v>
                </c:pt>
                <c:pt idx="4">
                  <c:v>-385238.02755303844</c:v>
                </c:pt>
                <c:pt idx="5">
                  <c:v>-389371.56644971587</c:v>
                </c:pt>
                <c:pt idx="6">
                  <c:v>-378770.40062301647</c:v>
                </c:pt>
                <c:pt idx="7">
                  <c:v>-361400.68236151076</c:v>
                </c:pt>
                <c:pt idx="8">
                  <c:v>-336426.52923662611</c:v>
                </c:pt>
                <c:pt idx="9">
                  <c:v>-305107.09150877711</c:v>
                </c:pt>
                <c:pt idx="10">
                  <c:v>-266338.27571654145</c:v>
                </c:pt>
                <c:pt idx="11">
                  <c:v>-225602.35129728727</c:v>
                </c:pt>
                <c:pt idx="12">
                  <c:v>-181517.28193696131</c:v>
                </c:pt>
                <c:pt idx="13">
                  <c:v>-136894.9444322382</c:v>
                </c:pt>
                <c:pt idx="14">
                  <c:v>-92182.676472362349</c:v>
                </c:pt>
                <c:pt idx="15">
                  <c:v>-47964.327641886317</c:v>
                </c:pt>
                <c:pt idx="16">
                  <c:v>-3900.6207275998486</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extLst>
            <c:ext xmlns:c16="http://schemas.microsoft.com/office/drawing/2014/chart" uri="{C3380CC4-5D6E-409C-BE32-E72D297353CC}">
              <c16:uniqueId val="{00000000-7D95-4B46-B972-26248EB65109}"/>
            </c:ext>
          </c:extLst>
        </c:ser>
        <c:ser>
          <c:idx val="2"/>
          <c:order val="1"/>
          <c:tx>
            <c:v>Costs</c:v>
          </c:tx>
          <c:spPr>
            <a:solidFill>
              <a:srgbClr val="FF0000">
                <a:alpha val="60000"/>
              </a:srgbClr>
            </a:solidFill>
            <a:ln>
              <a:noFill/>
            </a:ln>
            <a:effectLst/>
          </c:spPr>
          <c:val>
            <c:numRef>
              <c:f>'Back-end'!$E$12:$AI$12</c:f>
              <c:numCache>
                <c:formatCode>#,##0</c:formatCode>
                <c:ptCount val="3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38639.773322672372</c:v>
                </c:pt>
                <c:pt idx="18">
                  <c:v>75771.337902796411</c:v>
                </c:pt>
                <c:pt idx="19">
                  <c:v>105766.45230918679</c:v>
                </c:pt>
                <c:pt idx="20">
                  <c:v>129783.33161504056</c:v>
                </c:pt>
                <c:pt idx="21">
                  <c:v>139290.57755253979</c:v>
                </c:pt>
                <c:pt idx="22">
                  <c:v>144999.47296270414</c:v>
                </c:pt>
                <c:pt idx="23">
                  <c:v>149385.42270214492</c:v>
                </c:pt>
                <c:pt idx="24">
                  <c:v>152521.46946236942</c:v>
                </c:pt>
                <c:pt idx="25">
                  <c:v>155201.49195727115</c:v>
                </c:pt>
                <c:pt idx="26">
                  <c:v>155506.8696008288</c:v>
                </c:pt>
                <c:pt idx="27">
                  <c:v>155688.5227091143</c:v>
                </c:pt>
                <c:pt idx="28">
                  <c:v>155285.81903093489</c:v>
                </c:pt>
                <c:pt idx="29">
                  <c:v>154561.60819598957</c:v>
                </c:pt>
                <c:pt idx="30">
                  <c:v>153718.54522887344</c:v>
                </c:pt>
              </c:numCache>
            </c:numRef>
          </c:val>
          <c:extLst>
            <c:ext xmlns:c16="http://schemas.microsoft.com/office/drawing/2014/chart" uri="{C3380CC4-5D6E-409C-BE32-E72D297353CC}">
              <c16:uniqueId val="{00000001-7D95-4B46-B972-26248EB65109}"/>
            </c:ext>
          </c:extLst>
        </c:ser>
        <c:dLbls>
          <c:showLegendKey val="0"/>
          <c:showVal val="0"/>
          <c:showCatName val="0"/>
          <c:showSerName val="0"/>
          <c:showPercent val="0"/>
          <c:showBubbleSize val="0"/>
        </c:dLbls>
        <c:axId val="606980816"/>
        <c:axId val="606984336"/>
      </c:areaChart>
      <c:lineChart>
        <c:grouping val="standard"/>
        <c:varyColors val="0"/>
        <c:ser>
          <c:idx val="0"/>
          <c:order val="2"/>
          <c:tx>
            <c:v>Line</c:v>
          </c:tx>
          <c:spPr>
            <a:ln w="19050" cap="rnd">
              <a:solidFill>
                <a:schemeClr val="bg2">
                  <a:lumMod val="50000"/>
                </a:schemeClr>
              </a:solidFill>
              <a:round/>
            </a:ln>
            <a:effectLst/>
          </c:spPr>
          <c:marker>
            <c:symbol val="none"/>
          </c:marker>
          <c:dPt>
            <c:idx val="31"/>
            <c:marker>
              <c:symbol val="none"/>
            </c:marker>
            <c:bubble3D val="0"/>
            <c:extLst>
              <c:ext xmlns:c16="http://schemas.microsoft.com/office/drawing/2014/chart" uri="{C3380CC4-5D6E-409C-BE32-E72D297353CC}">
                <c16:uniqueId val="{00000002-7D95-4B46-B972-26248EB65109}"/>
              </c:ext>
            </c:extLst>
          </c:dPt>
          <c:dLbls>
            <c:dLbl>
              <c:idx val="0"/>
              <c:delete val="1"/>
              <c:extLst>
                <c:ext xmlns:c15="http://schemas.microsoft.com/office/drawing/2012/chart" uri="{CE6537A1-D6FC-4f65-9D91-7224C49458BB}"/>
                <c:ext xmlns:c16="http://schemas.microsoft.com/office/drawing/2014/chart" uri="{C3380CC4-5D6E-409C-BE32-E72D297353CC}">
                  <c16:uniqueId val="{00000003-7D95-4B46-B972-26248EB65109}"/>
                </c:ext>
              </c:extLst>
            </c:dLbl>
            <c:dLbl>
              <c:idx val="1"/>
              <c:delete val="1"/>
              <c:extLst>
                <c:ext xmlns:c15="http://schemas.microsoft.com/office/drawing/2012/chart" uri="{CE6537A1-D6FC-4f65-9D91-7224C49458BB}"/>
                <c:ext xmlns:c16="http://schemas.microsoft.com/office/drawing/2014/chart" uri="{C3380CC4-5D6E-409C-BE32-E72D297353CC}">
                  <c16:uniqueId val="{00000004-7D95-4B46-B972-26248EB65109}"/>
                </c:ext>
              </c:extLst>
            </c:dLbl>
            <c:dLbl>
              <c:idx val="3"/>
              <c:delete val="1"/>
              <c:extLst>
                <c:ext xmlns:c15="http://schemas.microsoft.com/office/drawing/2012/chart" uri="{CE6537A1-D6FC-4f65-9D91-7224C49458BB}"/>
                <c:ext xmlns:c16="http://schemas.microsoft.com/office/drawing/2014/chart" uri="{C3380CC4-5D6E-409C-BE32-E72D297353CC}">
                  <c16:uniqueId val="{00000005-7D95-4B46-B972-26248EB65109}"/>
                </c:ext>
              </c:extLst>
            </c:dLbl>
            <c:dLbl>
              <c:idx val="4"/>
              <c:delete val="1"/>
              <c:extLst>
                <c:ext xmlns:c15="http://schemas.microsoft.com/office/drawing/2012/chart" uri="{CE6537A1-D6FC-4f65-9D91-7224C49458BB}"/>
                <c:ext xmlns:c16="http://schemas.microsoft.com/office/drawing/2014/chart" uri="{C3380CC4-5D6E-409C-BE32-E72D297353CC}">
                  <c16:uniqueId val="{00000006-7D95-4B46-B972-26248EB65109}"/>
                </c:ext>
              </c:extLst>
            </c:dLbl>
            <c:dLbl>
              <c:idx val="5"/>
              <c:delete val="1"/>
              <c:extLst>
                <c:ext xmlns:c15="http://schemas.microsoft.com/office/drawing/2012/chart" uri="{CE6537A1-D6FC-4f65-9D91-7224C49458BB}"/>
                <c:ext xmlns:c16="http://schemas.microsoft.com/office/drawing/2014/chart" uri="{C3380CC4-5D6E-409C-BE32-E72D297353CC}">
                  <c16:uniqueId val="{00000007-7D95-4B46-B972-26248EB65109}"/>
                </c:ext>
              </c:extLst>
            </c:dLbl>
            <c:dLbl>
              <c:idx val="6"/>
              <c:delete val="1"/>
              <c:extLst>
                <c:ext xmlns:c15="http://schemas.microsoft.com/office/drawing/2012/chart" uri="{CE6537A1-D6FC-4f65-9D91-7224C49458BB}"/>
                <c:ext xmlns:c16="http://schemas.microsoft.com/office/drawing/2014/chart" uri="{C3380CC4-5D6E-409C-BE32-E72D297353CC}">
                  <c16:uniqueId val="{00000008-7D95-4B46-B972-26248EB65109}"/>
                </c:ext>
              </c:extLst>
            </c:dLbl>
            <c:dLbl>
              <c:idx val="8"/>
              <c:delete val="1"/>
              <c:extLst>
                <c:ext xmlns:c15="http://schemas.microsoft.com/office/drawing/2012/chart" uri="{CE6537A1-D6FC-4f65-9D91-7224C49458BB}"/>
                <c:ext xmlns:c16="http://schemas.microsoft.com/office/drawing/2014/chart" uri="{C3380CC4-5D6E-409C-BE32-E72D297353CC}">
                  <c16:uniqueId val="{00000009-7D95-4B46-B972-26248EB65109}"/>
                </c:ext>
              </c:extLst>
            </c:dLbl>
            <c:dLbl>
              <c:idx val="9"/>
              <c:delete val="1"/>
              <c:extLst>
                <c:ext xmlns:c15="http://schemas.microsoft.com/office/drawing/2012/chart" uri="{CE6537A1-D6FC-4f65-9D91-7224C49458BB}"/>
                <c:ext xmlns:c16="http://schemas.microsoft.com/office/drawing/2014/chart" uri="{C3380CC4-5D6E-409C-BE32-E72D297353CC}">
                  <c16:uniqueId val="{0000000A-7D95-4B46-B972-26248EB65109}"/>
                </c:ext>
              </c:extLst>
            </c:dLbl>
            <c:dLbl>
              <c:idx val="10"/>
              <c:delete val="1"/>
              <c:extLst>
                <c:ext xmlns:c15="http://schemas.microsoft.com/office/drawing/2012/chart" uri="{CE6537A1-D6FC-4f65-9D91-7224C49458BB}"/>
                <c:ext xmlns:c16="http://schemas.microsoft.com/office/drawing/2014/chart" uri="{C3380CC4-5D6E-409C-BE32-E72D297353CC}">
                  <c16:uniqueId val="{0000000B-7D95-4B46-B972-26248EB65109}"/>
                </c:ext>
              </c:extLst>
            </c:dLbl>
            <c:dLbl>
              <c:idx val="11"/>
              <c:delete val="1"/>
              <c:extLst>
                <c:ext xmlns:c15="http://schemas.microsoft.com/office/drawing/2012/chart" uri="{CE6537A1-D6FC-4f65-9D91-7224C49458BB}"/>
                <c:ext xmlns:c16="http://schemas.microsoft.com/office/drawing/2014/chart" uri="{C3380CC4-5D6E-409C-BE32-E72D297353CC}">
                  <c16:uniqueId val="{0000000C-7D95-4B46-B972-26248EB65109}"/>
                </c:ext>
              </c:extLst>
            </c:dLbl>
            <c:dLbl>
              <c:idx val="13"/>
              <c:delete val="1"/>
              <c:extLst>
                <c:ext xmlns:c15="http://schemas.microsoft.com/office/drawing/2012/chart" uri="{CE6537A1-D6FC-4f65-9D91-7224C49458BB}"/>
                <c:ext xmlns:c16="http://schemas.microsoft.com/office/drawing/2014/chart" uri="{C3380CC4-5D6E-409C-BE32-E72D297353CC}">
                  <c16:uniqueId val="{0000000D-7D95-4B46-B972-26248EB65109}"/>
                </c:ext>
              </c:extLst>
            </c:dLbl>
            <c:dLbl>
              <c:idx val="14"/>
              <c:delete val="1"/>
              <c:extLst>
                <c:ext xmlns:c15="http://schemas.microsoft.com/office/drawing/2012/chart" uri="{CE6537A1-D6FC-4f65-9D91-7224C49458BB}"/>
                <c:ext xmlns:c16="http://schemas.microsoft.com/office/drawing/2014/chart" uri="{C3380CC4-5D6E-409C-BE32-E72D297353CC}">
                  <c16:uniqueId val="{0000000E-7D95-4B46-B972-26248EB65109}"/>
                </c:ext>
              </c:extLst>
            </c:dLbl>
            <c:dLbl>
              <c:idx val="15"/>
              <c:delete val="1"/>
              <c:extLst>
                <c:ext xmlns:c15="http://schemas.microsoft.com/office/drawing/2012/chart" uri="{CE6537A1-D6FC-4f65-9D91-7224C49458BB}"/>
                <c:ext xmlns:c16="http://schemas.microsoft.com/office/drawing/2014/chart" uri="{C3380CC4-5D6E-409C-BE32-E72D297353CC}">
                  <c16:uniqueId val="{0000000F-7D95-4B46-B972-26248EB65109}"/>
                </c:ext>
              </c:extLst>
            </c:dLbl>
            <c:dLbl>
              <c:idx val="16"/>
              <c:delete val="1"/>
              <c:extLst>
                <c:ext xmlns:c15="http://schemas.microsoft.com/office/drawing/2012/chart" uri="{CE6537A1-D6FC-4f65-9D91-7224C49458BB}"/>
                <c:ext xmlns:c16="http://schemas.microsoft.com/office/drawing/2014/chart" uri="{C3380CC4-5D6E-409C-BE32-E72D297353CC}">
                  <c16:uniqueId val="{00000010-7D95-4B46-B972-26248EB65109}"/>
                </c:ext>
              </c:extLst>
            </c:dLbl>
            <c:dLbl>
              <c:idx val="18"/>
              <c:delete val="1"/>
              <c:extLst>
                <c:ext xmlns:c15="http://schemas.microsoft.com/office/drawing/2012/chart" uri="{CE6537A1-D6FC-4f65-9D91-7224C49458BB}"/>
                <c:ext xmlns:c16="http://schemas.microsoft.com/office/drawing/2014/chart" uri="{C3380CC4-5D6E-409C-BE32-E72D297353CC}">
                  <c16:uniqueId val="{00000011-7D95-4B46-B972-26248EB65109}"/>
                </c:ext>
              </c:extLst>
            </c:dLbl>
            <c:dLbl>
              <c:idx val="19"/>
              <c:delete val="1"/>
              <c:extLst>
                <c:ext xmlns:c15="http://schemas.microsoft.com/office/drawing/2012/chart" uri="{CE6537A1-D6FC-4f65-9D91-7224C49458BB}"/>
                <c:ext xmlns:c16="http://schemas.microsoft.com/office/drawing/2014/chart" uri="{C3380CC4-5D6E-409C-BE32-E72D297353CC}">
                  <c16:uniqueId val="{00000012-7D95-4B46-B972-26248EB65109}"/>
                </c:ext>
              </c:extLst>
            </c:dLbl>
            <c:dLbl>
              <c:idx val="20"/>
              <c:delete val="1"/>
              <c:extLst>
                <c:ext xmlns:c15="http://schemas.microsoft.com/office/drawing/2012/chart" uri="{CE6537A1-D6FC-4f65-9D91-7224C49458BB}"/>
                <c:ext xmlns:c16="http://schemas.microsoft.com/office/drawing/2014/chart" uri="{C3380CC4-5D6E-409C-BE32-E72D297353CC}">
                  <c16:uniqueId val="{00000013-7D95-4B46-B972-26248EB65109}"/>
                </c:ext>
              </c:extLst>
            </c:dLbl>
            <c:dLbl>
              <c:idx val="21"/>
              <c:delete val="1"/>
              <c:extLst>
                <c:ext xmlns:c15="http://schemas.microsoft.com/office/drawing/2012/chart" uri="{CE6537A1-D6FC-4f65-9D91-7224C49458BB}"/>
                <c:ext xmlns:c16="http://schemas.microsoft.com/office/drawing/2014/chart" uri="{C3380CC4-5D6E-409C-BE32-E72D297353CC}">
                  <c16:uniqueId val="{00000014-7D95-4B46-B972-26248EB65109}"/>
                </c:ext>
              </c:extLst>
            </c:dLbl>
            <c:dLbl>
              <c:idx val="23"/>
              <c:delete val="1"/>
              <c:extLst>
                <c:ext xmlns:c15="http://schemas.microsoft.com/office/drawing/2012/chart" uri="{CE6537A1-D6FC-4f65-9D91-7224C49458BB}"/>
                <c:ext xmlns:c16="http://schemas.microsoft.com/office/drawing/2014/chart" uri="{C3380CC4-5D6E-409C-BE32-E72D297353CC}">
                  <c16:uniqueId val="{00000015-7D95-4B46-B972-26248EB65109}"/>
                </c:ext>
              </c:extLst>
            </c:dLbl>
            <c:dLbl>
              <c:idx val="24"/>
              <c:delete val="1"/>
              <c:extLst>
                <c:ext xmlns:c15="http://schemas.microsoft.com/office/drawing/2012/chart" uri="{CE6537A1-D6FC-4f65-9D91-7224C49458BB}"/>
                <c:ext xmlns:c16="http://schemas.microsoft.com/office/drawing/2014/chart" uri="{C3380CC4-5D6E-409C-BE32-E72D297353CC}">
                  <c16:uniqueId val="{00000016-7D95-4B46-B972-26248EB65109}"/>
                </c:ext>
              </c:extLst>
            </c:dLbl>
            <c:dLbl>
              <c:idx val="25"/>
              <c:delete val="1"/>
              <c:extLst>
                <c:ext xmlns:c15="http://schemas.microsoft.com/office/drawing/2012/chart" uri="{CE6537A1-D6FC-4f65-9D91-7224C49458BB}"/>
                <c:ext xmlns:c16="http://schemas.microsoft.com/office/drawing/2014/chart" uri="{C3380CC4-5D6E-409C-BE32-E72D297353CC}">
                  <c16:uniqueId val="{00000017-7D95-4B46-B972-26248EB65109}"/>
                </c:ext>
              </c:extLst>
            </c:dLbl>
            <c:dLbl>
              <c:idx val="26"/>
              <c:delete val="1"/>
              <c:extLst>
                <c:ext xmlns:c15="http://schemas.microsoft.com/office/drawing/2012/chart" uri="{CE6537A1-D6FC-4f65-9D91-7224C49458BB}"/>
                <c:ext xmlns:c16="http://schemas.microsoft.com/office/drawing/2014/chart" uri="{C3380CC4-5D6E-409C-BE32-E72D297353CC}">
                  <c16:uniqueId val="{00000018-7D95-4B46-B972-26248EB65109}"/>
                </c:ext>
              </c:extLst>
            </c:dLbl>
            <c:dLbl>
              <c:idx val="28"/>
              <c:delete val="1"/>
              <c:extLst>
                <c:ext xmlns:c15="http://schemas.microsoft.com/office/drawing/2012/chart" uri="{CE6537A1-D6FC-4f65-9D91-7224C49458BB}"/>
                <c:ext xmlns:c16="http://schemas.microsoft.com/office/drawing/2014/chart" uri="{C3380CC4-5D6E-409C-BE32-E72D297353CC}">
                  <c16:uniqueId val="{00000019-7D95-4B46-B972-26248EB65109}"/>
                </c:ext>
              </c:extLst>
            </c:dLbl>
            <c:dLbl>
              <c:idx val="29"/>
              <c:delete val="1"/>
              <c:extLst>
                <c:ext xmlns:c15="http://schemas.microsoft.com/office/drawing/2012/chart" uri="{CE6537A1-D6FC-4f65-9D91-7224C49458BB}"/>
                <c:ext xmlns:c16="http://schemas.microsoft.com/office/drawing/2014/chart" uri="{C3380CC4-5D6E-409C-BE32-E72D297353CC}">
                  <c16:uniqueId val="{0000001A-7D95-4B46-B972-26248EB65109}"/>
                </c:ext>
              </c:extLst>
            </c:dLbl>
            <c:dLbl>
              <c:idx val="30"/>
              <c:delete val="1"/>
              <c:extLst>
                <c:ext xmlns:c15="http://schemas.microsoft.com/office/drawing/2012/chart" uri="{CE6537A1-D6FC-4f65-9D91-7224C49458BB}"/>
                <c:ext xmlns:c16="http://schemas.microsoft.com/office/drawing/2014/chart" uri="{C3380CC4-5D6E-409C-BE32-E72D297353CC}">
                  <c16:uniqueId val="{0000001B-7D95-4B46-B972-26248EB65109}"/>
                </c:ext>
              </c:extLst>
            </c:dLbl>
            <c:numFmt formatCode="#,##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'Back-end'!$E$3:$AK$3</c:f>
              <c:numCache>
                <c:formatCode>General</c:formatCode>
                <c:ptCount val="33"/>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numCache>
            </c:numRef>
          </c:cat>
          <c:val>
            <c:numRef>
              <c:f>'Back-end'!$E$10:$AI$10</c:f>
              <c:numCache>
                <c:formatCode>#,##0</c:formatCode>
                <c:ptCount val="31"/>
                <c:pt idx="0">
                  <c:v>0</c:v>
                </c:pt>
                <c:pt idx="1">
                  <c:v>0</c:v>
                </c:pt>
                <c:pt idx="2">
                  <c:v>-344096.95315233897</c:v>
                </c:pt>
                <c:pt idx="3">
                  <c:v>-371413.48122050229</c:v>
                </c:pt>
                <c:pt idx="4">
                  <c:v>-385238.02755303844</c:v>
                </c:pt>
                <c:pt idx="5">
                  <c:v>-389371.56644971587</c:v>
                </c:pt>
                <c:pt idx="6">
                  <c:v>-378770.40062301647</c:v>
                </c:pt>
                <c:pt idx="7">
                  <c:v>-361400.68236151076</c:v>
                </c:pt>
                <c:pt idx="8">
                  <c:v>-336426.52923662611</c:v>
                </c:pt>
                <c:pt idx="9">
                  <c:v>-305107.09150877711</c:v>
                </c:pt>
                <c:pt idx="10">
                  <c:v>-266338.27571654145</c:v>
                </c:pt>
                <c:pt idx="11">
                  <c:v>-225602.35129728727</c:v>
                </c:pt>
                <c:pt idx="12">
                  <c:v>-181517.28193696131</c:v>
                </c:pt>
                <c:pt idx="13">
                  <c:v>-136894.9444322382</c:v>
                </c:pt>
                <c:pt idx="14">
                  <c:v>-92182.676472362349</c:v>
                </c:pt>
                <c:pt idx="15">
                  <c:v>-47964.327641886317</c:v>
                </c:pt>
                <c:pt idx="16">
                  <c:v>-3900.6207275998486</c:v>
                </c:pt>
                <c:pt idx="17">
                  <c:v>38639.773322672372</c:v>
                </c:pt>
                <c:pt idx="18">
                  <c:v>75771.337902796411</c:v>
                </c:pt>
                <c:pt idx="19">
                  <c:v>105766.45230918679</c:v>
                </c:pt>
                <c:pt idx="20">
                  <c:v>129783.33161504056</c:v>
                </c:pt>
                <c:pt idx="21">
                  <c:v>139290.57755253979</c:v>
                </c:pt>
                <c:pt idx="22">
                  <c:v>144999.47296270414</c:v>
                </c:pt>
                <c:pt idx="23">
                  <c:v>149385.42270214492</c:v>
                </c:pt>
                <c:pt idx="24">
                  <c:v>152521.46946236942</c:v>
                </c:pt>
                <c:pt idx="25">
                  <c:v>155201.49195727115</c:v>
                </c:pt>
                <c:pt idx="26">
                  <c:v>155506.8696008288</c:v>
                </c:pt>
                <c:pt idx="27">
                  <c:v>155688.5227091143</c:v>
                </c:pt>
                <c:pt idx="28">
                  <c:v>155285.81903093489</c:v>
                </c:pt>
                <c:pt idx="29">
                  <c:v>154561.60819598957</c:v>
                </c:pt>
                <c:pt idx="30">
                  <c:v>153718.54522887344</c:v>
                </c:pt>
              </c:numCache>
            </c:numRef>
          </c:val>
          <c:smooth val="0"/>
          <c:extLst>
            <c:ext xmlns:c16="http://schemas.microsoft.com/office/drawing/2014/chart" uri="{C3380CC4-5D6E-409C-BE32-E72D297353CC}">
              <c16:uniqueId val="{0000001C-7D95-4B46-B972-26248EB65109}"/>
            </c:ext>
          </c:extLst>
        </c:ser>
        <c:ser>
          <c:idx val="3"/>
          <c:order val="3"/>
          <c:tx>
            <c:v>Points</c:v>
          </c:tx>
          <c:spPr>
            <a:ln w="12700" cap="rnd">
              <a:solidFill>
                <a:schemeClr val="tx1">
                  <a:lumMod val="75000"/>
                  <a:lumOff val="25000"/>
                </a:schemeClr>
              </a:solidFill>
              <a:round/>
            </a:ln>
            <a:effectLst/>
          </c:spPr>
          <c:marker>
            <c:symbol val="diamond"/>
            <c:size val="6"/>
            <c:spPr>
              <a:solidFill>
                <a:schemeClr val="tx1">
                  <a:lumMod val="75000"/>
                  <a:lumOff val="25000"/>
                </a:schemeClr>
              </a:solidFill>
              <a:ln w="12700">
                <a:noFill/>
              </a:ln>
              <a:effectLst/>
            </c:spPr>
          </c:marker>
          <c:dPt>
            <c:idx val="0"/>
            <c:marker>
              <c:symbol val="diamond"/>
              <c:size val="6"/>
              <c:spPr>
                <a:noFill/>
                <a:ln w="12700">
                  <a:noFill/>
                </a:ln>
                <a:effectLst/>
              </c:spPr>
            </c:marker>
            <c:bubble3D val="0"/>
            <c:spPr>
              <a:ln w="12700" cap="rnd">
                <a:noFill/>
                <a:round/>
              </a:ln>
              <a:effectLst/>
            </c:spPr>
            <c:extLst>
              <c:ext xmlns:c16="http://schemas.microsoft.com/office/drawing/2014/chart" uri="{C3380CC4-5D6E-409C-BE32-E72D297353CC}">
                <c16:uniqueId val="{0000001E-7D95-4B46-B972-26248EB65109}"/>
              </c:ext>
            </c:extLst>
          </c:dPt>
          <c:dPt>
            <c:idx val="1"/>
            <c:marker>
              <c:symbol val="diamond"/>
              <c:size val="6"/>
              <c:spPr>
                <a:noFill/>
                <a:ln w="12700">
                  <a:noFill/>
                </a:ln>
                <a:effectLst/>
              </c:spPr>
            </c:marker>
            <c:bubble3D val="0"/>
            <c:extLst>
              <c:ext xmlns:c16="http://schemas.microsoft.com/office/drawing/2014/chart" uri="{C3380CC4-5D6E-409C-BE32-E72D297353CC}">
                <c16:uniqueId val="{0000001F-7D95-4B46-B972-26248EB65109}"/>
              </c:ext>
            </c:extLst>
          </c:dPt>
          <c:dPt>
            <c:idx val="3"/>
            <c:marker>
              <c:symbol val="diamond"/>
              <c:size val="6"/>
              <c:spPr>
                <a:noFill/>
                <a:ln w="12700">
                  <a:noFill/>
                </a:ln>
                <a:effectLst/>
              </c:spPr>
            </c:marker>
            <c:bubble3D val="0"/>
            <c:extLst>
              <c:ext xmlns:c16="http://schemas.microsoft.com/office/drawing/2014/chart" uri="{C3380CC4-5D6E-409C-BE32-E72D297353CC}">
                <c16:uniqueId val="{00000020-7D95-4B46-B972-26248EB65109}"/>
              </c:ext>
            </c:extLst>
          </c:dPt>
          <c:dPt>
            <c:idx val="4"/>
            <c:marker>
              <c:symbol val="diamond"/>
              <c:size val="6"/>
              <c:spPr>
                <a:noFill/>
                <a:ln w="12700">
                  <a:noFill/>
                </a:ln>
                <a:effectLst/>
              </c:spPr>
            </c:marker>
            <c:bubble3D val="0"/>
            <c:extLst>
              <c:ext xmlns:c16="http://schemas.microsoft.com/office/drawing/2014/chart" uri="{C3380CC4-5D6E-409C-BE32-E72D297353CC}">
                <c16:uniqueId val="{00000021-7D95-4B46-B972-26248EB65109}"/>
              </c:ext>
            </c:extLst>
          </c:dPt>
          <c:dPt>
            <c:idx val="5"/>
            <c:marker>
              <c:symbol val="diamond"/>
              <c:size val="6"/>
              <c:spPr>
                <a:noFill/>
                <a:ln w="12700">
                  <a:noFill/>
                </a:ln>
                <a:effectLst/>
              </c:spPr>
            </c:marker>
            <c:bubble3D val="0"/>
            <c:extLst>
              <c:ext xmlns:c16="http://schemas.microsoft.com/office/drawing/2014/chart" uri="{C3380CC4-5D6E-409C-BE32-E72D297353CC}">
                <c16:uniqueId val="{00000022-7D95-4B46-B972-26248EB65109}"/>
              </c:ext>
            </c:extLst>
          </c:dPt>
          <c:dPt>
            <c:idx val="6"/>
            <c:marker>
              <c:symbol val="diamond"/>
              <c:size val="6"/>
              <c:spPr>
                <a:noFill/>
                <a:ln w="12700">
                  <a:noFill/>
                </a:ln>
                <a:effectLst/>
              </c:spPr>
            </c:marker>
            <c:bubble3D val="0"/>
            <c:extLst>
              <c:ext xmlns:c16="http://schemas.microsoft.com/office/drawing/2014/chart" uri="{C3380CC4-5D6E-409C-BE32-E72D297353CC}">
                <c16:uniqueId val="{00000023-7D95-4B46-B972-26248EB65109}"/>
              </c:ext>
            </c:extLst>
          </c:dPt>
          <c:dPt>
            <c:idx val="8"/>
            <c:marker>
              <c:symbol val="diamond"/>
              <c:size val="6"/>
              <c:spPr>
                <a:noFill/>
                <a:ln w="12700">
                  <a:noFill/>
                </a:ln>
                <a:effectLst/>
              </c:spPr>
            </c:marker>
            <c:bubble3D val="0"/>
            <c:extLst>
              <c:ext xmlns:c16="http://schemas.microsoft.com/office/drawing/2014/chart" uri="{C3380CC4-5D6E-409C-BE32-E72D297353CC}">
                <c16:uniqueId val="{00000024-7D95-4B46-B972-26248EB65109}"/>
              </c:ext>
            </c:extLst>
          </c:dPt>
          <c:dPt>
            <c:idx val="9"/>
            <c:marker>
              <c:symbol val="diamond"/>
              <c:size val="6"/>
              <c:spPr>
                <a:noFill/>
                <a:ln w="12700">
                  <a:noFill/>
                </a:ln>
                <a:effectLst/>
              </c:spPr>
            </c:marker>
            <c:bubble3D val="0"/>
            <c:extLst>
              <c:ext xmlns:c16="http://schemas.microsoft.com/office/drawing/2014/chart" uri="{C3380CC4-5D6E-409C-BE32-E72D297353CC}">
                <c16:uniqueId val="{00000025-7D95-4B46-B972-26248EB65109}"/>
              </c:ext>
            </c:extLst>
          </c:dPt>
          <c:dPt>
            <c:idx val="10"/>
            <c:marker>
              <c:symbol val="diamond"/>
              <c:size val="6"/>
              <c:spPr>
                <a:noFill/>
                <a:ln w="12700">
                  <a:noFill/>
                </a:ln>
                <a:effectLst/>
              </c:spPr>
            </c:marker>
            <c:bubble3D val="0"/>
            <c:extLst>
              <c:ext xmlns:c16="http://schemas.microsoft.com/office/drawing/2014/chart" uri="{C3380CC4-5D6E-409C-BE32-E72D297353CC}">
                <c16:uniqueId val="{00000026-7D95-4B46-B972-26248EB65109}"/>
              </c:ext>
            </c:extLst>
          </c:dPt>
          <c:dPt>
            <c:idx val="11"/>
            <c:marker>
              <c:symbol val="diamond"/>
              <c:size val="6"/>
              <c:spPr>
                <a:noFill/>
                <a:ln w="12700">
                  <a:noFill/>
                </a:ln>
                <a:effectLst/>
              </c:spPr>
            </c:marker>
            <c:bubble3D val="0"/>
            <c:extLst>
              <c:ext xmlns:c16="http://schemas.microsoft.com/office/drawing/2014/chart" uri="{C3380CC4-5D6E-409C-BE32-E72D297353CC}">
                <c16:uniqueId val="{00000027-7D95-4B46-B972-26248EB65109}"/>
              </c:ext>
            </c:extLst>
          </c:dPt>
          <c:dPt>
            <c:idx val="13"/>
            <c:marker>
              <c:symbol val="diamond"/>
              <c:size val="6"/>
              <c:spPr>
                <a:noFill/>
                <a:ln w="12700">
                  <a:noFill/>
                </a:ln>
                <a:effectLst/>
              </c:spPr>
            </c:marker>
            <c:bubble3D val="0"/>
            <c:extLst>
              <c:ext xmlns:c16="http://schemas.microsoft.com/office/drawing/2014/chart" uri="{C3380CC4-5D6E-409C-BE32-E72D297353CC}">
                <c16:uniqueId val="{00000028-7D95-4B46-B972-26248EB65109}"/>
              </c:ext>
            </c:extLst>
          </c:dPt>
          <c:dPt>
            <c:idx val="14"/>
            <c:marker>
              <c:symbol val="diamond"/>
              <c:size val="6"/>
              <c:spPr>
                <a:noFill/>
                <a:ln w="12700">
                  <a:noFill/>
                </a:ln>
                <a:effectLst/>
              </c:spPr>
            </c:marker>
            <c:bubble3D val="0"/>
            <c:extLst>
              <c:ext xmlns:c16="http://schemas.microsoft.com/office/drawing/2014/chart" uri="{C3380CC4-5D6E-409C-BE32-E72D297353CC}">
                <c16:uniqueId val="{00000029-7D95-4B46-B972-26248EB65109}"/>
              </c:ext>
            </c:extLst>
          </c:dPt>
          <c:dPt>
            <c:idx val="15"/>
            <c:marker>
              <c:symbol val="diamond"/>
              <c:size val="6"/>
              <c:spPr>
                <a:noFill/>
                <a:ln w="12700">
                  <a:noFill/>
                </a:ln>
                <a:effectLst/>
              </c:spPr>
            </c:marker>
            <c:bubble3D val="0"/>
            <c:extLst>
              <c:ext xmlns:c16="http://schemas.microsoft.com/office/drawing/2014/chart" uri="{C3380CC4-5D6E-409C-BE32-E72D297353CC}">
                <c16:uniqueId val="{0000002A-7D95-4B46-B972-26248EB65109}"/>
              </c:ext>
            </c:extLst>
          </c:dPt>
          <c:dPt>
            <c:idx val="16"/>
            <c:marker>
              <c:symbol val="diamond"/>
              <c:size val="6"/>
              <c:spPr>
                <a:noFill/>
                <a:ln w="12700">
                  <a:noFill/>
                </a:ln>
                <a:effectLst/>
              </c:spPr>
            </c:marker>
            <c:bubble3D val="0"/>
            <c:extLst>
              <c:ext xmlns:c16="http://schemas.microsoft.com/office/drawing/2014/chart" uri="{C3380CC4-5D6E-409C-BE32-E72D297353CC}">
                <c16:uniqueId val="{0000002B-7D95-4B46-B972-26248EB65109}"/>
              </c:ext>
            </c:extLst>
          </c:dPt>
          <c:dPt>
            <c:idx val="18"/>
            <c:marker>
              <c:symbol val="diamond"/>
              <c:size val="6"/>
              <c:spPr>
                <a:noFill/>
                <a:ln w="12700">
                  <a:noFill/>
                </a:ln>
                <a:effectLst/>
              </c:spPr>
            </c:marker>
            <c:bubble3D val="0"/>
            <c:extLst>
              <c:ext xmlns:c16="http://schemas.microsoft.com/office/drawing/2014/chart" uri="{C3380CC4-5D6E-409C-BE32-E72D297353CC}">
                <c16:uniqueId val="{0000002C-7D95-4B46-B972-26248EB65109}"/>
              </c:ext>
            </c:extLst>
          </c:dPt>
          <c:dPt>
            <c:idx val="19"/>
            <c:marker>
              <c:symbol val="diamond"/>
              <c:size val="6"/>
              <c:spPr>
                <a:noFill/>
                <a:ln w="12700">
                  <a:noFill/>
                </a:ln>
                <a:effectLst/>
              </c:spPr>
            </c:marker>
            <c:bubble3D val="0"/>
            <c:extLst>
              <c:ext xmlns:c16="http://schemas.microsoft.com/office/drawing/2014/chart" uri="{C3380CC4-5D6E-409C-BE32-E72D297353CC}">
                <c16:uniqueId val="{0000002D-7D95-4B46-B972-26248EB65109}"/>
              </c:ext>
            </c:extLst>
          </c:dPt>
          <c:dPt>
            <c:idx val="20"/>
            <c:marker>
              <c:symbol val="diamond"/>
              <c:size val="6"/>
              <c:spPr>
                <a:noFill/>
                <a:ln w="12700">
                  <a:noFill/>
                </a:ln>
                <a:effectLst/>
              </c:spPr>
            </c:marker>
            <c:bubble3D val="0"/>
            <c:extLst>
              <c:ext xmlns:c16="http://schemas.microsoft.com/office/drawing/2014/chart" uri="{C3380CC4-5D6E-409C-BE32-E72D297353CC}">
                <c16:uniqueId val="{0000002E-7D95-4B46-B972-26248EB65109}"/>
              </c:ext>
            </c:extLst>
          </c:dPt>
          <c:dPt>
            <c:idx val="21"/>
            <c:marker>
              <c:symbol val="diamond"/>
              <c:size val="6"/>
              <c:spPr>
                <a:noFill/>
                <a:ln w="12700">
                  <a:noFill/>
                </a:ln>
                <a:effectLst/>
              </c:spPr>
            </c:marker>
            <c:bubble3D val="0"/>
            <c:extLst>
              <c:ext xmlns:c16="http://schemas.microsoft.com/office/drawing/2014/chart" uri="{C3380CC4-5D6E-409C-BE32-E72D297353CC}">
                <c16:uniqueId val="{0000002F-7D95-4B46-B972-26248EB65109}"/>
              </c:ext>
            </c:extLst>
          </c:dPt>
          <c:dPt>
            <c:idx val="23"/>
            <c:marker>
              <c:symbol val="diamond"/>
              <c:size val="6"/>
              <c:spPr>
                <a:noFill/>
                <a:ln w="12700">
                  <a:noFill/>
                </a:ln>
                <a:effectLst/>
              </c:spPr>
            </c:marker>
            <c:bubble3D val="0"/>
            <c:extLst>
              <c:ext xmlns:c16="http://schemas.microsoft.com/office/drawing/2014/chart" uri="{C3380CC4-5D6E-409C-BE32-E72D297353CC}">
                <c16:uniqueId val="{00000030-7D95-4B46-B972-26248EB65109}"/>
              </c:ext>
            </c:extLst>
          </c:dPt>
          <c:dPt>
            <c:idx val="24"/>
            <c:marker>
              <c:symbol val="diamond"/>
              <c:size val="6"/>
              <c:spPr>
                <a:noFill/>
                <a:ln w="12700">
                  <a:noFill/>
                </a:ln>
                <a:effectLst/>
              </c:spPr>
            </c:marker>
            <c:bubble3D val="0"/>
            <c:extLst>
              <c:ext xmlns:c16="http://schemas.microsoft.com/office/drawing/2014/chart" uri="{C3380CC4-5D6E-409C-BE32-E72D297353CC}">
                <c16:uniqueId val="{00000031-7D95-4B46-B972-26248EB65109}"/>
              </c:ext>
            </c:extLst>
          </c:dPt>
          <c:dPt>
            <c:idx val="25"/>
            <c:marker>
              <c:symbol val="diamond"/>
              <c:size val="6"/>
              <c:spPr>
                <a:noFill/>
                <a:ln w="12700">
                  <a:noFill/>
                </a:ln>
                <a:effectLst/>
              </c:spPr>
            </c:marker>
            <c:bubble3D val="0"/>
            <c:extLst>
              <c:ext xmlns:c16="http://schemas.microsoft.com/office/drawing/2014/chart" uri="{C3380CC4-5D6E-409C-BE32-E72D297353CC}">
                <c16:uniqueId val="{00000032-7D95-4B46-B972-26248EB65109}"/>
              </c:ext>
            </c:extLst>
          </c:dPt>
          <c:dPt>
            <c:idx val="26"/>
            <c:marker>
              <c:symbol val="diamond"/>
              <c:size val="6"/>
              <c:spPr>
                <a:noFill/>
                <a:ln w="12700">
                  <a:noFill/>
                </a:ln>
                <a:effectLst/>
              </c:spPr>
            </c:marker>
            <c:bubble3D val="0"/>
            <c:extLst>
              <c:ext xmlns:c16="http://schemas.microsoft.com/office/drawing/2014/chart" uri="{C3380CC4-5D6E-409C-BE32-E72D297353CC}">
                <c16:uniqueId val="{00000033-7D95-4B46-B972-26248EB65109}"/>
              </c:ext>
            </c:extLst>
          </c:dPt>
          <c:dPt>
            <c:idx val="28"/>
            <c:marker>
              <c:symbol val="diamond"/>
              <c:size val="6"/>
              <c:spPr>
                <a:noFill/>
                <a:ln w="12700">
                  <a:noFill/>
                </a:ln>
                <a:effectLst/>
              </c:spPr>
            </c:marker>
            <c:bubble3D val="0"/>
            <c:extLst>
              <c:ext xmlns:c16="http://schemas.microsoft.com/office/drawing/2014/chart" uri="{C3380CC4-5D6E-409C-BE32-E72D297353CC}">
                <c16:uniqueId val="{00000034-7D95-4B46-B972-26248EB65109}"/>
              </c:ext>
            </c:extLst>
          </c:dPt>
          <c:dPt>
            <c:idx val="29"/>
            <c:marker>
              <c:symbol val="diamond"/>
              <c:size val="6"/>
              <c:spPr>
                <a:noFill/>
                <a:ln w="12700">
                  <a:noFill/>
                </a:ln>
                <a:effectLst/>
              </c:spPr>
            </c:marker>
            <c:bubble3D val="0"/>
            <c:extLst>
              <c:ext xmlns:c16="http://schemas.microsoft.com/office/drawing/2014/chart" uri="{C3380CC4-5D6E-409C-BE32-E72D297353CC}">
                <c16:uniqueId val="{00000035-7D95-4B46-B972-26248EB65109}"/>
              </c:ext>
            </c:extLst>
          </c:dPt>
          <c:dPt>
            <c:idx val="30"/>
            <c:marker>
              <c:symbol val="diamond"/>
              <c:size val="6"/>
              <c:spPr>
                <a:noFill/>
                <a:ln w="12700">
                  <a:noFill/>
                </a:ln>
                <a:effectLst/>
              </c:spPr>
            </c:marker>
            <c:bubble3D val="0"/>
            <c:extLst>
              <c:ext xmlns:c16="http://schemas.microsoft.com/office/drawing/2014/chart" uri="{C3380CC4-5D6E-409C-BE32-E72D297353CC}">
                <c16:uniqueId val="{00000036-7D95-4B46-B972-26248EB65109}"/>
              </c:ext>
            </c:extLst>
          </c:dPt>
          <c:val>
            <c:numRef>
              <c:f>'Back-end'!$E$10:$AI$10</c:f>
              <c:numCache>
                <c:formatCode>#,##0</c:formatCode>
                <c:ptCount val="31"/>
                <c:pt idx="0">
                  <c:v>0</c:v>
                </c:pt>
                <c:pt idx="1">
                  <c:v>0</c:v>
                </c:pt>
                <c:pt idx="2">
                  <c:v>-344096.95315233897</c:v>
                </c:pt>
                <c:pt idx="3">
                  <c:v>-371413.48122050229</c:v>
                </c:pt>
                <c:pt idx="4">
                  <c:v>-385238.02755303844</c:v>
                </c:pt>
                <c:pt idx="5">
                  <c:v>-389371.56644971587</c:v>
                </c:pt>
                <c:pt idx="6">
                  <c:v>-378770.40062301647</c:v>
                </c:pt>
                <c:pt idx="7">
                  <c:v>-361400.68236151076</c:v>
                </c:pt>
                <c:pt idx="8">
                  <c:v>-336426.52923662611</c:v>
                </c:pt>
                <c:pt idx="9">
                  <c:v>-305107.09150877711</c:v>
                </c:pt>
                <c:pt idx="10">
                  <c:v>-266338.27571654145</c:v>
                </c:pt>
                <c:pt idx="11">
                  <c:v>-225602.35129728727</c:v>
                </c:pt>
                <c:pt idx="12">
                  <c:v>-181517.28193696131</c:v>
                </c:pt>
                <c:pt idx="13">
                  <c:v>-136894.9444322382</c:v>
                </c:pt>
                <c:pt idx="14">
                  <c:v>-92182.676472362349</c:v>
                </c:pt>
                <c:pt idx="15">
                  <c:v>-47964.327641886317</c:v>
                </c:pt>
                <c:pt idx="16">
                  <c:v>-3900.6207275998486</c:v>
                </c:pt>
                <c:pt idx="17">
                  <c:v>38639.773322672372</c:v>
                </c:pt>
                <c:pt idx="18">
                  <c:v>75771.337902796411</c:v>
                </c:pt>
                <c:pt idx="19">
                  <c:v>105766.45230918679</c:v>
                </c:pt>
                <c:pt idx="20">
                  <c:v>129783.33161504056</c:v>
                </c:pt>
                <c:pt idx="21">
                  <c:v>139290.57755253979</c:v>
                </c:pt>
                <c:pt idx="22">
                  <c:v>144999.47296270414</c:v>
                </c:pt>
                <c:pt idx="23">
                  <c:v>149385.42270214492</c:v>
                </c:pt>
                <c:pt idx="24">
                  <c:v>152521.46946236942</c:v>
                </c:pt>
                <c:pt idx="25">
                  <c:v>155201.49195727115</c:v>
                </c:pt>
                <c:pt idx="26">
                  <c:v>155506.8696008288</c:v>
                </c:pt>
                <c:pt idx="27">
                  <c:v>155688.5227091143</c:v>
                </c:pt>
                <c:pt idx="28">
                  <c:v>155285.81903093489</c:v>
                </c:pt>
                <c:pt idx="29">
                  <c:v>154561.60819598957</c:v>
                </c:pt>
                <c:pt idx="30">
                  <c:v>153718.54522887344</c:v>
                </c:pt>
              </c:numCache>
            </c:numRef>
          </c:val>
          <c:smooth val="0"/>
          <c:extLst>
            <c:ext xmlns:c16="http://schemas.microsoft.com/office/drawing/2014/chart" uri="{C3380CC4-5D6E-409C-BE32-E72D297353CC}">
              <c16:uniqueId val="{00000037-7D95-4B46-B972-26248EB65109}"/>
            </c:ext>
          </c:extLst>
        </c:ser>
        <c:dLbls>
          <c:showLegendKey val="0"/>
          <c:showVal val="0"/>
          <c:showCatName val="0"/>
          <c:showSerName val="0"/>
          <c:showPercent val="0"/>
          <c:showBubbleSize val="0"/>
        </c:dLbls>
        <c:marker val="1"/>
        <c:smooth val="0"/>
        <c:axId val="606980816"/>
        <c:axId val="606984336"/>
      </c:lineChart>
      <c:catAx>
        <c:axId val="606980816"/>
        <c:scaling>
          <c:orientation val="minMax"/>
        </c:scaling>
        <c:delete val="0"/>
        <c:axPos val="b"/>
        <c:majorGridlines>
          <c:spPr>
            <a:ln w="3175" cap="flat" cmpd="sng" algn="ctr">
              <a:solidFill>
                <a:schemeClr val="bg1">
                  <a:lumMod val="95000"/>
                </a:schemeClr>
              </a:solidFill>
              <a:round/>
            </a:ln>
            <a:effectLst/>
          </c:spPr>
        </c:majorGridlines>
        <c:numFmt formatCode="General" sourceLinked="1"/>
        <c:majorTickMark val="none"/>
        <c:minorTickMark val="none"/>
        <c:tickLblPos val="low"/>
        <c:spPr>
          <a:noFill/>
          <a:ln w="9525" cap="flat" cmpd="sng" algn="ctr">
            <a:solidFill>
              <a:schemeClr val="tx1">
                <a:lumMod val="50000"/>
                <a:lumOff val="50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606984336"/>
        <c:crosses val="autoZero"/>
        <c:auto val="1"/>
        <c:lblAlgn val="ctr"/>
        <c:lblOffset val="100"/>
        <c:noMultiLvlLbl val="0"/>
      </c:catAx>
      <c:valAx>
        <c:axId val="606984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lumMod val="65000"/>
                        <a:lumOff val="35000"/>
                      </a:sysClr>
                    </a:solidFill>
                    <a:latin typeface="+mn-lt"/>
                    <a:ea typeface="+mn-ea"/>
                    <a:cs typeface="+mn-cs"/>
                  </a:defRPr>
                </a:pPr>
                <a:r>
                  <a:rPr lang="de-AT" sz="1100" b="0" i="0" baseline="0">
                    <a:effectLst/>
                  </a:rPr>
                  <a:t>Annual costs [$/yr]</a:t>
                </a:r>
                <a:endParaRPr lang="de-AT" sz="1100" b="0"/>
              </a:p>
            </c:rich>
          </c:tx>
          <c:layout>
            <c:manualLayout>
              <c:xMode val="edge"/>
              <c:yMode val="edge"/>
              <c:x val="2.3504273504273504E-2"/>
              <c:y val="8.7009117281392434E-2"/>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lumMod val="65000"/>
                      <a:lumOff val="35000"/>
                    </a:sys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6980816"/>
        <c:crosses val="autoZero"/>
        <c:crossBetween val="between"/>
      </c:valAx>
      <c:spPr>
        <a:noFill/>
        <a:ln>
          <a:noFill/>
        </a:ln>
        <a:effectLst/>
      </c:spPr>
    </c:plotArea>
    <c:legend>
      <c:legendPos val="b"/>
      <c:legendEntry>
        <c:idx val="2"/>
        <c:delete val="1"/>
      </c:legendEntry>
      <c:legendEntry>
        <c:idx val="3"/>
        <c:delete val="1"/>
      </c:legendEntry>
      <c:layout>
        <c:manualLayout>
          <c:xMode val="edge"/>
          <c:yMode val="edge"/>
          <c:x val="0.41168473828527907"/>
          <c:y val="0.81965934521342732"/>
          <c:w val="0.36604145635641699"/>
          <c:h val="0.1534641525072523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0"/>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287778925786814"/>
          <c:y val="9.7945883857946836E-2"/>
          <c:w val="0.74977240824527425"/>
          <c:h val="0.555796943694426"/>
        </c:manualLayout>
      </c:layout>
      <c:areaChart>
        <c:grouping val="standard"/>
        <c:varyColors val="0"/>
        <c:ser>
          <c:idx val="0"/>
          <c:order val="0"/>
          <c:tx>
            <c:v>Costs</c:v>
          </c:tx>
          <c:spPr>
            <a:solidFill>
              <a:srgbClr val="FF0000">
                <a:alpha val="50000"/>
              </a:srgbClr>
            </a:solidFill>
            <a:ln>
              <a:noFill/>
            </a:ln>
            <a:effectLst/>
          </c:spPr>
          <c:cat>
            <c:numRef>
              <c:f>'Back-end'!$E$3:$AI$3</c:f>
              <c:numCache>
                <c:formatCode>General</c:formatCode>
                <c:ptCount val="3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numCache>
            </c:numRef>
          </c:cat>
          <c:val>
            <c:numRef>
              <c:f>'Back-end'!$E$191:$AI$191</c:f>
              <c:numCache>
                <c:formatCode>General</c:formatCode>
                <c:ptCount val="31"/>
                <c:pt idx="0">
                  <c:v>#N/A</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201570.51080757118</c:v>
                </c:pt>
                <c:pt idx="18">
                  <c:v>645649.60596504586</c:v>
                </c:pt>
                <c:pt idx="19">
                  <c:v>1009359.0377838805</c:v>
                </c:pt>
                <c:pt idx="20">
                  <c:v>1305748.8036484153</c:v>
                </c:pt>
                <c:pt idx="21">
                  <c:v>1439821.1059220107</c:v>
                </c:pt>
                <c:pt idx="22">
                  <c:v>1530342.8595498302</c:v>
                </c:pt>
                <c:pt idx="23">
                  <c:v>1605422.7694284259</c:v>
                </c:pt>
                <c:pt idx="24">
                  <c:v>1665874.0459694478</c:v>
                </c:pt>
                <c:pt idx="25">
                  <c:v>1720703.2585468085</c:v>
                </c:pt>
                <c:pt idx="26">
                  <c:v>1748096.9545723279</c:v>
                </c:pt>
                <c:pt idx="27">
                  <c:v>1773622.4700881799</c:v>
                </c:pt>
                <c:pt idx="28">
                  <c:v>1792037.5115853418</c:v>
                </c:pt>
                <c:pt idx="29">
                  <c:v>1806322.477059972</c:v>
                </c:pt>
                <c:pt idx="30">
                  <c:v>1818775.3451921833</c:v>
                </c:pt>
              </c:numCache>
            </c:numRef>
          </c:val>
          <c:extLst>
            <c:ext xmlns:c16="http://schemas.microsoft.com/office/drawing/2014/chart" uri="{C3380CC4-5D6E-409C-BE32-E72D297353CC}">
              <c16:uniqueId val="{00000000-4019-C441-BB4B-B93A3AF4A798}"/>
            </c:ext>
          </c:extLst>
        </c:ser>
        <c:ser>
          <c:idx val="1"/>
          <c:order val="1"/>
          <c:tx>
            <c:v>Value</c:v>
          </c:tx>
          <c:spPr>
            <a:solidFill>
              <a:schemeClr val="accent6">
                <a:lumMod val="75000"/>
                <a:alpha val="50000"/>
              </a:schemeClr>
            </a:solidFill>
            <a:ln>
              <a:noFill/>
            </a:ln>
            <a:effectLst/>
          </c:spPr>
          <c:cat>
            <c:numRef>
              <c:f>'Back-end'!$E$3:$AI$3</c:f>
              <c:numCache>
                <c:formatCode>General</c:formatCode>
                <c:ptCount val="3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numCache>
            </c:numRef>
          </c:cat>
          <c:val>
            <c:numRef>
              <c:f>'Back-end'!$E$190:$AI$190</c:f>
              <c:numCache>
                <c:formatCode>General</c:formatCode>
                <c:ptCount val="31"/>
                <c:pt idx="0">
                  <c:v>#N/A</c:v>
                </c:pt>
                <c:pt idx="1">
                  <c:v>-3640759.6399930678</c:v>
                </c:pt>
                <c:pt idx="2">
                  <c:v>-4163165.0045485548</c:v>
                </c:pt>
                <c:pt idx="3">
                  <c:v>-4506219.1226030663</c:v>
                </c:pt>
                <c:pt idx="4">
                  <c:v>-4689502.7871891949</c:v>
                </c:pt>
                <c:pt idx="5">
                  <c:v>-4756737.5962344604</c:v>
                </c:pt>
                <c:pt idx="6">
                  <c:v>-4651106.3366088877</c:v>
                </c:pt>
                <c:pt idx="7">
                  <c:v>-4463589.406908283</c:v>
                </c:pt>
                <c:pt idx="8">
                  <c:v>-4185117.3432390364</c:v>
                </c:pt>
                <c:pt idx="9">
                  <c:v>-3830396.8245171658</c:v>
                </c:pt>
                <c:pt idx="10">
                  <c:v>-3387252.941299154</c:v>
                </c:pt>
                <c:pt idx="11">
                  <c:v>-2911269.2923791925</c:v>
                </c:pt>
                <c:pt idx="12">
                  <c:v>-2395422.3427134613</c:v>
                </c:pt>
                <c:pt idx="13">
                  <c:v>-1871857.3250532437</c:v>
                </c:pt>
                <c:pt idx="14">
                  <c:v>-1345836.657861837</c:v>
                </c:pt>
                <c:pt idx="15">
                  <c:v>-824160.48170766118</c:v>
                </c:pt>
                <c:pt idx="16">
                  <c:v>-303126.82399831369</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extLst>
            <c:ext xmlns:c16="http://schemas.microsoft.com/office/drawing/2014/chart" uri="{C3380CC4-5D6E-409C-BE32-E72D297353CC}">
              <c16:uniqueId val="{00000001-4019-C441-BB4B-B93A3AF4A798}"/>
            </c:ext>
          </c:extLst>
        </c:ser>
        <c:dLbls>
          <c:showLegendKey val="0"/>
          <c:showVal val="0"/>
          <c:showCatName val="0"/>
          <c:showSerName val="0"/>
          <c:showPercent val="0"/>
          <c:showBubbleSize val="0"/>
        </c:dLbls>
        <c:axId val="606980816"/>
        <c:axId val="606984336"/>
      </c:areaChart>
      <c:lineChart>
        <c:grouping val="standard"/>
        <c:varyColors val="0"/>
        <c:ser>
          <c:idx val="2"/>
          <c:order val="2"/>
          <c:tx>
            <c:v>Line</c:v>
          </c:tx>
          <c:spPr>
            <a:ln w="12700" cap="rnd">
              <a:solidFill>
                <a:schemeClr val="tx1">
                  <a:lumMod val="75000"/>
                  <a:lumOff val="25000"/>
                </a:schemeClr>
              </a:solidFill>
              <a:round/>
            </a:ln>
            <a:effectLst/>
          </c:spPr>
          <c:marker>
            <c:symbol val="none"/>
          </c:marker>
          <c:val>
            <c:numRef>
              <c:f>'Back-end'!$E$189:$AI$189</c:f>
              <c:numCache>
                <c:formatCode>_-* #,##0\ _€_-;\-* #,##0\ _€_-;_-* "-"??\ _€_-;_-@_-</c:formatCode>
                <c:ptCount val="31"/>
                <c:pt idx="0">
                  <c:v>#N/A</c:v>
                </c:pt>
                <c:pt idx="1">
                  <c:v>-3640759.6399930678</c:v>
                </c:pt>
                <c:pt idx="2">
                  <c:v>-4163165.0045485548</c:v>
                </c:pt>
                <c:pt idx="3">
                  <c:v>-4506219.1226030663</c:v>
                </c:pt>
                <c:pt idx="4">
                  <c:v>-4689502.7871891949</c:v>
                </c:pt>
                <c:pt idx="5">
                  <c:v>-4756737.5962344604</c:v>
                </c:pt>
                <c:pt idx="6">
                  <c:v>-4651106.3366088877</c:v>
                </c:pt>
                <c:pt idx="7">
                  <c:v>-4463589.406908283</c:v>
                </c:pt>
                <c:pt idx="8">
                  <c:v>-4185117.3432390364</c:v>
                </c:pt>
                <c:pt idx="9">
                  <c:v>-3830396.8245171658</c:v>
                </c:pt>
                <c:pt idx="10">
                  <c:v>-3387252.941299154</c:v>
                </c:pt>
                <c:pt idx="11">
                  <c:v>-2911269.2923791925</c:v>
                </c:pt>
                <c:pt idx="12">
                  <c:v>-2395422.3427134613</c:v>
                </c:pt>
                <c:pt idx="13">
                  <c:v>-1871857.3250532437</c:v>
                </c:pt>
                <c:pt idx="14">
                  <c:v>-1345836.657861837</c:v>
                </c:pt>
                <c:pt idx="15">
                  <c:v>-824160.48170766118</c:v>
                </c:pt>
                <c:pt idx="16">
                  <c:v>-303126.82399831369</c:v>
                </c:pt>
                <c:pt idx="17">
                  <c:v>201570.51080757118</c:v>
                </c:pt>
                <c:pt idx="18">
                  <c:v>645649.60596504586</c:v>
                </c:pt>
                <c:pt idx="19">
                  <c:v>1009359.0377838805</c:v>
                </c:pt>
                <c:pt idx="20">
                  <c:v>1305748.8036484153</c:v>
                </c:pt>
                <c:pt idx="21">
                  <c:v>1439821.1059220107</c:v>
                </c:pt>
                <c:pt idx="22">
                  <c:v>1530342.8595498302</c:v>
                </c:pt>
                <c:pt idx="23">
                  <c:v>1605422.7694284259</c:v>
                </c:pt>
                <c:pt idx="24">
                  <c:v>1665874.0459694478</c:v>
                </c:pt>
                <c:pt idx="25">
                  <c:v>1720703.2585468085</c:v>
                </c:pt>
                <c:pt idx="26">
                  <c:v>1748096.9545723279</c:v>
                </c:pt>
                <c:pt idx="27">
                  <c:v>1773622.4700881799</c:v>
                </c:pt>
                <c:pt idx="28">
                  <c:v>1792037.5115853418</c:v>
                </c:pt>
                <c:pt idx="29">
                  <c:v>1806322.477059972</c:v>
                </c:pt>
                <c:pt idx="30">
                  <c:v>1818775.3451921833</c:v>
                </c:pt>
              </c:numCache>
            </c:numRef>
          </c:val>
          <c:smooth val="0"/>
          <c:extLst>
            <c:ext xmlns:c16="http://schemas.microsoft.com/office/drawing/2014/chart" uri="{C3380CC4-5D6E-409C-BE32-E72D297353CC}">
              <c16:uniqueId val="{00000002-4019-C441-BB4B-B93A3AF4A798}"/>
            </c:ext>
          </c:extLst>
        </c:ser>
        <c:dLbls>
          <c:showLegendKey val="0"/>
          <c:showVal val="0"/>
          <c:showCatName val="0"/>
          <c:showSerName val="0"/>
          <c:showPercent val="0"/>
          <c:showBubbleSize val="0"/>
        </c:dLbls>
        <c:marker val="1"/>
        <c:smooth val="0"/>
        <c:axId val="606980816"/>
        <c:axId val="606984336"/>
      </c:lineChart>
      <c:scatterChart>
        <c:scatterStyle val="lineMarker"/>
        <c:varyColors val="0"/>
        <c:ser>
          <c:idx val="3"/>
          <c:order val="3"/>
          <c:tx>
            <c:v>Points</c:v>
          </c:tx>
          <c:spPr>
            <a:ln w="25400" cap="rnd">
              <a:noFill/>
              <a:round/>
            </a:ln>
            <a:effectLst/>
          </c:spPr>
          <c:marker>
            <c:symbol val="circle"/>
            <c:size val="3"/>
            <c:spPr>
              <a:solidFill>
                <a:schemeClr val="tx1">
                  <a:lumMod val="75000"/>
                  <a:lumOff val="25000"/>
                </a:schemeClr>
              </a:solidFill>
              <a:ln w="9525">
                <a:noFill/>
              </a:ln>
              <a:effectLst/>
            </c:spPr>
          </c:marker>
          <c:dLbls>
            <c:dLbl>
              <c:idx val="2"/>
              <c:layout>
                <c:manualLayout>
                  <c:x val="-5.4492112921243015E-2"/>
                  <c:y val="8.3578077168119588E-2"/>
                </c:manualLayout>
              </c:layout>
              <c:showLegendKey val="0"/>
              <c:showVal val="1"/>
              <c:showCatName val="0"/>
              <c:showSerName val="0"/>
              <c:showPercent val="0"/>
              <c:showBubbleSize val="0"/>
              <c:extLst>
                <c:ext xmlns:c15="http://schemas.microsoft.com/office/drawing/2012/chart" uri="{CE6537A1-D6FC-4f65-9D91-7224C49458BB}">
                  <c15:layout>
                    <c:manualLayout>
                      <c:w val="0.28470360392929228"/>
                      <c:h val="0.10266259278251726"/>
                    </c:manualLayout>
                  </c15:layout>
                </c:ext>
                <c:ext xmlns:c16="http://schemas.microsoft.com/office/drawing/2014/chart" uri="{C3380CC4-5D6E-409C-BE32-E72D297353CC}">
                  <c16:uniqueId val="{00000003-4019-C441-BB4B-B93A3AF4A798}"/>
                </c:ext>
              </c:extLst>
            </c:dLbl>
            <c:dLbl>
              <c:idx val="22"/>
              <c:layout>
                <c:manualLayout>
                  <c:x val="-7.7594155925884131E-2"/>
                  <c:y val="-4.9230409239670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019-C441-BB4B-B93A3AF4A798}"/>
                </c:ext>
              </c:extLst>
            </c:dLbl>
            <c:dLbl>
              <c:idx val="27"/>
              <c:layout>
                <c:manualLayout>
                  <c:x val="-8.6058723898202686E-3"/>
                  <c:y val="-8.6961434069377758E-2"/>
                </c:manualLayout>
              </c:layout>
              <c:showLegendKey val="0"/>
              <c:showVal val="1"/>
              <c:showCatName val="0"/>
              <c:showSerName val="0"/>
              <c:showPercent val="0"/>
              <c:showBubbleSize val="0"/>
              <c:extLst>
                <c:ext xmlns:c15="http://schemas.microsoft.com/office/drawing/2012/chart" uri="{CE6537A1-D6FC-4f65-9D91-7224C49458BB}">
                  <c15:layout>
                    <c:manualLayout>
                      <c:w val="0.18248752402613883"/>
                      <c:h val="0.10266259278251726"/>
                    </c:manualLayout>
                  </c15:layout>
                </c:ext>
                <c:ext xmlns:c16="http://schemas.microsoft.com/office/drawing/2014/chart" uri="{C3380CC4-5D6E-409C-BE32-E72D297353CC}">
                  <c16:uniqueId val="{00000005-4019-C441-BB4B-B93A3AF4A798}"/>
                </c:ext>
              </c:extLst>
            </c:dLbl>
            <c:numFmt formatCode="#,##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'Back-end'!$E$192:$AI$192</c:f>
              <c:numCache>
                <c:formatCode>General</c:formatCode>
                <c:ptCount val="31"/>
                <c:pt idx="2">
                  <c:v>-4163165.0045485548</c:v>
                </c:pt>
                <c:pt idx="7">
                  <c:v>-4463589.406908283</c:v>
                </c:pt>
                <c:pt idx="12">
                  <c:v>-2395422.3427134613</c:v>
                </c:pt>
                <c:pt idx="17">
                  <c:v>201570.51080757118</c:v>
                </c:pt>
                <c:pt idx="22">
                  <c:v>1530342.8595498302</c:v>
                </c:pt>
                <c:pt idx="27">
                  <c:v>1773622.4700881799</c:v>
                </c:pt>
              </c:numCache>
            </c:numRef>
          </c:yVal>
          <c:smooth val="0"/>
          <c:extLst>
            <c:ext xmlns:c16="http://schemas.microsoft.com/office/drawing/2014/chart" uri="{C3380CC4-5D6E-409C-BE32-E72D297353CC}">
              <c16:uniqueId val="{00000006-4019-C441-BB4B-B93A3AF4A798}"/>
            </c:ext>
          </c:extLst>
        </c:ser>
        <c:dLbls>
          <c:showLegendKey val="0"/>
          <c:showVal val="0"/>
          <c:showCatName val="0"/>
          <c:showSerName val="0"/>
          <c:showPercent val="0"/>
          <c:showBubbleSize val="0"/>
        </c:dLbls>
        <c:axId val="606980816"/>
        <c:axId val="606984336"/>
      </c:scatterChart>
      <c:catAx>
        <c:axId val="606980816"/>
        <c:scaling>
          <c:orientation val="minMax"/>
        </c:scaling>
        <c:delete val="0"/>
        <c:axPos val="b"/>
        <c:majorGridlines>
          <c:spPr>
            <a:ln w="3175" cap="flat" cmpd="sng" algn="ctr">
              <a:solidFill>
                <a:schemeClr val="bg1">
                  <a:lumMod val="9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6984336"/>
        <c:crosses val="autoZero"/>
        <c:auto val="1"/>
        <c:lblAlgn val="ctr"/>
        <c:lblOffset val="100"/>
        <c:noMultiLvlLbl val="0"/>
      </c:catAx>
      <c:valAx>
        <c:axId val="606984336"/>
        <c:scaling>
          <c:orientation val="minMax"/>
          <c:max val="6000000"/>
          <c:min val="-140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lumMod val="65000"/>
                        <a:lumOff val="35000"/>
                      </a:sysClr>
                    </a:solidFill>
                    <a:latin typeface="+mn-lt"/>
                    <a:ea typeface="+mn-ea"/>
                    <a:cs typeface="+mn-cs"/>
                  </a:defRPr>
                </a:pPr>
                <a:r>
                  <a:rPr lang="de-AT" sz="1100" b="0" i="0" baseline="0">
                    <a:effectLst/>
                  </a:rPr>
                  <a:t>Costs [$/yr]</a:t>
                </a:r>
                <a:endParaRPr lang="de-AT" sz="1100" b="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100">
                    <a:solidFill>
                      <a:sysClr val="windowText" lastClr="000000">
                        <a:lumMod val="65000"/>
                        <a:lumOff val="35000"/>
                      </a:sysClr>
                    </a:solidFill>
                  </a:defRPr>
                </a:pPr>
                <a:endParaRPr lang="de-AT" sz="1100" b="0"/>
              </a:p>
            </c:rich>
          </c:tx>
          <c:layout>
            <c:manualLayout>
              <c:xMode val="edge"/>
              <c:yMode val="edge"/>
              <c:x val="5.1449040210570555E-4"/>
              <c:y val="0.25817024077778061"/>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lumMod val="65000"/>
                      <a:lumOff val="35000"/>
                    </a:sys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6980816"/>
        <c:crosses val="autoZero"/>
        <c:crossBetween val="between"/>
        <c:majorUnit val="5000000"/>
      </c:valAx>
      <c:spPr>
        <a:noFill/>
        <a:ln>
          <a:noFill/>
        </a:ln>
        <a:effectLst/>
      </c:spPr>
    </c:plotArea>
    <c:legend>
      <c:legendPos val="b"/>
      <c:legendEntry>
        <c:idx val="2"/>
        <c:delete val="1"/>
      </c:legendEntry>
      <c:legendEntry>
        <c:idx val="3"/>
        <c:delete val="1"/>
      </c:legendEntry>
      <c:layout>
        <c:manualLayout>
          <c:xMode val="edge"/>
          <c:yMode val="edge"/>
          <c:x val="0.31646307120184114"/>
          <c:y val="0.8801613624663478"/>
          <c:w val="0.43577904410354068"/>
          <c:h val="3.53604042471291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762144600490109"/>
          <c:y val="9.7945883857946836E-2"/>
          <c:w val="0.76157785862747429"/>
          <c:h val="0.55998000249968749"/>
        </c:manualLayout>
      </c:layout>
      <c:areaChart>
        <c:grouping val="standard"/>
        <c:varyColors val="0"/>
        <c:ser>
          <c:idx val="0"/>
          <c:order val="0"/>
          <c:tx>
            <c:v>Costs</c:v>
          </c:tx>
          <c:spPr>
            <a:solidFill>
              <a:srgbClr val="FF0000">
                <a:alpha val="50000"/>
              </a:srgbClr>
            </a:solidFill>
            <a:ln>
              <a:noFill/>
            </a:ln>
            <a:effectLst/>
          </c:spPr>
          <c:cat>
            <c:numRef>
              <c:f>'Back-end'!$E$3:$AI$3</c:f>
              <c:numCache>
                <c:formatCode>General</c:formatCode>
                <c:ptCount val="3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numCache>
            </c:numRef>
          </c:cat>
          <c:val>
            <c:numRef>
              <c:f>'Back-end'!$E$191:$AI$191</c:f>
              <c:numCache>
                <c:formatCode>General</c:formatCode>
                <c:ptCount val="31"/>
                <c:pt idx="0">
                  <c:v>#N/A</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196157.28814860631</c:v>
                </c:pt>
                <c:pt idx="17">
                  <c:v>1560231.2695472075</c:v>
                </c:pt>
                <c:pt idx="18">
                  <c:v>2749222.7079336252</c:v>
                </c:pt>
                <c:pt idx="19">
                  <c:v>3707489.2907020925</c:v>
                </c:pt>
                <c:pt idx="20">
                  <c:v>4472453.7239923282</c:v>
                </c:pt>
                <c:pt idx="21">
                  <c:v>4765126.3427137714</c:v>
                </c:pt>
                <c:pt idx="22">
                  <c:v>4935472.6622285647</c:v>
                </c:pt>
                <c:pt idx="23">
                  <c:v>5063338.8232305618</c:v>
                </c:pt>
                <c:pt idx="24">
                  <c:v>5151090.812332863</c:v>
                </c:pt>
                <c:pt idx="25">
                  <c:v>5224340.7468915256</c:v>
                </c:pt>
                <c:pt idx="26">
                  <c:v>5221218.6341009848</c:v>
                </c:pt>
                <c:pt idx="27">
                  <c:v>5214324.909911924</c:v>
                </c:pt>
                <c:pt idx="28">
                  <c:v>5188808.6621297747</c:v>
                </c:pt>
                <c:pt idx="29">
                  <c:v>5153150.8998694969</c:v>
                </c:pt>
                <c:pt idx="30">
                  <c:v>5113890.3276750166</c:v>
                </c:pt>
              </c:numCache>
            </c:numRef>
          </c:val>
          <c:extLst>
            <c:ext xmlns:c16="http://schemas.microsoft.com/office/drawing/2014/chart" uri="{C3380CC4-5D6E-409C-BE32-E72D297353CC}">
              <c16:uniqueId val="{00000000-6D01-4549-89FF-B0CBDA4AD7C5}"/>
            </c:ext>
          </c:extLst>
        </c:ser>
        <c:ser>
          <c:idx val="1"/>
          <c:order val="1"/>
          <c:tx>
            <c:v>Value</c:v>
          </c:tx>
          <c:spPr>
            <a:solidFill>
              <a:schemeClr val="accent6">
                <a:lumMod val="75000"/>
                <a:alpha val="50000"/>
              </a:schemeClr>
            </a:solidFill>
            <a:ln>
              <a:noFill/>
            </a:ln>
            <a:effectLst/>
          </c:spPr>
          <c:cat>
            <c:numRef>
              <c:f>'Back-end'!$E$3:$AI$3</c:f>
              <c:numCache>
                <c:formatCode>General</c:formatCode>
                <c:ptCount val="3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numCache>
            </c:numRef>
          </c:cat>
          <c:val>
            <c:numRef>
              <c:f>'Back-end'!$E$190:$AI$190</c:f>
              <c:numCache>
                <c:formatCode>General</c:formatCode>
                <c:ptCount val="31"/>
                <c:pt idx="0">
                  <c:v>#N/A</c:v>
                </c:pt>
                <c:pt idx="1">
                  <c:v>-9555144.3827999514</c:v>
                </c:pt>
                <c:pt idx="2">
                  <c:v>-10890140.428434405</c:v>
                </c:pt>
                <c:pt idx="3">
                  <c:v>-11740614.647361947</c:v>
                </c:pt>
                <c:pt idx="4">
                  <c:v>-12160166.678459534</c:v>
                </c:pt>
                <c:pt idx="5">
                  <c:v>-12271047.9010708</c:v>
                </c:pt>
                <c:pt idx="6">
                  <c:v>-11910283.500854224</c:v>
                </c:pt>
                <c:pt idx="7">
                  <c:v>-11334500.343559848</c:v>
                </c:pt>
                <c:pt idx="8">
                  <c:v>-10516471.335060766</c:v>
                </c:pt>
                <c:pt idx="9">
                  <c:v>-9496555.0390549861</c:v>
                </c:pt>
                <c:pt idx="10">
                  <c:v>-8238910.7569702165</c:v>
                </c:pt>
                <c:pt idx="11">
                  <c:v>-6927206.6366545083</c:v>
                </c:pt>
                <c:pt idx="12">
                  <c:v>-5508734.6057947837</c:v>
                </c:pt>
                <c:pt idx="13">
                  <c:v>-4074059.1926229917</c:v>
                </c:pt>
                <c:pt idx="14">
                  <c:v>-2637495.3408730095</c:v>
                </c:pt>
                <c:pt idx="15">
                  <c:v>-1217769.1046765135</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extLst>
            <c:ext xmlns:c16="http://schemas.microsoft.com/office/drawing/2014/chart" uri="{C3380CC4-5D6E-409C-BE32-E72D297353CC}">
              <c16:uniqueId val="{00000001-6D01-4549-89FF-B0CBDA4AD7C5}"/>
            </c:ext>
          </c:extLst>
        </c:ser>
        <c:dLbls>
          <c:showLegendKey val="0"/>
          <c:showVal val="0"/>
          <c:showCatName val="0"/>
          <c:showSerName val="0"/>
          <c:showPercent val="0"/>
          <c:showBubbleSize val="0"/>
        </c:dLbls>
        <c:axId val="606980816"/>
        <c:axId val="606984336"/>
      </c:areaChart>
      <c:lineChart>
        <c:grouping val="standard"/>
        <c:varyColors val="0"/>
        <c:ser>
          <c:idx val="2"/>
          <c:order val="2"/>
          <c:tx>
            <c:v>Line</c:v>
          </c:tx>
          <c:spPr>
            <a:ln w="12700" cap="rnd">
              <a:solidFill>
                <a:schemeClr val="tx1">
                  <a:lumMod val="75000"/>
                  <a:lumOff val="25000"/>
                </a:schemeClr>
              </a:solidFill>
              <a:round/>
            </a:ln>
            <a:effectLst/>
          </c:spPr>
          <c:marker>
            <c:symbol val="none"/>
          </c:marker>
          <c:val>
            <c:numRef>
              <c:f>'Back-end'!$E$189:$AI$189</c:f>
              <c:numCache>
                <c:formatCode>_-* #,##0\ _€_-;\-* #,##0\ _€_-;_-* "-"??\ _€_-;_-@_-</c:formatCode>
                <c:ptCount val="31"/>
                <c:pt idx="0">
                  <c:v>#N/A</c:v>
                </c:pt>
                <c:pt idx="1">
                  <c:v>-9555144.3827999514</c:v>
                </c:pt>
                <c:pt idx="2">
                  <c:v>-10890140.428434405</c:v>
                </c:pt>
                <c:pt idx="3">
                  <c:v>-11740614.647361947</c:v>
                </c:pt>
                <c:pt idx="4">
                  <c:v>-12160166.678459534</c:v>
                </c:pt>
                <c:pt idx="5">
                  <c:v>-12271047.9010708</c:v>
                </c:pt>
                <c:pt idx="6">
                  <c:v>-11910283.500854224</c:v>
                </c:pt>
                <c:pt idx="7">
                  <c:v>-11334500.343559848</c:v>
                </c:pt>
                <c:pt idx="8">
                  <c:v>-10516471.335060766</c:v>
                </c:pt>
                <c:pt idx="9">
                  <c:v>-9496555.0390549861</c:v>
                </c:pt>
                <c:pt idx="10">
                  <c:v>-8238910.7569702165</c:v>
                </c:pt>
                <c:pt idx="11">
                  <c:v>-6927206.6366545083</c:v>
                </c:pt>
                <c:pt idx="12">
                  <c:v>-5508734.6057947837</c:v>
                </c:pt>
                <c:pt idx="13">
                  <c:v>-4074059.1926229917</c:v>
                </c:pt>
                <c:pt idx="14">
                  <c:v>-2637495.3408730095</c:v>
                </c:pt>
                <c:pt idx="15">
                  <c:v>-1217769.1046765135</c:v>
                </c:pt>
                <c:pt idx="16">
                  <c:v>196157.28814860631</c:v>
                </c:pt>
                <c:pt idx="17">
                  <c:v>1560231.2695472075</c:v>
                </c:pt>
                <c:pt idx="18">
                  <c:v>2749222.7079336252</c:v>
                </c:pt>
                <c:pt idx="19">
                  <c:v>3707489.2907020925</c:v>
                </c:pt>
                <c:pt idx="20">
                  <c:v>4472453.7239923282</c:v>
                </c:pt>
                <c:pt idx="21">
                  <c:v>4765126.3427137714</c:v>
                </c:pt>
                <c:pt idx="22">
                  <c:v>4935472.6622285647</c:v>
                </c:pt>
                <c:pt idx="23">
                  <c:v>5063338.8232305618</c:v>
                </c:pt>
                <c:pt idx="24">
                  <c:v>5151090.812332863</c:v>
                </c:pt>
                <c:pt idx="25">
                  <c:v>5224340.7468915256</c:v>
                </c:pt>
                <c:pt idx="26">
                  <c:v>5221218.6341009848</c:v>
                </c:pt>
                <c:pt idx="27">
                  <c:v>5214324.909911924</c:v>
                </c:pt>
                <c:pt idx="28">
                  <c:v>5188808.6621297747</c:v>
                </c:pt>
                <c:pt idx="29">
                  <c:v>5153150.8998694969</c:v>
                </c:pt>
                <c:pt idx="30">
                  <c:v>5113890.3276750166</c:v>
                </c:pt>
              </c:numCache>
            </c:numRef>
          </c:val>
          <c:smooth val="0"/>
          <c:extLst>
            <c:ext xmlns:c16="http://schemas.microsoft.com/office/drawing/2014/chart" uri="{C3380CC4-5D6E-409C-BE32-E72D297353CC}">
              <c16:uniqueId val="{00000002-6D01-4549-89FF-B0CBDA4AD7C5}"/>
            </c:ext>
          </c:extLst>
        </c:ser>
        <c:dLbls>
          <c:showLegendKey val="0"/>
          <c:showVal val="0"/>
          <c:showCatName val="0"/>
          <c:showSerName val="0"/>
          <c:showPercent val="0"/>
          <c:showBubbleSize val="0"/>
        </c:dLbls>
        <c:marker val="1"/>
        <c:smooth val="0"/>
        <c:axId val="606980816"/>
        <c:axId val="606984336"/>
      </c:lineChart>
      <c:scatterChart>
        <c:scatterStyle val="lineMarker"/>
        <c:varyColors val="0"/>
        <c:ser>
          <c:idx val="3"/>
          <c:order val="3"/>
          <c:tx>
            <c:v>Points</c:v>
          </c:tx>
          <c:spPr>
            <a:ln w="25400" cap="rnd">
              <a:noFill/>
              <a:round/>
            </a:ln>
            <a:effectLst/>
          </c:spPr>
          <c:marker>
            <c:symbol val="circle"/>
            <c:size val="3"/>
            <c:spPr>
              <a:solidFill>
                <a:schemeClr val="tx1">
                  <a:lumMod val="75000"/>
                  <a:lumOff val="25000"/>
                </a:schemeClr>
              </a:solidFill>
              <a:ln w="9525">
                <a:noFill/>
              </a:ln>
              <a:effectLst/>
            </c:spPr>
          </c:marker>
          <c:dLbls>
            <c:dLbl>
              <c:idx val="2"/>
              <c:layout>
                <c:manualLayout>
                  <c:x val="-3.7825030937599091E-2"/>
                  <c:y val="-5.9494590442652547E-2"/>
                </c:manualLayout>
              </c:layout>
              <c:showLegendKey val="0"/>
              <c:showVal val="1"/>
              <c:showCatName val="0"/>
              <c:showSerName val="0"/>
              <c:showPercent val="0"/>
              <c:showBubbleSize val="0"/>
              <c:extLst>
                <c:ext xmlns:c15="http://schemas.microsoft.com/office/drawing/2012/chart" uri="{CE6537A1-D6FC-4f65-9D91-7224C49458BB}">
                  <c15:layout>
                    <c:manualLayout>
                      <c:w val="0.27886489167000489"/>
                      <c:h val="0.10611285166807373"/>
                    </c:manualLayout>
                  </c15:layout>
                </c:ext>
                <c:ext xmlns:c16="http://schemas.microsoft.com/office/drawing/2014/chart" uri="{C3380CC4-5D6E-409C-BE32-E72D297353CC}">
                  <c16:uniqueId val="{00000003-6D01-4549-89FF-B0CBDA4AD7C5}"/>
                </c:ext>
              </c:extLst>
            </c:dLbl>
            <c:dLbl>
              <c:idx val="7"/>
              <c:showLegendKey val="0"/>
              <c:showVal val="1"/>
              <c:showCatName val="0"/>
              <c:showSerName val="0"/>
              <c:showPercent val="0"/>
              <c:showBubbleSize val="0"/>
              <c:extLst>
                <c:ext xmlns:c15="http://schemas.microsoft.com/office/drawing/2012/chart" uri="{CE6537A1-D6FC-4f65-9D91-7224C49458BB}">
                  <c15:layout>
                    <c:manualLayout>
                      <c:w val="0.3015599102325644"/>
                      <c:h val="0.10611285166807373"/>
                    </c:manualLayout>
                  </c15:layout>
                </c:ext>
                <c:ext xmlns:c16="http://schemas.microsoft.com/office/drawing/2014/chart" uri="{C3380CC4-5D6E-409C-BE32-E72D297353CC}">
                  <c16:uniqueId val="{00000004-6D01-4549-89FF-B0CBDA4AD7C5}"/>
                </c:ext>
              </c:extLst>
            </c:dLbl>
            <c:dLbl>
              <c:idx val="27"/>
              <c:layout>
                <c:manualLayout>
                  <c:x val="0"/>
                  <c:y val="-5.52449768396058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D01-4549-89FF-B0CBDA4AD7C5}"/>
                </c:ext>
              </c:extLst>
            </c:dLbl>
            <c:numFmt formatCode="#,##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'Back-end'!$E$192:$AI$192</c:f>
              <c:numCache>
                <c:formatCode>General</c:formatCode>
                <c:ptCount val="31"/>
                <c:pt idx="2">
                  <c:v>-10890140.428434405</c:v>
                </c:pt>
                <c:pt idx="7">
                  <c:v>-11334500.343559848</c:v>
                </c:pt>
                <c:pt idx="12">
                  <c:v>-5508734.6057947837</c:v>
                </c:pt>
                <c:pt idx="17">
                  <c:v>1560231.2695472075</c:v>
                </c:pt>
                <c:pt idx="22">
                  <c:v>4935472.6622285647</c:v>
                </c:pt>
                <c:pt idx="27">
                  <c:v>5214324.909911924</c:v>
                </c:pt>
              </c:numCache>
            </c:numRef>
          </c:yVal>
          <c:smooth val="0"/>
          <c:extLst>
            <c:ext xmlns:c16="http://schemas.microsoft.com/office/drawing/2014/chart" uri="{C3380CC4-5D6E-409C-BE32-E72D297353CC}">
              <c16:uniqueId val="{00000006-6D01-4549-89FF-B0CBDA4AD7C5}"/>
            </c:ext>
          </c:extLst>
        </c:ser>
        <c:dLbls>
          <c:showLegendKey val="0"/>
          <c:showVal val="0"/>
          <c:showCatName val="0"/>
          <c:showSerName val="0"/>
          <c:showPercent val="0"/>
          <c:showBubbleSize val="0"/>
        </c:dLbls>
        <c:axId val="606980816"/>
        <c:axId val="606984336"/>
      </c:scatterChart>
      <c:catAx>
        <c:axId val="606980816"/>
        <c:scaling>
          <c:orientation val="minMax"/>
        </c:scaling>
        <c:delete val="0"/>
        <c:axPos val="b"/>
        <c:majorGridlines>
          <c:spPr>
            <a:ln w="3175" cap="flat" cmpd="sng" algn="ctr">
              <a:solidFill>
                <a:schemeClr val="bg1">
                  <a:lumMod val="9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6984336"/>
        <c:crosses val="autoZero"/>
        <c:auto val="1"/>
        <c:lblAlgn val="ctr"/>
        <c:lblOffset val="100"/>
        <c:noMultiLvlLbl val="0"/>
      </c:catAx>
      <c:valAx>
        <c:axId val="606984336"/>
        <c:scaling>
          <c:orientation val="minMax"/>
          <c:max val="60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lumMod val="65000"/>
                        <a:lumOff val="35000"/>
                      </a:sysClr>
                    </a:solidFill>
                    <a:latin typeface="+mn-lt"/>
                    <a:ea typeface="+mn-ea"/>
                    <a:cs typeface="+mn-cs"/>
                  </a:defRPr>
                </a:pPr>
                <a:r>
                  <a:rPr lang="de-AT" sz="1100" b="0" i="0" baseline="0">
                    <a:effectLst/>
                  </a:rPr>
                  <a:t>Costs [$/yr]</a:t>
                </a:r>
                <a:endParaRPr lang="de-AT" sz="1100" b="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100">
                    <a:solidFill>
                      <a:sysClr val="windowText" lastClr="000000">
                        <a:lumMod val="65000"/>
                        <a:lumOff val="35000"/>
                      </a:sysClr>
                    </a:solidFill>
                  </a:defRPr>
                </a:pPr>
                <a:endParaRPr lang="de-AT" sz="1100" b="0"/>
              </a:p>
            </c:rich>
          </c:tx>
          <c:layout>
            <c:manualLayout>
              <c:xMode val="edge"/>
              <c:yMode val="edge"/>
              <c:x val="0"/>
              <c:y val="0.23725019917845355"/>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lumMod val="65000"/>
                      <a:lumOff val="35000"/>
                    </a:sys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6980816"/>
        <c:crosses val="autoZero"/>
        <c:crossBetween val="between"/>
        <c:majorUnit val="5000000"/>
      </c:valAx>
      <c:spPr>
        <a:noFill/>
        <a:ln>
          <a:noFill/>
        </a:ln>
        <a:effectLst/>
      </c:spPr>
    </c:plotArea>
    <c:legend>
      <c:legendPos val="b"/>
      <c:legendEntry>
        <c:idx val="2"/>
        <c:delete val="1"/>
      </c:legendEntry>
      <c:legendEntry>
        <c:idx val="3"/>
        <c:delete val="1"/>
      </c:legendEntry>
      <c:layout>
        <c:manualLayout>
          <c:xMode val="edge"/>
          <c:yMode val="edge"/>
          <c:x val="0.26762142136395056"/>
          <c:y val="0.87502974743137396"/>
          <c:w val="0.62343424475773357"/>
          <c:h val="4.810930675417525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907040889323738"/>
          <c:y val="9.7945883857946836E-2"/>
          <c:w val="0.73726378567337214"/>
          <c:h val="0.55607452621721776"/>
        </c:manualLayout>
      </c:layout>
      <c:areaChart>
        <c:grouping val="standard"/>
        <c:varyColors val="0"/>
        <c:ser>
          <c:idx val="0"/>
          <c:order val="0"/>
          <c:tx>
            <c:v>Costs</c:v>
          </c:tx>
          <c:spPr>
            <a:solidFill>
              <a:srgbClr val="FF0000">
                <a:alpha val="50000"/>
              </a:srgbClr>
            </a:solidFill>
            <a:ln>
              <a:noFill/>
            </a:ln>
            <a:effectLst/>
          </c:spPr>
          <c:cat>
            <c:numRef>
              <c:f>'Back-end'!$E$3:$AI$3</c:f>
              <c:numCache>
                <c:formatCode>General</c:formatCode>
                <c:ptCount val="3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numCache>
            </c:numRef>
          </c:cat>
          <c:val>
            <c:numRef>
              <c:f>'Back-end'!$E$191:$AI$191</c:f>
              <c:numCache>
                <c:formatCode>General</c:formatCode>
                <c:ptCount val="31"/>
                <c:pt idx="0">
                  <c:v>#N/A</c:v>
                </c:pt>
                <c:pt idx="1">
                  <c:v>0</c:v>
                </c:pt>
                <c:pt idx="2">
                  <c:v>0</c:v>
                </c:pt>
                <c:pt idx="3">
                  <c:v>0</c:v>
                </c:pt>
                <c:pt idx="4">
                  <c:v>0</c:v>
                </c:pt>
                <c:pt idx="5">
                  <c:v>0</c:v>
                </c:pt>
                <c:pt idx="6">
                  <c:v>0</c:v>
                </c:pt>
                <c:pt idx="7">
                  <c:v>0</c:v>
                </c:pt>
                <c:pt idx="8">
                  <c:v>0</c:v>
                </c:pt>
                <c:pt idx="9">
                  <c:v>308428.27678523725</c:v>
                </c:pt>
                <c:pt idx="10">
                  <c:v>843316.17610175011</c:v>
                </c:pt>
                <c:pt idx="11">
                  <c:v>1328887.5146784734</c:v>
                </c:pt>
                <c:pt idx="12">
                  <c:v>1839918.9657264962</c:v>
                </c:pt>
                <c:pt idx="13">
                  <c:v>2354016.3985093837</c:v>
                </c:pt>
                <c:pt idx="14">
                  <c:v>2867606.9361837292</c:v>
                </c:pt>
                <c:pt idx="15">
                  <c:v>3376032.4219638174</c:v>
                </c:pt>
                <c:pt idx="16">
                  <c:v>3881983.2459463426</c:v>
                </c:pt>
                <c:pt idx="17">
                  <c:v>4374556.9311819719</c:v>
                </c:pt>
                <c:pt idx="18">
                  <c:v>4822819.8576746937</c:v>
                </c:pt>
                <c:pt idx="19">
                  <c:v>5213014.5460765837</c:v>
                </c:pt>
                <c:pt idx="20">
                  <c:v>5554353.435685317</c:v>
                </c:pt>
                <c:pt idx="21">
                  <c:v>5712994.5165587282</c:v>
                </c:pt>
                <c:pt idx="22">
                  <c:v>5840589.7276395503</c:v>
                </c:pt>
                <c:pt idx="23">
                  <c:v>5956842.1189401262</c:v>
                </c:pt>
                <c:pt idx="24">
                  <c:v>6062334.0311591234</c:v>
                </c:pt>
                <c:pt idx="25">
                  <c:v>6163385.3341370337</c:v>
                </c:pt>
                <c:pt idx="26">
                  <c:v>6244726.6958398148</c:v>
                </c:pt>
                <c:pt idx="27">
                  <c:v>6324275.3189332103</c:v>
                </c:pt>
                <c:pt idx="28">
                  <c:v>6398366.7055773828</c:v>
                </c:pt>
                <c:pt idx="29">
                  <c:v>6469094.8781203907</c:v>
                </c:pt>
                <c:pt idx="30">
                  <c:v>6538074.9020888563</c:v>
                </c:pt>
              </c:numCache>
            </c:numRef>
          </c:val>
          <c:extLst>
            <c:ext xmlns:c16="http://schemas.microsoft.com/office/drawing/2014/chart" uri="{C3380CC4-5D6E-409C-BE32-E72D297353CC}">
              <c16:uniqueId val="{00000000-C564-2545-BA89-453D9E93C367}"/>
            </c:ext>
          </c:extLst>
        </c:ser>
        <c:ser>
          <c:idx val="1"/>
          <c:order val="1"/>
          <c:tx>
            <c:v>Value</c:v>
          </c:tx>
          <c:spPr>
            <a:solidFill>
              <a:schemeClr val="accent6">
                <a:lumMod val="75000"/>
                <a:alpha val="50000"/>
              </a:schemeClr>
            </a:solidFill>
            <a:ln>
              <a:noFill/>
            </a:ln>
            <a:effectLst/>
          </c:spPr>
          <c:cat>
            <c:numRef>
              <c:f>'Back-end'!$E$3:$AI$3</c:f>
              <c:numCache>
                <c:formatCode>General</c:formatCode>
                <c:ptCount val="3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numCache>
            </c:numRef>
          </c:cat>
          <c:val>
            <c:numRef>
              <c:f>'Back-end'!$E$190:$AI$190</c:f>
              <c:numCache>
                <c:formatCode>General</c:formatCode>
                <c:ptCount val="31"/>
                <c:pt idx="0">
                  <c:v>#N/A</c:v>
                </c:pt>
                <c:pt idx="1">
                  <c:v>-1527080.957646067</c:v>
                </c:pt>
                <c:pt idx="2">
                  <c:v>-1627507.5177364545</c:v>
                </c:pt>
                <c:pt idx="3">
                  <c:v>-1608512.5417798578</c:v>
                </c:pt>
                <c:pt idx="4">
                  <c:v>-1483459.3961781031</c:v>
                </c:pt>
                <c:pt idx="5">
                  <c:v>-1282644.3908934712</c:v>
                </c:pt>
                <c:pt idx="6">
                  <c:v>-965963.67174495279</c:v>
                </c:pt>
                <c:pt idx="7">
                  <c:v>-596858.63684278936</c:v>
                </c:pt>
                <c:pt idx="8">
                  <c:v>-168710.29139687924</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extLst>
            <c:ext xmlns:c16="http://schemas.microsoft.com/office/drawing/2014/chart" uri="{C3380CC4-5D6E-409C-BE32-E72D297353CC}">
              <c16:uniqueId val="{00000001-C564-2545-BA89-453D9E93C367}"/>
            </c:ext>
          </c:extLst>
        </c:ser>
        <c:dLbls>
          <c:showLegendKey val="0"/>
          <c:showVal val="0"/>
          <c:showCatName val="0"/>
          <c:showSerName val="0"/>
          <c:showPercent val="0"/>
          <c:showBubbleSize val="0"/>
        </c:dLbls>
        <c:axId val="606980816"/>
        <c:axId val="606984336"/>
      </c:areaChart>
      <c:lineChart>
        <c:grouping val="standard"/>
        <c:varyColors val="0"/>
        <c:ser>
          <c:idx val="2"/>
          <c:order val="2"/>
          <c:tx>
            <c:v>Line</c:v>
          </c:tx>
          <c:spPr>
            <a:ln w="12700" cap="rnd">
              <a:solidFill>
                <a:schemeClr val="tx1">
                  <a:lumMod val="75000"/>
                  <a:lumOff val="25000"/>
                </a:schemeClr>
              </a:solidFill>
              <a:round/>
            </a:ln>
            <a:effectLst/>
          </c:spPr>
          <c:marker>
            <c:symbol val="none"/>
          </c:marker>
          <c:val>
            <c:numRef>
              <c:f>'Back-end'!$E$189:$AI$189</c:f>
              <c:numCache>
                <c:formatCode>_-* #,##0\ _€_-;\-* #,##0\ _€_-;_-* "-"??\ _€_-;_-@_-</c:formatCode>
                <c:ptCount val="31"/>
                <c:pt idx="0">
                  <c:v>#N/A</c:v>
                </c:pt>
                <c:pt idx="1">
                  <c:v>-1527080.957646067</c:v>
                </c:pt>
                <c:pt idx="2">
                  <c:v>-1627507.5177364545</c:v>
                </c:pt>
                <c:pt idx="3">
                  <c:v>-1608512.5417798578</c:v>
                </c:pt>
                <c:pt idx="4">
                  <c:v>-1483459.3961781031</c:v>
                </c:pt>
                <c:pt idx="5">
                  <c:v>-1282644.3908934712</c:v>
                </c:pt>
                <c:pt idx="6">
                  <c:v>-965963.67174495279</c:v>
                </c:pt>
                <c:pt idx="7">
                  <c:v>-596858.63684278936</c:v>
                </c:pt>
                <c:pt idx="8">
                  <c:v>-168710.29139687924</c:v>
                </c:pt>
                <c:pt idx="9">
                  <c:v>308428.27678523725</c:v>
                </c:pt>
                <c:pt idx="10">
                  <c:v>843316.17610175011</c:v>
                </c:pt>
                <c:pt idx="11">
                  <c:v>1328887.5146784734</c:v>
                </c:pt>
                <c:pt idx="12">
                  <c:v>1839918.9657264962</c:v>
                </c:pt>
                <c:pt idx="13">
                  <c:v>2354016.3985093837</c:v>
                </c:pt>
                <c:pt idx="14">
                  <c:v>2867606.9361837292</c:v>
                </c:pt>
                <c:pt idx="15">
                  <c:v>3376032.4219638174</c:v>
                </c:pt>
                <c:pt idx="16">
                  <c:v>3881983.2459463426</c:v>
                </c:pt>
                <c:pt idx="17">
                  <c:v>4374556.9311819719</c:v>
                </c:pt>
                <c:pt idx="18">
                  <c:v>4822819.8576746937</c:v>
                </c:pt>
                <c:pt idx="19">
                  <c:v>5213014.5460765837</c:v>
                </c:pt>
                <c:pt idx="20">
                  <c:v>5554353.435685317</c:v>
                </c:pt>
                <c:pt idx="21">
                  <c:v>5712994.5165587282</c:v>
                </c:pt>
                <c:pt idx="22">
                  <c:v>5840589.7276395503</c:v>
                </c:pt>
                <c:pt idx="23">
                  <c:v>5956842.1189401262</c:v>
                </c:pt>
                <c:pt idx="24">
                  <c:v>6062334.0311591234</c:v>
                </c:pt>
                <c:pt idx="25">
                  <c:v>6163385.3341370337</c:v>
                </c:pt>
                <c:pt idx="26">
                  <c:v>6244726.6958398148</c:v>
                </c:pt>
                <c:pt idx="27">
                  <c:v>6324275.3189332103</c:v>
                </c:pt>
                <c:pt idx="28">
                  <c:v>6398366.7055773828</c:v>
                </c:pt>
                <c:pt idx="29">
                  <c:v>6469094.8781203907</c:v>
                </c:pt>
                <c:pt idx="30">
                  <c:v>6538074.9020888563</c:v>
                </c:pt>
              </c:numCache>
            </c:numRef>
          </c:val>
          <c:smooth val="0"/>
          <c:extLst>
            <c:ext xmlns:c16="http://schemas.microsoft.com/office/drawing/2014/chart" uri="{C3380CC4-5D6E-409C-BE32-E72D297353CC}">
              <c16:uniqueId val="{00000002-C564-2545-BA89-453D9E93C367}"/>
            </c:ext>
          </c:extLst>
        </c:ser>
        <c:dLbls>
          <c:showLegendKey val="0"/>
          <c:showVal val="0"/>
          <c:showCatName val="0"/>
          <c:showSerName val="0"/>
          <c:showPercent val="0"/>
          <c:showBubbleSize val="0"/>
        </c:dLbls>
        <c:marker val="1"/>
        <c:smooth val="0"/>
        <c:axId val="606980816"/>
        <c:axId val="606984336"/>
      </c:lineChart>
      <c:scatterChart>
        <c:scatterStyle val="lineMarker"/>
        <c:varyColors val="0"/>
        <c:ser>
          <c:idx val="3"/>
          <c:order val="3"/>
          <c:tx>
            <c:v>Points</c:v>
          </c:tx>
          <c:spPr>
            <a:ln w="25400" cap="rnd">
              <a:noFill/>
              <a:round/>
            </a:ln>
            <a:effectLst/>
          </c:spPr>
          <c:marker>
            <c:symbol val="circle"/>
            <c:size val="3"/>
            <c:spPr>
              <a:solidFill>
                <a:schemeClr val="tx1">
                  <a:lumMod val="75000"/>
                  <a:lumOff val="25000"/>
                </a:schemeClr>
              </a:solidFill>
              <a:ln w="9525">
                <a:noFill/>
              </a:ln>
              <a:effectLst/>
            </c:spPr>
          </c:marker>
          <c:dLbls>
            <c:dLbl>
              <c:idx val="2"/>
              <c:layout>
                <c:manualLayout>
                  <c:x val="-1.1891485976941781E-2"/>
                  <c:y val="4.26422479918690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64-2545-BA89-453D9E93C367}"/>
                </c:ext>
              </c:extLst>
            </c:dLbl>
            <c:dLbl>
              <c:idx val="22"/>
              <c:layout>
                <c:manualLayout>
                  <c:x val="2.9728714942354384E-3"/>
                  <c:y val="2.13211239959345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64-2545-BA89-453D9E93C367}"/>
                </c:ext>
              </c:extLst>
            </c:dLbl>
            <c:dLbl>
              <c:idx val="27"/>
              <c:layout>
                <c:manualLayout>
                  <c:x val="0"/>
                  <c:y val="-6.39633719878036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564-2545-BA89-453D9E93C367}"/>
                </c:ext>
              </c:extLst>
            </c:dLbl>
            <c:numFmt formatCode="#,##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'Back-end'!$E$192:$AI$192</c:f>
              <c:numCache>
                <c:formatCode>General</c:formatCode>
                <c:ptCount val="31"/>
                <c:pt idx="2">
                  <c:v>-1627507.5177364545</c:v>
                </c:pt>
                <c:pt idx="7">
                  <c:v>-596858.63684278936</c:v>
                </c:pt>
                <c:pt idx="12">
                  <c:v>1839918.9657264962</c:v>
                </c:pt>
                <c:pt idx="17">
                  <c:v>4374556.9311819719</c:v>
                </c:pt>
                <c:pt idx="22">
                  <c:v>5840589.7276395503</c:v>
                </c:pt>
                <c:pt idx="27">
                  <c:v>6324275.3189332103</c:v>
                </c:pt>
              </c:numCache>
            </c:numRef>
          </c:yVal>
          <c:smooth val="0"/>
          <c:extLst>
            <c:ext xmlns:c16="http://schemas.microsoft.com/office/drawing/2014/chart" uri="{C3380CC4-5D6E-409C-BE32-E72D297353CC}">
              <c16:uniqueId val="{00000006-C564-2545-BA89-453D9E93C367}"/>
            </c:ext>
          </c:extLst>
        </c:ser>
        <c:dLbls>
          <c:showLegendKey val="0"/>
          <c:showVal val="0"/>
          <c:showCatName val="0"/>
          <c:showSerName val="0"/>
          <c:showPercent val="0"/>
          <c:showBubbleSize val="0"/>
        </c:dLbls>
        <c:axId val="606980816"/>
        <c:axId val="606984336"/>
      </c:scatterChart>
      <c:catAx>
        <c:axId val="606980816"/>
        <c:scaling>
          <c:orientation val="minMax"/>
        </c:scaling>
        <c:delete val="0"/>
        <c:axPos val="b"/>
        <c:majorGridlines>
          <c:spPr>
            <a:ln w="3175" cap="flat" cmpd="sng" algn="ctr">
              <a:solidFill>
                <a:schemeClr val="bg1">
                  <a:lumMod val="9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6984336"/>
        <c:crosses val="autoZero"/>
        <c:auto val="1"/>
        <c:lblAlgn val="ctr"/>
        <c:lblOffset val="100"/>
        <c:noMultiLvlLbl val="0"/>
      </c:catAx>
      <c:valAx>
        <c:axId val="606984336"/>
        <c:scaling>
          <c:orientation val="minMax"/>
          <c:max val="8000000"/>
          <c:min val="-140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lumMod val="65000"/>
                        <a:lumOff val="35000"/>
                      </a:sysClr>
                    </a:solidFill>
                    <a:latin typeface="+mn-lt"/>
                    <a:ea typeface="+mn-ea"/>
                    <a:cs typeface="+mn-cs"/>
                  </a:defRPr>
                </a:pPr>
                <a:r>
                  <a:rPr lang="de-AT" sz="1100" b="0" i="0" baseline="0">
                    <a:effectLst/>
                  </a:rPr>
                  <a:t>Costs [$/yr]</a:t>
                </a:r>
                <a:endParaRPr lang="de-AT" sz="1100" b="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100">
                    <a:solidFill>
                      <a:sysClr val="windowText" lastClr="000000">
                        <a:lumMod val="65000"/>
                        <a:lumOff val="35000"/>
                      </a:sysClr>
                    </a:solidFill>
                  </a:defRPr>
                </a:pPr>
                <a:endParaRPr lang="de-AT" sz="1100" b="0"/>
              </a:p>
            </c:rich>
          </c:tx>
          <c:layout>
            <c:manualLayout>
              <c:xMode val="edge"/>
              <c:yMode val="edge"/>
              <c:x val="0"/>
              <c:y val="0.29282703114298725"/>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lumMod val="65000"/>
                      <a:lumOff val="35000"/>
                    </a:sys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6980816"/>
        <c:crosses val="autoZero"/>
        <c:crossBetween val="between"/>
      </c:valAx>
      <c:spPr>
        <a:noFill/>
        <a:ln>
          <a:noFill/>
        </a:ln>
        <a:effectLst/>
      </c:spPr>
    </c:plotArea>
    <c:legend>
      <c:legendPos val="b"/>
      <c:legendEntry>
        <c:idx val="2"/>
        <c:delete val="1"/>
      </c:legendEntry>
      <c:legendEntry>
        <c:idx val="3"/>
        <c:delete val="1"/>
      </c:legendEntry>
      <c:layout>
        <c:manualLayout>
          <c:xMode val="edge"/>
          <c:yMode val="edge"/>
          <c:x val="0.37146474392855122"/>
          <c:y val="0.88396610472313331"/>
          <c:w val="0.41547260229721039"/>
          <c:h val="3.536040424712915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'CREEM v1 vs v2 vs v3'!$D$2:$E$2</c:f>
              <c:strCache>
                <c:ptCount val="1"/>
                <c:pt idx="0">
                  <c:v>V1.22</c:v>
                </c:pt>
              </c:strCache>
            </c:strRef>
          </c:tx>
          <c:spPr>
            <a:solidFill>
              <a:schemeClr val="accent1"/>
            </a:solidFill>
            <a:ln>
              <a:noFill/>
            </a:ln>
            <a:effectLst/>
          </c:spPr>
          <c:invertIfNegative val="0"/>
          <c:cat>
            <c:numRef>
              <c:f>'CREEM v1 vs v2 vs v3'!$B$5:$B$15</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'CREEM v1 vs v2 vs v3'!$D$5:$D$15</c:f>
              <c:numCache>
                <c:formatCode>General</c:formatCode>
                <c:ptCount val="11"/>
                <c:pt idx="0">
                  <c:v>2039</c:v>
                </c:pt>
                <c:pt idx="1">
                  <c:v>2042</c:v>
                </c:pt>
                <c:pt idx="2">
                  <c:v>2036</c:v>
                </c:pt>
                <c:pt idx="3">
                  <c:v>2033</c:v>
                </c:pt>
                <c:pt idx="4">
                  <c:v>2033</c:v>
                </c:pt>
                <c:pt idx="5">
                  <c:v>2039</c:v>
                </c:pt>
                <c:pt idx="6">
                  <c:v>2040</c:v>
                </c:pt>
                <c:pt idx="7">
                  <c:v>2043</c:v>
                </c:pt>
                <c:pt idx="8">
                  <c:v>2043</c:v>
                </c:pt>
                <c:pt idx="9">
                  <c:v>2043</c:v>
                </c:pt>
                <c:pt idx="10">
                  <c:v>2038</c:v>
                </c:pt>
              </c:numCache>
            </c:numRef>
          </c:val>
          <c:extLst>
            <c:ext xmlns:c16="http://schemas.microsoft.com/office/drawing/2014/chart" uri="{C3380CC4-5D6E-409C-BE32-E72D297353CC}">
              <c16:uniqueId val="{00000000-94DA-46DF-A5D0-F41EFECD28E0}"/>
            </c:ext>
          </c:extLst>
        </c:ser>
        <c:ser>
          <c:idx val="1"/>
          <c:order val="1"/>
          <c:tx>
            <c:strRef>
              <c:f>'CREEM v1 vs v2 vs v3'!$F$2:$G$2</c:f>
              <c:strCache>
                <c:ptCount val="1"/>
                <c:pt idx="0">
                  <c:v>V2.02 </c:v>
                </c:pt>
              </c:strCache>
            </c:strRef>
          </c:tx>
          <c:spPr>
            <a:solidFill>
              <a:schemeClr val="accent2"/>
            </a:solidFill>
            <a:ln>
              <a:noFill/>
            </a:ln>
            <a:effectLst/>
          </c:spPr>
          <c:invertIfNegative val="0"/>
          <c:cat>
            <c:numRef>
              <c:f>'CREEM v1 vs v2 vs v3'!$B$5:$B$15</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'CREEM v1 vs v2 vs v3'!$F$5:$F$15</c:f>
              <c:numCache>
                <c:formatCode>General</c:formatCode>
                <c:ptCount val="11"/>
                <c:pt idx="0">
                  <c:v>2037</c:v>
                </c:pt>
                <c:pt idx="1">
                  <c:v>2037</c:v>
                </c:pt>
                <c:pt idx="2">
                  <c:v>2035</c:v>
                </c:pt>
                <c:pt idx="3">
                  <c:v>2032</c:v>
                </c:pt>
                <c:pt idx="4">
                  <c:v>2032</c:v>
                </c:pt>
                <c:pt idx="5">
                  <c:v>2035</c:v>
                </c:pt>
                <c:pt idx="6">
                  <c:v>2037</c:v>
                </c:pt>
                <c:pt idx="7">
                  <c:v>2038</c:v>
                </c:pt>
                <c:pt idx="8">
                  <c:v>2039</c:v>
                </c:pt>
                <c:pt idx="9">
                  <c:v>2038</c:v>
                </c:pt>
                <c:pt idx="10">
                  <c:v>2035</c:v>
                </c:pt>
              </c:numCache>
            </c:numRef>
          </c:val>
          <c:extLst>
            <c:ext xmlns:c16="http://schemas.microsoft.com/office/drawing/2014/chart" uri="{C3380CC4-5D6E-409C-BE32-E72D297353CC}">
              <c16:uniqueId val="{00000001-94DA-46DF-A5D0-F41EFECD28E0}"/>
            </c:ext>
          </c:extLst>
        </c:ser>
        <c:ser>
          <c:idx val="2"/>
          <c:order val="2"/>
          <c:tx>
            <c:v>V2.03</c:v>
          </c:tx>
          <c:spPr>
            <a:solidFill>
              <a:schemeClr val="accent3"/>
            </a:solidFill>
            <a:ln>
              <a:noFill/>
            </a:ln>
            <a:effectLst/>
          </c:spPr>
          <c:invertIfNegative val="0"/>
          <c:cat>
            <c:numRef>
              <c:f>'CREEM v1 vs v2 vs v3'!$B$5:$B$15</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'CREEM v1 vs v2 vs v3'!$H$5:$H$15</c:f>
              <c:numCache>
                <c:formatCode>General</c:formatCode>
                <c:ptCount val="11"/>
                <c:pt idx="0">
                  <c:v>2037</c:v>
                </c:pt>
                <c:pt idx="1">
                  <c:v>2037</c:v>
                </c:pt>
                <c:pt idx="2">
                  <c:v>2035</c:v>
                </c:pt>
                <c:pt idx="3">
                  <c:v>2034</c:v>
                </c:pt>
                <c:pt idx="4">
                  <c:v>2033</c:v>
                </c:pt>
                <c:pt idx="5">
                  <c:v>2035</c:v>
                </c:pt>
                <c:pt idx="6">
                  <c:v>2037</c:v>
                </c:pt>
                <c:pt idx="7">
                  <c:v>2040</c:v>
                </c:pt>
                <c:pt idx="8">
                  <c:v>2039</c:v>
                </c:pt>
                <c:pt idx="9">
                  <c:v>2038</c:v>
                </c:pt>
                <c:pt idx="10">
                  <c:v>2035</c:v>
                </c:pt>
              </c:numCache>
            </c:numRef>
          </c:val>
          <c:extLst>
            <c:ext xmlns:c16="http://schemas.microsoft.com/office/drawing/2014/chart" uri="{C3380CC4-5D6E-409C-BE32-E72D297353CC}">
              <c16:uniqueId val="{00000002-94DA-46DF-A5D0-F41EFECD28E0}"/>
            </c:ext>
          </c:extLst>
        </c:ser>
        <c:dLbls>
          <c:showLegendKey val="0"/>
          <c:showVal val="0"/>
          <c:showCatName val="0"/>
          <c:showSerName val="0"/>
          <c:showPercent val="0"/>
          <c:showBubbleSize val="0"/>
        </c:dLbls>
        <c:gapWidth val="219"/>
        <c:overlap val="-27"/>
        <c:axId val="1146579912"/>
        <c:axId val="1146581352"/>
      </c:barChart>
      <c:catAx>
        <c:axId val="1146579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581352"/>
        <c:crosses val="autoZero"/>
        <c:auto val="1"/>
        <c:lblAlgn val="ctr"/>
        <c:lblOffset val="100"/>
        <c:noMultiLvlLbl val="0"/>
      </c:catAx>
      <c:valAx>
        <c:axId val="1146581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 of stranding</a:t>
                </a:r>
              </a:p>
            </c:rich>
          </c:tx>
          <c:layout>
            <c:manualLayout>
              <c:xMode val="edge"/>
              <c:yMode val="edge"/>
              <c:x val="1.3050570962479609E-2"/>
              <c:y val="0.2306402608764813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579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'CREEM v1 vs v2 vs v3'!$Q$5:$Q$15</cx:f>
        <cx:lvl ptCount="11" formatCode="General">
          <cx:pt idx="0">2039</cx:pt>
          <cx:pt idx="1">2042</cx:pt>
          <cx:pt idx="2">2036</cx:pt>
          <cx:pt idx="3">2033</cx:pt>
          <cx:pt idx="4">2033</cx:pt>
          <cx:pt idx="5">2039</cx:pt>
          <cx:pt idx="6">2040</cx:pt>
          <cx:pt idx="7">2043</cx:pt>
          <cx:pt idx="8">2043</cx:pt>
          <cx:pt idx="9">2043</cx:pt>
          <cx:pt idx="10">2038</cx:pt>
        </cx:lvl>
      </cx:numDim>
    </cx:data>
    <cx:data id="1">
      <cx:numDim type="val">
        <cx:f>'CREEM v1 vs v2 vs v3'!$R$5:$R$15</cx:f>
        <cx:lvl ptCount="11" formatCode="General">
          <cx:pt idx="0">2037</cx:pt>
          <cx:pt idx="1">2037</cx:pt>
          <cx:pt idx="2">2035</cx:pt>
          <cx:pt idx="3">2032</cx:pt>
          <cx:pt idx="4">2032</cx:pt>
          <cx:pt idx="5">2035</cx:pt>
          <cx:pt idx="6">2037</cx:pt>
          <cx:pt idx="7">2038</cx:pt>
          <cx:pt idx="8">2039</cx:pt>
          <cx:pt idx="9">2038</cx:pt>
          <cx:pt idx="10">2035</cx:pt>
        </cx:lvl>
      </cx:numDim>
    </cx:data>
    <cx:data id="2">
      <cx:numDim type="val">
        <cx:f>'CREEM v1 vs v2 vs v3'!$S$5:$S$15</cx:f>
        <cx:lvl ptCount="11" formatCode="General">
          <cx:pt idx="0">2037</cx:pt>
          <cx:pt idx="1">2037</cx:pt>
          <cx:pt idx="2">2035</cx:pt>
          <cx:pt idx="3">2034</cx:pt>
          <cx:pt idx="4">2033</cx:pt>
          <cx:pt idx="5">2035</cx:pt>
          <cx:pt idx="6">2037</cx:pt>
          <cx:pt idx="7">2040</cx:pt>
          <cx:pt idx="8">2039</cx:pt>
          <cx:pt idx="9">2038</cx:pt>
          <cx:pt idx="10">2035</cx:pt>
        </cx:lvl>
      </cx:numDim>
    </cx:data>
  </cx:chartData>
  <cx:chart>
    <cx:plotArea>
      <cx:plotAreaRegion>
        <cx:series layoutId="boxWhisker" uniqueId="{D9DDBB9A-15FF-4D1B-9881-6B661FDF520D}">
          <cx:tx>
            <cx:txData>
              <cx:f>'CREEM v1 vs v2 vs v3'!$Q$4</cx:f>
              <cx:v>V1.22</cx:v>
            </cx:txData>
          </cx:tx>
          <cx:dataId val="0"/>
          <cx:layoutPr>
            <cx:visibility meanLine="0" meanMarker="1" nonoutliers="0" outliers="1"/>
            <cx:statistics quartileMethod="exclusive"/>
          </cx:layoutPr>
        </cx:series>
        <cx:series layoutId="boxWhisker" uniqueId="{EEF85819-013F-4ECA-9186-8E395A877A16}">
          <cx:tx>
            <cx:txData>
              <cx:f>'CREEM v1 vs v2 vs v3'!$R$4</cx:f>
              <cx:v>V2.02 </cx:v>
            </cx:txData>
          </cx:tx>
          <cx:dataId val="1"/>
          <cx:layoutPr>
            <cx:visibility meanLine="0" meanMarker="1" nonoutliers="0" outliers="1"/>
            <cx:statistics quartileMethod="exclusive"/>
          </cx:layoutPr>
        </cx:series>
        <cx:series layoutId="boxWhisker" uniqueId="{35AF6BC8-6892-4B21-9AD8-1F4EB97CC603}">
          <cx:tx>
            <cx:txData>
              <cx:f>'CREEM v1 vs v2 vs v3'!$S$4</cx:f>
              <cx:v>V2.03</cx:v>
            </cx:txData>
          </cx:tx>
          <cx:dataId val="2"/>
          <cx:layoutPr>
            <cx:visibility meanLine="0" meanMarker="1" nonoutliers="0" outliers="1"/>
            <cx:statistics quartileMethod="exclusive"/>
          </cx:layoutPr>
        </cx:series>
      </cx:plotAreaRegion>
      <cx:axis id="0" hidden="1">
        <cx:catScaling gapWidth="1"/>
        <cx:tickLabels/>
      </cx:axis>
      <cx:axis id="1">
        <cx:valScaling min="2030"/>
        <cx:title>
          <cx:tx>
            <cx:txData>
              <cx:v>Stranding Year</cx:v>
            </cx:txData>
          </cx:tx>
          <cx:txPr>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panose="020F0502020204030204"/>
                </a:rPr>
                <a:t>Stranding Year</a:t>
              </a:r>
            </a:p>
          </cx:txPr>
        </cx:title>
        <cx:majorGridlines/>
        <cx:tickLabels/>
      </cx:axis>
    </cx:plotArea>
    <cx:legend pos="r" align="ctr" overlay="0"/>
  </cx:chart>
  <cx:spPr>
    <a:ln>
      <a:no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B8BE50-D073-4AD1-93C6-39779C9B9DD1}" type="doc">
      <dgm:prSet loTypeId="urn:microsoft.com/office/officeart/2005/8/layout/hList1" loCatId="list" qsTypeId="urn:microsoft.com/office/officeart/2005/8/quickstyle/simple1" qsCatId="simple" csTypeId="urn:microsoft.com/office/officeart/2005/8/colors/colorful1" csCatId="colorful" phldr="1"/>
      <dgm:spPr/>
      <dgm:t>
        <a:bodyPr/>
        <a:lstStyle/>
        <a:p>
          <a:endParaRPr lang="en-US"/>
        </a:p>
      </dgm:t>
    </dgm:pt>
    <dgm:pt modelId="{6FE71F69-4C41-43CE-8863-CCCB353BED7A}">
      <dgm:prSet phldrT="[Text]" custT="1"/>
      <dgm:spPr/>
      <dgm:t>
        <a:bodyPr/>
        <a:lstStyle/>
        <a:p>
          <a:r>
            <a:rPr lang="en-US" sz="1000" b="1"/>
            <a:t>General Information</a:t>
          </a:r>
        </a:p>
      </dgm:t>
    </dgm:pt>
    <dgm:pt modelId="{3191C8A3-BCBD-41C3-8E48-9F5D0E8802EA}" type="parTrans" cxnId="{EDDFF8B9-44CB-4BB0-B3B1-8F42DEEDBE87}">
      <dgm:prSet/>
      <dgm:spPr/>
      <dgm:t>
        <a:bodyPr/>
        <a:lstStyle/>
        <a:p>
          <a:endParaRPr lang="en-US" sz="1000"/>
        </a:p>
      </dgm:t>
    </dgm:pt>
    <dgm:pt modelId="{25D5CD72-A46D-4141-AAC8-A25E437561A3}" type="sibTrans" cxnId="{EDDFF8B9-44CB-4BB0-B3B1-8F42DEEDBE87}">
      <dgm:prSet/>
      <dgm:spPr/>
      <dgm:t>
        <a:bodyPr/>
        <a:lstStyle/>
        <a:p>
          <a:endParaRPr lang="en-US" sz="1000"/>
        </a:p>
      </dgm:t>
    </dgm:pt>
    <dgm:pt modelId="{CF82A33F-E871-45BC-A629-F02A79327D75}">
      <dgm:prSet phldrT="[Text]" custT="1"/>
      <dgm:spPr/>
      <dgm:t>
        <a:bodyPr/>
        <a:lstStyle/>
        <a:p>
          <a:r>
            <a:rPr lang="en-US" sz="1000"/>
            <a:t> Reporting Period (Year and months)</a:t>
          </a:r>
        </a:p>
      </dgm:t>
    </dgm:pt>
    <dgm:pt modelId="{DBB3A3DD-FEB2-4514-8558-3E27EA2ADEAA}" type="parTrans" cxnId="{55831A0F-E629-4C96-955E-2E14E85855EE}">
      <dgm:prSet/>
      <dgm:spPr/>
      <dgm:t>
        <a:bodyPr/>
        <a:lstStyle/>
        <a:p>
          <a:endParaRPr lang="en-US" sz="1000"/>
        </a:p>
      </dgm:t>
    </dgm:pt>
    <dgm:pt modelId="{6BC5A3EF-1108-4834-B2D5-F9BCE73D13D0}" type="sibTrans" cxnId="{55831A0F-E629-4C96-955E-2E14E85855EE}">
      <dgm:prSet/>
      <dgm:spPr/>
      <dgm:t>
        <a:bodyPr/>
        <a:lstStyle/>
        <a:p>
          <a:endParaRPr lang="en-US" sz="1000"/>
        </a:p>
      </dgm:t>
    </dgm:pt>
    <dgm:pt modelId="{F9E0176E-8DE6-4E4D-A0FE-B0C68EF5B61D}">
      <dgm:prSet phldrT="[Text]" custT="1"/>
      <dgm:spPr/>
      <dgm:t>
        <a:bodyPr/>
        <a:lstStyle/>
        <a:p>
          <a:r>
            <a:rPr lang="en-US" sz="1000" b="1"/>
            <a:t>Location</a:t>
          </a:r>
        </a:p>
      </dgm:t>
    </dgm:pt>
    <dgm:pt modelId="{4E3498DB-E428-465C-A494-CBA559EF2B80}" type="parTrans" cxnId="{E130FF50-3C39-46E5-ACE4-F47E91C8AF92}">
      <dgm:prSet/>
      <dgm:spPr/>
      <dgm:t>
        <a:bodyPr/>
        <a:lstStyle/>
        <a:p>
          <a:endParaRPr lang="en-US" sz="1000"/>
        </a:p>
      </dgm:t>
    </dgm:pt>
    <dgm:pt modelId="{771BC271-494F-424C-96AA-E86DBEA5559F}" type="sibTrans" cxnId="{E130FF50-3C39-46E5-ACE4-F47E91C8AF92}">
      <dgm:prSet/>
      <dgm:spPr/>
      <dgm:t>
        <a:bodyPr/>
        <a:lstStyle/>
        <a:p>
          <a:endParaRPr lang="en-US" sz="1000"/>
        </a:p>
      </dgm:t>
    </dgm:pt>
    <dgm:pt modelId="{5675C665-135F-451B-A41A-B4BC8B2BBB4E}">
      <dgm:prSet phldrT="[Text]" custT="1"/>
      <dgm:spPr/>
      <dgm:t>
        <a:bodyPr/>
        <a:lstStyle/>
        <a:p>
          <a:r>
            <a:rPr lang="en-US" sz="1000"/>
            <a:t> Country</a:t>
          </a:r>
        </a:p>
      </dgm:t>
    </dgm:pt>
    <dgm:pt modelId="{1140BDF3-87B5-4DCB-873A-D4A2DBF21F77}" type="parTrans" cxnId="{293F61B1-7DB0-4995-B119-0AE0A6B6FB3F}">
      <dgm:prSet/>
      <dgm:spPr/>
      <dgm:t>
        <a:bodyPr/>
        <a:lstStyle/>
        <a:p>
          <a:endParaRPr lang="en-US" sz="1000"/>
        </a:p>
      </dgm:t>
    </dgm:pt>
    <dgm:pt modelId="{81FE6BE1-6B71-4CA5-B084-42EF54E3C93B}" type="sibTrans" cxnId="{293F61B1-7DB0-4995-B119-0AE0A6B6FB3F}">
      <dgm:prSet/>
      <dgm:spPr/>
      <dgm:t>
        <a:bodyPr/>
        <a:lstStyle/>
        <a:p>
          <a:endParaRPr lang="en-US" sz="1000"/>
        </a:p>
      </dgm:t>
    </dgm:pt>
    <dgm:pt modelId="{2350A3FE-490D-44AF-9FD3-25C0C9FA0A15}">
      <dgm:prSet phldrT="[Text]" custT="1"/>
      <dgm:spPr/>
      <dgm:t>
        <a:bodyPr/>
        <a:lstStyle/>
        <a:p>
          <a:r>
            <a:rPr lang="en-US" sz="1000" b="1"/>
            <a:t>Asset Size</a:t>
          </a:r>
        </a:p>
      </dgm:t>
    </dgm:pt>
    <dgm:pt modelId="{CCED6F58-FDA3-43E9-BE76-DAA0172E178A}" type="parTrans" cxnId="{7E1BE5EC-3076-4A80-8C9A-5C32E44A23A3}">
      <dgm:prSet/>
      <dgm:spPr/>
      <dgm:t>
        <a:bodyPr/>
        <a:lstStyle/>
        <a:p>
          <a:endParaRPr lang="en-US" sz="1000"/>
        </a:p>
      </dgm:t>
    </dgm:pt>
    <dgm:pt modelId="{388DF5F4-260B-4218-92CE-8188EAB93704}" type="sibTrans" cxnId="{7E1BE5EC-3076-4A80-8C9A-5C32E44A23A3}">
      <dgm:prSet/>
      <dgm:spPr/>
      <dgm:t>
        <a:bodyPr/>
        <a:lstStyle/>
        <a:p>
          <a:endParaRPr lang="en-US" sz="1000"/>
        </a:p>
      </dgm:t>
    </dgm:pt>
    <dgm:pt modelId="{26A17740-5333-46AA-95BF-65187B3D1B41}">
      <dgm:prSet phldrT="[Text]" custT="1"/>
      <dgm:spPr/>
      <dgm:t>
        <a:bodyPr/>
        <a:lstStyle/>
        <a:p>
          <a:r>
            <a:rPr lang="en-US" sz="1000"/>
            <a:t> Total Gross Area (m</a:t>
          </a:r>
          <a:r>
            <a:rPr lang="en-US" sz="1000" baseline="30000"/>
            <a:t>2</a:t>
          </a:r>
          <a:r>
            <a:rPr lang="en-US" sz="1000"/>
            <a:t>)</a:t>
          </a:r>
        </a:p>
      </dgm:t>
    </dgm:pt>
    <dgm:pt modelId="{420A4B89-3B73-4071-ADAD-2245AAB1EF36}" type="parTrans" cxnId="{B4A1F36B-B13C-49CB-BD0C-FA62734920C5}">
      <dgm:prSet/>
      <dgm:spPr/>
      <dgm:t>
        <a:bodyPr/>
        <a:lstStyle/>
        <a:p>
          <a:endParaRPr lang="en-US" sz="1000"/>
        </a:p>
      </dgm:t>
    </dgm:pt>
    <dgm:pt modelId="{C5E40CF5-2DE8-46C1-A987-2EC8B98B13E0}" type="sibTrans" cxnId="{B4A1F36B-B13C-49CB-BD0C-FA62734920C5}">
      <dgm:prSet/>
      <dgm:spPr/>
      <dgm:t>
        <a:bodyPr/>
        <a:lstStyle/>
        <a:p>
          <a:endParaRPr lang="en-US" sz="1000"/>
        </a:p>
      </dgm:t>
    </dgm:pt>
    <dgm:pt modelId="{6FAC0A74-6CB1-4A62-940B-FCA85F5CDFC9}">
      <dgm:prSet phldrT="[Text]" custT="1"/>
      <dgm:spPr/>
      <dgm:t>
        <a:bodyPr/>
        <a:lstStyle/>
        <a:p>
          <a:r>
            <a:rPr lang="en-US" sz="1000" b="1"/>
            <a:t>Total Energy Procurement</a:t>
          </a:r>
        </a:p>
      </dgm:t>
    </dgm:pt>
    <dgm:pt modelId="{E580DB35-FEBF-45F7-BDCF-41BA5BCCAC9E}" type="parTrans" cxnId="{4CC05FDC-3650-4C15-A03F-DEA1D5F51BBB}">
      <dgm:prSet/>
      <dgm:spPr/>
      <dgm:t>
        <a:bodyPr/>
        <a:lstStyle/>
        <a:p>
          <a:endParaRPr lang="en-US" sz="1000"/>
        </a:p>
      </dgm:t>
    </dgm:pt>
    <dgm:pt modelId="{06ED061B-88B5-4F9B-B9F5-16457FE70FFD}" type="sibTrans" cxnId="{4CC05FDC-3650-4C15-A03F-DEA1D5F51BBB}">
      <dgm:prSet/>
      <dgm:spPr/>
      <dgm:t>
        <a:bodyPr/>
        <a:lstStyle/>
        <a:p>
          <a:endParaRPr lang="en-US" sz="1000"/>
        </a:p>
      </dgm:t>
    </dgm:pt>
    <dgm:pt modelId="{130DC73E-768B-452D-B900-8E67433586F4}">
      <dgm:prSet phldrT="[Text]" custT="1"/>
      <dgm:spPr/>
      <dgm:t>
        <a:bodyPr/>
        <a:lstStyle/>
        <a:p>
          <a:r>
            <a:rPr lang="en-US" sz="1000"/>
            <a:t> City</a:t>
          </a:r>
        </a:p>
      </dgm:t>
    </dgm:pt>
    <dgm:pt modelId="{156D58D3-84B8-49C6-A3AC-531EDBE57853}" type="parTrans" cxnId="{4D5A555C-75B2-483A-B682-7CE0AFA783C5}">
      <dgm:prSet/>
      <dgm:spPr/>
      <dgm:t>
        <a:bodyPr/>
        <a:lstStyle/>
        <a:p>
          <a:endParaRPr lang="en-US"/>
        </a:p>
      </dgm:t>
    </dgm:pt>
    <dgm:pt modelId="{19C001B6-3EEF-40FC-B239-AF323F8EA942}" type="sibTrans" cxnId="{4D5A555C-75B2-483A-B682-7CE0AFA783C5}">
      <dgm:prSet/>
      <dgm:spPr/>
      <dgm:t>
        <a:bodyPr/>
        <a:lstStyle/>
        <a:p>
          <a:endParaRPr lang="en-US"/>
        </a:p>
      </dgm:t>
    </dgm:pt>
    <dgm:pt modelId="{EE09AAC7-2AE4-40CA-B5CB-71D12D7DFB70}">
      <dgm:prSet phldrT="[Text]" custT="1"/>
      <dgm:spPr/>
      <dgm:t>
        <a:bodyPr/>
        <a:lstStyle/>
        <a:p>
          <a:r>
            <a:rPr lang="en-US" sz="1000"/>
            <a:t> Property Type</a:t>
          </a:r>
        </a:p>
      </dgm:t>
    </dgm:pt>
    <dgm:pt modelId="{7175B900-A597-4979-9CA6-417CCDF92537}" type="parTrans" cxnId="{1A0B1425-27B7-4BD1-B5AB-8355D4D2076E}">
      <dgm:prSet/>
      <dgm:spPr/>
      <dgm:t>
        <a:bodyPr/>
        <a:lstStyle/>
        <a:p>
          <a:endParaRPr lang="en-US"/>
        </a:p>
      </dgm:t>
    </dgm:pt>
    <dgm:pt modelId="{F25065F8-7B4F-4846-BA4D-D0A67DA141E9}" type="sibTrans" cxnId="{1A0B1425-27B7-4BD1-B5AB-8355D4D2076E}">
      <dgm:prSet/>
      <dgm:spPr/>
      <dgm:t>
        <a:bodyPr/>
        <a:lstStyle/>
        <a:p>
          <a:endParaRPr lang="en-US"/>
        </a:p>
      </dgm:t>
    </dgm:pt>
    <dgm:pt modelId="{9F899D3A-521C-4537-9B1F-EBC76CB9E538}">
      <dgm:prSet phldrT="[Text]" custT="1"/>
      <dgm:spPr/>
      <dgm:t>
        <a:bodyPr/>
        <a:lstStyle/>
        <a:p>
          <a:r>
            <a:rPr lang="en-US" sz="1000"/>
            <a:t> Average annual vacatnt area (m</a:t>
          </a:r>
          <a:r>
            <a:rPr lang="en-US" sz="1000" baseline="30000"/>
            <a:t>2</a:t>
          </a:r>
          <a:r>
            <a:rPr lang="en-US" sz="1000"/>
            <a:t>)</a:t>
          </a:r>
        </a:p>
      </dgm:t>
    </dgm:pt>
    <dgm:pt modelId="{5554A674-168F-4985-B02C-8C020828ED84}" type="parTrans" cxnId="{19BA613A-57FE-426C-B54F-87ACA6BA52DD}">
      <dgm:prSet/>
      <dgm:spPr/>
      <dgm:t>
        <a:bodyPr/>
        <a:lstStyle/>
        <a:p>
          <a:endParaRPr lang="en-US"/>
        </a:p>
      </dgm:t>
    </dgm:pt>
    <dgm:pt modelId="{C534B5C1-6F7B-48DA-8F26-B5E61F989245}" type="sibTrans" cxnId="{19BA613A-57FE-426C-B54F-87ACA6BA52DD}">
      <dgm:prSet/>
      <dgm:spPr/>
      <dgm:t>
        <a:bodyPr/>
        <a:lstStyle/>
        <a:p>
          <a:endParaRPr lang="en-US"/>
        </a:p>
      </dgm:t>
    </dgm:pt>
    <dgm:pt modelId="{A1DC41FF-6F97-4657-B768-0FA8DCE4C174}">
      <dgm:prSet custT="1"/>
      <dgm:spPr/>
      <dgm:t>
        <a:bodyPr/>
        <a:lstStyle/>
        <a:p>
          <a:r>
            <a:rPr lang="en-US" sz="1000"/>
            <a:t> Grid electricity usage (kWh)</a:t>
          </a:r>
        </a:p>
      </dgm:t>
    </dgm:pt>
    <dgm:pt modelId="{C02ADE15-853B-4E27-86E0-A7E03A170BE2}" type="parTrans" cxnId="{BFCEC882-6AA1-41DA-BAE5-F38D06320BB3}">
      <dgm:prSet/>
      <dgm:spPr/>
      <dgm:t>
        <a:bodyPr/>
        <a:lstStyle/>
        <a:p>
          <a:endParaRPr lang="en-US"/>
        </a:p>
      </dgm:t>
    </dgm:pt>
    <dgm:pt modelId="{1A656055-864C-4E55-A944-7897453CCEFE}" type="sibTrans" cxnId="{BFCEC882-6AA1-41DA-BAE5-F38D06320BB3}">
      <dgm:prSet/>
      <dgm:spPr/>
      <dgm:t>
        <a:bodyPr/>
        <a:lstStyle/>
        <a:p>
          <a:endParaRPr lang="en-US"/>
        </a:p>
      </dgm:t>
    </dgm:pt>
    <dgm:pt modelId="{446C31D6-01CF-4DF5-B004-4CF51D413D1B}" type="pres">
      <dgm:prSet presAssocID="{80B8BE50-D073-4AD1-93C6-39779C9B9DD1}" presName="Name0" presStyleCnt="0">
        <dgm:presLayoutVars>
          <dgm:dir/>
          <dgm:animLvl val="lvl"/>
          <dgm:resizeHandles val="exact"/>
        </dgm:presLayoutVars>
      </dgm:prSet>
      <dgm:spPr/>
    </dgm:pt>
    <dgm:pt modelId="{28F7A7E6-20C7-4750-A098-483278841559}" type="pres">
      <dgm:prSet presAssocID="{6FE71F69-4C41-43CE-8863-CCCB353BED7A}" presName="composite" presStyleCnt="0"/>
      <dgm:spPr/>
    </dgm:pt>
    <dgm:pt modelId="{A0A0088D-7442-48D5-8B95-27977012F05F}" type="pres">
      <dgm:prSet presAssocID="{6FE71F69-4C41-43CE-8863-CCCB353BED7A}" presName="parTx" presStyleLbl="alignNode1" presStyleIdx="0" presStyleCnt="4">
        <dgm:presLayoutVars>
          <dgm:chMax val="0"/>
          <dgm:chPref val="0"/>
          <dgm:bulletEnabled val="1"/>
        </dgm:presLayoutVars>
      </dgm:prSet>
      <dgm:spPr/>
    </dgm:pt>
    <dgm:pt modelId="{6AA0360C-C328-447E-9646-7B6513773C53}" type="pres">
      <dgm:prSet presAssocID="{6FE71F69-4C41-43CE-8863-CCCB353BED7A}" presName="desTx" presStyleLbl="alignAccFollowNode1" presStyleIdx="0" presStyleCnt="4">
        <dgm:presLayoutVars>
          <dgm:bulletEnabled val="1"/>
        </dgm:presLayoutVars>
      </dgm:prSet>
      <dgm:spPr/>
    </dgm:pt>
    <dgm:pt modelId="{4ABD7E2A-50B2-4B17-8830-19D03A1E4D3E}" type="pres">
      <dgm:prSet presAssocID="{25D5CD72-A46D-4141-AAC8-A25E437561A3}" presName="space" presStyleCnt="0"/>
      <dgm:spPr/>
    </dgm:pt>
    <dgm:pt modelId="{CA0AC784-7624-4074-AC8C-8EEFB4CAEEEB}" type="pres">
      <dgm:prSet presAssocID="{F9E0176E-8DE6-4E4D-A0FE-B0C68EF5B61D}" presName="composite" presStyleCnt="0"/>
      <dgm:spPr/>
    </dgm:pt>
    <dgm:pt modelId="{41D185C2-378C-4537-AAAA-A2F94A8B6848}" type="pres">
      <dgm:prSet presAssocID="{F9E0176E-8DE6-4E4D-A0FE-B0C68EF5B61D}" presName="parTx" presStyleLbl="alignNode1" presStyleIdx="1" presStyleCnt="4" custLinFactNeighborX="512" custLinFactNeighborY="-6399">
        <dgm:presLayoutVars>
          <dgm:chMax val="0"/>
          <dgm:chPref val="0"/>
          <dgm:bulletEnabled val="1"/>
        </dgm:presLayoutVars>
      </dgm:prSet>
      <dgm:spPr/>
    </dgm:pt>
    <dgm:pt modelId="{DDA546A3-B19E-4159-A5C2-D2652F1FD4A8}" type="pres">
      <dgm:prSet presAssocID="{F9E0176E-8DE6-4E4D-A0FE-B0C68EF5B61D}" presName="desTx" presStyleLbl="alignAccFollowNode1" presStyleIdx="1" presStyleCnt="4">
        <dgm:presLayoutVars>
          <dgm:bulletEnabled val="1"/>
        </dgm:presLayoutVars>
      </dgm:prSet>
      <dgm:spPr/>
    </dgm:pt>
    <dgm:pt modelId="{295DEB75-8927-42D1-A51E-3F91C3A03400}" type="pres">
      <dgm:prSet presAssocID="{771BC271-494F-424C-96AA-E86DBEA5559F}" presName="space" presStyleCnt="0"/>
      <dgm:spPr/>
    </dgm:pt>
    <dgm:pt modelId="{62201D3F-8E85-4C2B-A5C7-BC7B3E124FE5}" type="pres">
      <dgm:prSet presAssocID="{2350A3FE-490D-44AF-9FD3-25C0C9FA0A15}" presName="composite" presStyleCnt="0"/>
      <dgm:spPr/>
    </dgm:pt>
    <dgm:pt modelId="{96A75A57-1C16-49ED-97ED-4CCF8E857A48}" type="pres">
      <dgm:prSet presAssocID="{2350A3FE-490D-44AF-9FD3-25C0C9FA0A15}" presName="parTx" presStyleLbl="alignNode1" presStyleIdx="2" presStyleCnt="4">
        <dgm:presLayoutVars>
          <dgm:chMax val="0"/>
          <dgm:chPref val="0"/>
          <dgm:bulletEnabled val="1"/>
        </dgm:presLayoutVars>
      </dgm:prSet>
      <dgm:spPr/>
    </dgm:pt>
    <dgm:pt modelId="{53E3AD81-258A-4310-A2B0-100F69963074}" type="pres">
      <dgm:prSet presAssocID="{2350A3FE-490D-44AF-9FD3-25C0C9FA0A15}" presName="desTx" presStyleLbl="alignAccFollowNode1" presStyleIdx="2" presStyleCnt="4">
        <dgm:presLayoutVars>
          <dgm:bulletEnabled val="1"/>
        </dgm:presLayoutVars>
      </dgm:prSet>
      <dgm:spPr/>
    </dgm:pt>
    <dgm:pt modelId="{5FACBDA4-ABC7-4CF9-A823-19FC804C1ECF}" type="pres">
      <dgm:prSet presAssocID="{388DF5F4-260B-4218-92CE-8188EAB93704}" presName="space" presStyleCnt="0"/>
      <dgm:spPr/>
    </dgm:pt>
    <dgm:pt modelId="{4BF78A8A-F73F-4D7C-A1EA-47640A9B3EC0}" type="pres">
      <dgm:prSet presAssocID="{6FAC0A74-6CB1-4A62-940B-FCA85F5CDFC9}" presName="composite" presStyleCnt="0"/>
      <dgm:spPr/>
    </dgm:pt>
    <dgm:pt modelId="{B28EDE36-0612-43ED-9991-B738A7A3890E}" type="pres">
      <dgm:prSet presAssocID="{6FAC0A74-6CB1-4A62-940B-FCA85F5CDFC9}" presName="parTx" presStyleLbl="alignNode1" presStyleIdx="3" presStyleCnt="4">
        <dgm:presLayoutVars>
          <dgm:chMax val="0"/>
          <dgm:chPref val="0"/>
          <dgm:bulletEnabled val="1"/>
        </dgm:presLayoutVars>
      </dgm:prSet>
      <dgm:spPr/>
    </dgm:pt>
    <dgm:pt modelId="{99A3CFA5-EB13-4C62-954F-421D92D23A9E}" type="pres">
      <dgm:prSet presAssocID="{6FAC0A74-6CB1-4A62-940B-FCA85F5CDFC9}" presName="desTx" presStyleLbl="alignAccFollowNode1" presStyleIdx="3" presStyleCnt="4">
        <dgm:presLayoutVars>
          <dgm:bulletEnabled val="1"/>
        </dgm:presLayoutVars>
      </dgm:prSet>
      <dgm:spPr/>
    </dgm:pt>
  </dgm:ptLst>
  <dgm:cxnLst>
    <dgm:cxn modelId="{F116DF0C-0C63-426F-8E77-D6D2F8306FA9}" type="presOf" srcId="{EE09AAC7-2AE4-40CA-B5CB-71D12D7DFB70}" destId="{DDA546A3-B19E-4159-A5C2-D2652F1FD4A8}" srcOrd="0" destOrd="2" presId="urn:microsoft.com/office/officeart/2005/8/layout/hList1"/>
    <dgm:cxn modelId="{55831A0F-E629-4C96-955E-2E14E85855EE}" srcId="{6FE71F69-4C41-43CE-8863-CCCB353BED7A}" destId="{CF82A33F-E871-45BC-A629-F02A79327D75}" srcOrd="0" destOrd="0" parTransId="{DBB3A3DD-FEB2-4514-8558-3E27EA2ADEAA}" sibTransId="{6BC5A3EF-1108-4834-B2D5-F9BCE73D13D0}"/>
    <dgm:cxn modelId="{8DFAF50F-EC4C-4F4C-9B7E-287F4669ADF3}" type="presOf" srcId="{80B8BE50-D073-4AD1-93C6-39779C9B9DD1}" destId="{446C31D6-01CF-4DF5-B004-4CF51D413D1B}" srcOrd="0" destOrd="0" presId="urn:microsoft.com/office/officeart/2005/8/layout/hList1"/>
    <dgm:cxn modelId="{1A0B1425-27B7-4BD1-B5AB-8355D4D2076E}" srcId="{F9E0176E-8DE6-4E4D-A0FE-B0C68EF5B61D}" destId="{EE09AAC7-2AE4-40CA-B5CB-71D12D7DFB70}" srcOrd="2" destOrd="0" parTransId="{7175B900-A597-4979-9CA6-417CCDF92537}" sibTransId="{F25065F8-7B4F-4846-BA4D-D0A67DA141E9}"/>
    <dgm:cxn modelId="{19BA613A-57FE-426C-B54F-87ACA6BA52DD}" srcId="{2350A3FE-490D-44AF-9FD3-25C0C9FA0A15}" destId="{9F899D3A-521C-4537-9B1F-EBC76CB9E538}" srcOrd="1" destOrd="0" parTransId="{5554A674-168F-4985-B02C-8C020828ED84}" sibTransId="{C534B5C1-6F7B-48DA-8F26-B5E61F989245}"/>
    <dgm:cxn modelId="{D691533F-C6AD-4930-B79A-16EDF3848C4C}" type="presOf" srcId="{9F899D3A-521C-4537-9B1F-EBC76CB9E538}" destId="{53E3AD81-258A-4310-A2B0-100F69963074}" srcOrd="0" destOrd="1" presId="urn:microsoft.com/office/officeart/2005/8/layout/hList1"/>
    <dgm:cxn modelId="{00D28540-8C15-498F-89ED-E3FDAE1112C0}" type="presOf" srcId="{5675C665-135F-451B-A41A-B4BC8B2BBB4E}" destId="{DDA546A3-B19E-4159-A5C2-D2652F1FD4A8}" srcOrd="0" destOrd="0" presId="urn:microsoft.com/office/officeart/2005/8/layout/hList1"/>
    <dgm:cxn modelId="{4D5A555C-75B2-483A-B682-7CE0AFA783C5}" srcId="{F9E0176E-8DE6-4E4D-A0FE-B0C68EF5B61D}" destId="{130DC73E-768B-452D-B900-8E67433586F4}" srcOrd="1" destOrd="0" parTransId="{156D58D3-84B8-49C6-A3AC-531EDBE57853}" sibTransId="{19C001B6-3EEF-40FC-B239-AF323F8EA942}"/>
    <dgm:cxn modelId="{F01C8841-1D18-4AEC-9E14-D5B3E1F000E8}" type="presOf" srcId="{F9E0176E-8DE6-4E4D-A0FE-B0C68EF5B61D}" destId="{41D185C2-378C-4537-AAAA-A2F94A8B6848}" srcOrd="0" destOrd="0" presId="urn:microsoft.com/office/officeart/2005/8/layout/hList1"/>
    <dgm:cxn modelId="{B4A1F36B-B13C-49CB-BD0C-FA62734920C5}" srcId="{2350A3FE-490D-44AF-9FD3-25C0C9FA0A15}" destId="{26A17740-5333-46AA-95BF-65187B3D1B41}" srcOrd="0" destOrd="0" parTransId="{420A4B89-3B73-4071-ADAD-2245AAB1EF36}" sibTransId="{C5E40CF5-2DE8-46C1-A987-2EC8B98B13E0}"/>
    <dgm:cxn modelId="{E130FF50-3C39-46E5-ACE4-F47E91C8AF92}" srcId="{80B8BE50-D073-4AD1-93C6-39779C9B9DD1}" destId="{F9E0176E-8DE6-4E4D-A0FE-B0C68EF5B61D}" srcOrd="1" destOrd="0" parTransId="{4E3498DB-E428-465C-A494-CBA559EF2B80}" sibTransId="{771BC271-494F-424C-96AA-E86DBEA5559F}"/>
    <dgm:cxn modelId="{FE2CDD52-228D-44F9-9E5E-2355D940EB75}" type="presOf" srcId="{CF82A33F-E871-45BC-A629-F02A79327D75}" destId="{6AA0360C-C328-447E-9646-7B6513773C53}" srcOrd="0" destOrd="0" presId="urn:microsoft.com/office/officeart/2005/8/layout/hList1"/>
    <dgm:cxn modelId="{3AF5E580-B854-47FE-BAF3-BF37643AFD59}" type="presOf" srcId="{2350A3FE-490D-44AF-9FD3-25C0C9FA0A15}" destId="{96A75A57-1C16-49ED-97ED-4CCF8E857A48}" srcOrd="0" destOrd="0" presId="urn:microsoft.com/office/officeart/2005/8/layout/hList1"/>
    <dgm:cxn modelId="{BFCEC882-6AA1-41DA-BAE5-F38D06320BB3}" srcId="{6FAC0A74-6CB1-4A62-940B-FCA85F5CDFC9}" destId="{A1DC41FF-6F97-4657-B768-0FA8DCE4C174}" srcOrd="0" destOrd="0" parTransId="{C02ADE15-853B-4E27-86E0-A7E03A170BE2}" sibTransId="{1A656055-864C-4E55-A944-7897453CCEFE}"/>
    <dgm:cxn modelId="{5203B5AF-5A40-426D-BDC8-447B56367CCE}" type="presOf" srcId="{A1DC41FF-6F97-4657-B768-0FA8DCE4C174}" destId="{99A3CFA5-EB13-4C62-954F-421D92D23A9E}" srcOrd="0" destOrd="0" presId="urn:microsoft.com/office/officeart/2005/8/layout/hList1"/>
    <dgm:cxn modelId="{293F61B1-7DB0-4995-B119-0AE0A6B6FB3F}" srcId="{F9E0176E-8DE6-4E4D-A0FE-B0C68EF5B61D}" destId="{5675C665-135F-451B-A41A-B4BC8B2BBB4E}" srcOrd="0" destOrd="0" parTransId="{1140BDF3-87B5-4DCB-873A-D4A2DBF21F77}" sibTransId="{81FE6BE1-6B71-4CA5-B084-42EF54E3C93B}"/>
    <dgm:cxn modelId="{EDDFF8B9-44CB-4BB0-B3B1-8F42DEEDBE87}" srcId="{80B8BE50-D073-4AD1-93C6-39779C9B9DD1}" destId="{6FE71F69-4C41-43CE-8863-CCCB353BED7A}" srcOrd="0" destOrd="0" parTransId="{3191C8A3-BCBD-41C3-8E48-9F5D0E8802EA}" sibTransId="{25D5CD72-A46D-4141-AAC8-A25E437561A3}"/>
    <dgm:cxn modelId="{432B65C2-492F-4933-BDB5-8BC60367140A}" type="presOf" srcId="{6FAC0A74-6CB1-4A62-940B-FCA85F5CDFC9}" destId="{B28EDE36-0612-43ED-9991-B738A7A3890E}" srcOrd="0" destOrd="0" presId="urn:microsoft.com/office/officeart/2005/8/layout/hList1"/>
    <dgm:cxn modelId="{FF4F3ADB-7D0E-43EF-857F-40D309FE4658}" type="presOf" srcId="{26A17740-5333-46AA-95BF-65187B3D1B41}" destId="{53E3AD81-258A-4310-A2B0-100F69963074}" srcOrd="0" destOrd="0" presId="urn:microsoft.com/office/officeart/2005/8/layout/hList1"/>
    <dgm:cxn modelId="{4CC05FDC-3650-4C15-A03F-DEA1D5F51BBB}" srcId="{80B8BE50-D073-4AD1-93C6-39779C9B9DD1}" destId="{6FAC0A74-6CB1-4A62-940B-FCA85F5CDFC9}" srcOrd="3" destOrd="0" parTransId="{E580DB35-FEBF-45F7-BDCF-41BA5BCCAC9E}" sibTransId="{06ED061B-88B5-4F9B-B9F5-16457FE70FFD}"/>
    <dgm:cxn modelId="{6C35F9E9-A502-466E-A46B-BD8DCD13532C}" type="presOf" srcId="{130DC73E-768B-452D-B900-8E67433586F4}" destId="{DDA546A3-B19E-4159-A5C2-D2652F1FD4A8}" srcOrd="0" destOrd="1" presId="urn:microsoft.com/office/officeart/2005/8/layout/hList1"/>
    <dgm:cxn modelId="{FBAEC1EA-06EE-4152-8361-63872C8B1BD8}" type="presOf" srcId="{6FE71F69-4C41-43CE-8863-CCCB353BED7A}" destId="{A0A0088D-7442-48D5-8B95-27977012F05F}" srcOrd="0" destOrd="0" presId="urn:microsoft.com/office/officeart/2005/8/layout/hList1"/>
    <dgm:cxn modelId="{7E1BE5EC-3076-4A80-8C9A-5C32E44A23A3}" srcId="{80B8BE50-D073-4AD1-93C6-39779C9B9DD1}" destId="{2350A3FE-490D-44AF-9FD3-25C0C9FA0A15}" srcOrd="2" destOrd="0" parTransId="{CCED6F58-FDA3-43E9-BE76-DAA0172E178A}" sibTransId="{388DF5F4-260B-4218-92CE-8188EAB93704}"/>
    <dgm:cxn modelId="{81CB4413-6F1D-497A-BCF6-79FA6AF9E7EA}" type="presParOf" srcId="{446C31D6-01CF-4DF5-B004-4CF51D413D1B}" destId="{28F7A7E6-20C7-4750-A098-483278841559}" srcOrd="0" destOrd="0" presId="urn:microsoft.com/office/officeart/2005/8/layout/hList1"/>
    <dgm:cxn modelId="{9AE9A3C9-2B12-4FA5-AE9A-A1C192EA620B}" type="presParOf" srcId="{28F7A7E6-20C7-4750-A098-483278841559}" destId="{A0A0088D-7442-48D5-8B95-27977012F05F}" srcOrd="0" destOrd="0" presId="urn:microsoft.com/office/officeart/2005/8/layout/hList1"/>
    <dgm:cxn modelId="{3CAE3B1B-12B6-4AED-967B-F9880FEA902E}" type="presParOf" srcId="{28F7A7E6-20C7-4750-A098-483278841559}" destId="{6AA0360C-C328-447E-9646-7B6513773C53}" srcOrd="1" destOrd="0" presId="urn:microsoft.com/office/officeart/2005/8/layout/hList1"/>
    <dgm:cxn modelId="{05C49FC8-FA33-43CD-B2F7-6436D82EB6FB}" type="presParOf" srcId="{446C31D6-01CF-4DF5-B004-4CF51D413D1B}" destId="{4ABD7E2A-50B2-4B17-8830-19D03A1E4D3E}" srcOrd="1" destOrd="0" presId="urn:microsoft.com/office/officeart/2005/8/layout/hList1"/>
    <dgm:cxn modelId="{837B7D31-A29A-41F7-AF10-8D338F98E504}" type="presParOf" srcId="{446C31D6-01CF-4DF5-B004-4CF51D413D1B}" destId="{CA0AC784-7624-4074-AC8C-8EEFB4CAEEEB}" srcOrd="2" destOrd="0" presId="urn:microsoft.com/office/officeart/2005/8/layout/hList1"/>
    <dgm:cxn modelId="{EC4DACD5-263D-46DD-A991-E248CB89E3CA}" type="presParOf" srcId="{CA0AC784-7624-4074-AC8C-8EEFB4CAEEEB}" destId="{41D185C2-378C-4537-AAAA-A2F94A8B6848}" srcOrd="0" destOrd="0" presId="urn:microsoft.com/office/officeart/2005/8/layout/hList1"/>
    <dgm:cxn modelId="{4D400A7C-D426-4C13-B0FE-090DD4461EB3}" type="presParOf" srcId="{CA0AC784-7624-4074-AC8C-8EEFB4CAEEEB}" destId="{DDA546A3-B19E-4159-A5C2-D2652F1FD4A8}" srcOrd="1" destOrd="0" presId="urn:microsoft.com/office/officeart/2005/8/layout/hList1"/>
    <dgm:cxn modelId="{1BAC084C-15C2-474B-ADB2-2C03EFD06468}" type="presParOf" srcId="{446C31D6-01CF-4DF5-B004-4CF51D413D1B}" destId="{295DEB75-8927-42D1-A51E-3F91C3A03400}" srcOrd="3" destOrd="0" presId="urn:microsoft.com/office/officeart/2005/8/layout/hList1"/>
    <dgm:cxn modelId="{1D2E3698-CDBB-4DB5-B7B6-757A083C677F}" type="presParOf" srcId="{446C31D6-01CF-4DF5-B004-4CF51D413D1B}" destId="{62201D3F-8E85-4C2B-A5C7-BC7B3E124FE5}" srcOrd="4" destOrd="0" presId="urn:microsoft.com/office/officeart/2005/8/layout/hList1"/>
    <dgm:cxn modelId="{941531B8-EADA-475A-A8E3-10CA6173AF16}" type="presParOf" srcId="{62201D3F-8E85-4C2B-A5C7-BC7B3E124FE5}" destId="{96A75A57-1C16-49ED-97ED-4CCF8E857A48}" srcOrd="0" destOrd="0" presId="urn:microsoft.com/office/officeart/2005/8/layout/hList1"/>
    <dgm:cxn modelId="{44794173-76E4-4967-AF2E-52BA033C4D1D}" type="presParOf" srcId="{62201D3F-8E85-4C2B-A5C7-BC7B3E124FE5}" destId="{53E3AD81-258A-4310-A2B0-100F69963074}" srcOrd="1" destOrd="0" presId="urn:microsoft.com/office/officeart/2005/8/layout/hList1"/>
    <dgm:cxn modelId="{E73BD19A-7EB5-4C9D-A556-6FD89B2F880A}" type="presParOf" srcId="{446C31D6-01CF-4DF5-B004-4CF51D413D1B}" destId="{5FACBDA4-ABC7-4CF9-A823-19FC804C1ECF}" srcOrd="5" destOrd="0" presId="urn:microsoft.com/office/officeart/2005/8/layout/hList1"/>
    <dgm:cxn modelId="{55673919-9A50-42E8-B19A-59E7D02AC89C}" type="presParOf" srcId="{446C31D6-01CF-4DF5-B004-4CF51D413D1B}" destId="{4BF78A8A-F73F-4D7C-A1EA-47640A9B3EC0}" srcOrd="6" destOrd="0" presId="urn:microsoft.com/office/officeart/2005/8/layout/hList1"/>
    <dgm:cxn modelId="{B9E70013-AD06-4695-8CC4-204EE8D5DF35}" type="presParOf" srcId="{4BF78A8A-F73F-4D7C-A1EA-47640A9B3EC0}" destId="{B28EDE36-0612-43ED-9991-B738A7A3890E}" srcOrd="0" destOrd="0" presId="urn:microsoft.com/office/officeart/2005/8/layout/hList1"/>
    <dgm:cxn modelId="{6F3DB204-08A8-48A7-B79C-F08B36D007E5}" type="presParOf" srcId="{4BF78A8A-F73F-4D7C-A1EA-47640A9B3EC0}" destId="{99A3CFA5-EB13-4C62-954F-421D92D23A9E}" srcOrd="1" destOrd="0" presId="urn:microsoft.com/office/officeart/2005/8/layout/h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A0088D-7442-48D5-8B95-27977012F05F}">
      <dsp:nvSpPr>
        <dsp:cNvPr id="0" name=""/>
        <dsp:cNvSpPr/>
      </dsp:nvSpPr>
      <dsp:spPr>
        <a:xfrm>
          <a:off x="2062" y="14579"/>
          <a:ext cx="1240333" cy="374400"/>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b="1" kern="1200"/>
            <a:t>General Information</a:t>
          </a:r>
        </a:p>
      </dsp:txBody>
      <dsp:txXfrm>
        <a:off x="2062" y="14579"/>
        <a:ext cx="1240333" cy="374400"/>
      </dsp:txXfrm>
    </dsp:sp>
    <dsp:sp modelId="{6AA0360C-C328-447E-9646-7B6513773C53}">
      <dsp:nvSpPr>
        <dsp:cNvPr id="0" name=""/>
        <dsp:cNvSpPr/>
      </dsp:nvSpPr>
      <dsp:spPr>
        <a:xfrm>
          <a:off x="2062" y="388979"/>
          <a:ext cx="1240333" cy="720390"/>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 Reporting Period (Year and months)</a:t>
          </a:r>
        </a:p>
      </dsp:txBody>
      <dsp:txXfrm>
        <a:off x="2062" y="388979"/>
        <a:ext cx="1240333" cy="720390"/>
      </dsp:txXfrm>
    </dsp:sp>
    <dsp:sp modelId="{41D185C2-378C-4537-AAAA-A2F94A8B6848}">
      <dsp:nvSpPr>
        <dsp:cNvPr id="0" name=""/>
        <dsp:cNvSpPr/>
      </dsp:nvSpPr>
      <dsp:spPr>
        <a:xfrm>
          <a:off x="1422393" y="0"/>
          <a:ext cx="1240333" cy="374400"/>
        </a:xfrm>
        <a:prstGeom prst="rect">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b="1" kern="1200"/>
            <a:t>Location</a:t>
          </a:r>
        </a:p>
      </dsp:txBody>
      <dsp:txXfrm>
        <a:off x="1422393" y="0"/>
        <a:ext cx="1240333" cy="374400"/>
      </dsp:txXfrm>
    </dsp:sp>
    <dsp:sp modelId="{DDA546A3-B19E-4159-A5C2-D2652F1FD4A8}">
      <dsp:nvSpPr>
        <dsp:cNvPr id="0" name=""/>
        <dsp:cNvSpPr/>
      </dsp:nvSpPr>
      <dsp:spPr>
        <a:xfrm>
          <a:off x="1416043" y="388979"/>
          <a:ext cx="1240333" cy="720390"/>
        </a:xfrm>
        <a:prstGeom prst="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 Country</a:t>
          </a:r>
        </a:p>
        <a:p>
          <a:pPr marL="57150" lvl="1" indent="-57150" algn="l" defTabSz="444500">
            <a:lnSpc>
              <a:spcPct val="90000"/>
            </a:lnSpc>
            <a:spcBef>
              <a:spcPct val="0"/>
            </a:spcBef>
            <a:spcAft>
              <a:spcPct val="15000"/>
            </a:spcAft>
            <a:buChar char="•"/>
          </a:pPr>
          <a:r>
            <a:rPr lang="en-US" sz="1000" kern="1200"/>
            <a:t> City</a:t>
          </a:r>
        </a:p>
        <a:p>
          <a:pPr marL="57150" lvl="1" indent="-57150" algn="l" defTabSz="444500">
            <a:lnSpc>
              <a:spcPct val="90000"/>
            </a:lnSpc>
            <a:spcBef>
              <a:spcPct val="0"/>
            </a:spcBef>
            <a:spcAft>
              <a:spcPct val="15000"/>
            </a:spcAft>
            <a:buChar char="•"/>
          </a:pPr>
          <a:r>
            <a:rPr lang="en-US" sz="1000" kern="1200"/>
            <a:t> Property Type</a:t>
          </a:r>
        </a:p>
      </dsp:txBody>
      <dsp:txXfrm>
        <a:off x="1416043" y="388979"/>
        <a:ext cx="1240333" cy="720390"/>
      </dsp:txXfrm>
    </dsp:sp>
    <dsp:sp modelId="{96A75A57-1C16-49ED-97ED-4CCF8E857A48}">
      <dsp:nvSpPr>
        <dsp:cNvPr id="0" name=""/>
        <dsp:cNvSpPr/>
      </dsp:nvSpPr>
      <dsp:spPr>
        <a:xfrm>
          <a:off x="2830023" y="14579"/>
          <a:ext cx="1240333" cy="374400"/>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b="1" kern="1200"/>
            <a:t>Asset Size</a:t>
          </a:r>
        </a:p>
      </dsp:txBody>
      <dsp:txXfrm>
        <a:off x="2830023" y="14579"/>
        <a:ext cx="1240333" cy="374400"/>
      </dsp:txXfrm>
    </dsp:sp>
    <dsp:sp modelId="{53E3AD81-258A-4310-A2B0-100F69963074}">
      <dsp:nvSpPr>
        <dsp:cNvPr id="0" name=""/>
        <dsp:cNvSpPr/>
      </dsp:nvSpPr>
      <dsp:spPr>
        <a:xfrm>
          <a:off x="2830023" y="388979"/>
          <a:ext cx="1240333" cy="720390"/>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 Total Gross Area (m</a:t>
          </a:r>
          <a:r>
            <a:rPr lang="en-US" sz="1000" kern="1200" baseline="30000"/>
            <a:t>2</a:t>
          </a:r>
          <a:r>
            <a:rPr lang="en-US" sz="1000" kern="1200"/>
            <a:t>)</a:t>
          </a:r>
        </a:p>
        <a:p>
          <a:pPr marL="57150" lvl="1" indent="-57150" algn="l" defTabSz="444500">
            <a:lnSpc>
              <a:spcPct val="90000"/>
            </a:lnSpc>
            <a:spcBef>
              <a:spcPct val="0"/>
            </a:spcBef>
            <a:spcAft>
              <a:spcPct val="15000"/>
            </a:spcAft>
            <a:buChar char="•"/>
          </a:pPr>
          <a:r>
            <a:rPr lang="en-US" sz="1000" kern="1200"/>
            <a:t> Average annual vacatnt area (m</a:t>
          </a:r>
          <a:r>
            <a:rPr lang="en-US" sz="1000" kern="1200" baseline="30000"/>
            <a:t>2</a:t>
          </a:r>
          <a:r>
            <a:rPr lang="en-US" sz="1000" kern="1200"/>
            <a:t>)</a:t>
          </a:r>
        </a:p>
      </dsp:txBody>
      <dsp:txXfrm>
        <a:off x="2830023" y="388979"/>
        <a:ext cx="1240333" cy="720390"/>
      </dsp:txXfrm>
    </dsp:sp>
    <dsp:sp modelId="{B28EDE36-0612-43ED-9991-B738A7A3890E}">
      <dsp:nvSpPr>
        <dsp:cNvPr id="0" name=""/>
        <dsp:cNvSpPr/>
      </dsp:nvSpPr>
      <dsp:spPr>
        <a:xfrm>
          <a:off x="4244003" y="14579"/>
          <a:ext cx="1240333" cy="374400"/>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US" sz="1000" b="1" kern="1200"/>
            <a:t>Total Energy Procurement</a:t>
          </a:r>
        </a:p>
      </dsp:txBody>
      <dsp:txXfrm>
        <a:off x="4244003" y="14579"/>
        <a:ext cx="1240333" cy="374400"/>
      </dsp:txXfrm>
    </dsp:sp>
    <dsp:sp modelId="{99A3CFA5-EB13-4C62-954F-421D92D23A9E}">
      <dsp:nvSpPr>
        <dsp:cNvPr id="0" name=""/>
        <dsp:cNvSpPr/>
      </dsp:nvSpPr>
      <dsp:spPr>
        <a:xfrm>
          <a:off x="4244003" y="388979"/>
          <a:ext cx="1240333" cy="720390"/>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 Grid electricity usage (kWh)</a:t>
          </a:r>
        </a:p>
      </dsp:txBody>
      <dsp:txXfrm>
        <a:off x="4244003" y="388979"/>
        <a:ext cx="1240333" cy="72039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F7171D4A042D478AE4EC859DFB5533" ma:contentTypeVersion="4" ma:contentTypeDescription="Create a new document." ma:contentTypeScope="" ma:versionID="b1f0343e32437b87e0710062b063b706">
  <xsd:schema xmlns:xsd="http://www.w3.org/2001/XMLSchema" xmlns:xs="http://www.w3.org/2001/XMLSchema" xmlns:p="http://schemas.microsoft.com/office/2006/metadata/properties" xmlns:ns2="09fb6944-f75f-4186-8112-c1fd2e039230" targetNamespace="http://schemas.microsoft.com/office/2006/metadata/properties" ma:root="true" ma:fieldsID="5d956d4219dfabd4c76c72d67104e4ff" ns2:_="">
    <xsd:import namespace="09fb6944-f75f-4186-8112-c1fd2e0392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b6944-f75f-4186-8112-c1fd2e039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927E52-7C6C-424F-B234-7E2D640DFB7F}">
  <ds:schemaRefs>
    <ds:schemaRef ds:uri="http://schemas.openxmlformats.org/officeDocument/2006/bibliography"/>
  </ds:schemaRefs>
</ds:datastoreItem>
</file>

<file path=customXml/itemProps2.xml><?xml version="1.0" encoding="utf-8"?>
<ds:datastoreItem xmlns:ds="http://schemas.openxmlformats.org/officeDocument/2006/customXml" ds:itemID="{51EC5BF2-D0CC-4F6F-A3A0-3DAE937D0A89}">
  <ds:schemaRefs>
    <ds:schemaRef ds:uri="http://schemas.microsoft.com/sharepoint/v3/contenttype/forms"/>
  </ds:schemaRefs>
</ds:datastoreItem>
</file>

<file path=customXml/itemProps3.xml><?xml version="1.0" encoding="utf-8"?>
<ds:datastoreItem xmlns:ds="http://schemas.openxmlformats.org/officeDocument/2006/customXml" ds:itemID="{D6CF0314-AE26-416E-81C3-A295B9BBE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b6944-f75f-4186-8112-c1fd2e039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55147-FC8B-415D-8257-D218B4BCFC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9080</Words>
  <Characters>51758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Warren-Myers</dc:creator>
  <cp:keywords/>
  <dc:description/>
  <cp:lastModifiedBy>Connie Susilawati</cp:lastModifiedBy>
  <cp:revision>5</cp:revision>
  <dcterms:created xsi:type="dcterms:W3CDTF">2024-02-16T04:28:00Z</dcterms:created>
  <dcterms:modified xsi:type="dcterms:W3CDTF">2024-03-11T22:25:00Z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0x010100D3F7171D4A042D478AE4EC859DFB5533</vt:lpwstr>
  </property>
</Properties>
</file>