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A49F" w14:textId="77777777" w:rsidR="00584948" w:rsidRDefault="00584948" w:rsidP="00584948">
      <w:pPr>
        <w:spacing w:before="0" w:after="0"/>
        <w:jc w:val="left"/>
        <w:rPr>
          <w:b/>
          <w:bCs/>
          <w:caps/>
          <w:kern w:val="28"/>
          <w:sz w:val="28"/>
          <w:szCs w:val="32"/>
        </w:rPr>
      </w:pPr>
    </w:p>
    <w:p w14:paraId="4D005DD9" w14:textId="640E962C" w:rsidR="00584948" w:rsidRDefault="00920A10" w:rsidP="00584948">
      <w:pPr>
        <w:pStyle w:val="Title"/>
      </w:pPr>
      <w:r w:rsidRPr="00920A10">
        <w:t xml:space="preserve">DIVERSITY AND INCLUSION POLICY ANALYSIS OF AUSTRALIAN VALUATION FIRMS  </w:t>
      </w:r>
    </w:p>
    <w:p w14:paraId="1C8008FC" w14:textId="790D46D4" w:rsidR="006C3BD2" w:rsidRDefault="00D30EBA" w:rsidP="006C3BD2">
      <w:pPr>
        <w:pStyle w:val="Authors"/>
      </w:pPr>
      <w:r>
        <w:t>DULANI HALVITIGALA, JUDITH CALLANAN</w:t>
      </w:r>
      <w:r w:rsidR="00C96AB3">
        <w:t xml:space="preserve">, </w:t>
      </w:r>
      <w:r w:rsidR="00F637BD">
        <w:t>REBECCA LESHINSKY</w:t>
      </w:r>
      <w:r w:rsidR="00C96AB3">
        <w:t xml:space="preserve"> and EFFAH AMPONSAH</w:t>
      </w:r>
      <w:r w:rsidR="006C3BD2">
        <w:t xml:space="preserve"> </w:t>
      </w:r>
    </w:p>
    <w:p w14:paraId="76E5750C" w14:textId="747F0B7A" w:rsidR="006C3BD2" w:rsidRDefault="00F637BD" w:rsidP="006C3BD2">
      <w:pPr>
        <w:pStyle w:val="Authors"/>
      </w:pPr>
      <w:r>
        <w:t>RMIT University, Melbourne, Australia</w:t>
      </w:r>
      <w:r w:rsidR="00AD6CB1">
        <w:t xml:space="preserve"> </w:t>
      </w:r>
    </w:p>
    <w:p w14:paraId="726EF864" w14:textId="77777777" w:rsidR="00E25BFF" w:rsidRDefault="00E25BFF" w:rsidP="009F1337">
      <w:pPr>
        <w:rPr>
          <w:szCs w:val="22"/>
        </w:rPr>
      </w:pPr>
    </w:p>
    <w:p w14:paraId="4C367734" w14:textId="77777777" w:rsidR="00C6370A" w:rsidRPr="00C6370A" w:rsidRDefault="00C6370A" w:rsidP="00C6370A">
      <w:pPr>
        <w:jc w:val="center"/>
      </w:pPr>
    </w:p>
    <w:p w14:paraId="1175A8FF" w14:textId="6F2941C1" w:rsidR="008E12A6" w:rsidRDefault="008E12A6" w:rsidP="008E12A6">
      <w:pPr>
        <w:pStyle w:val="Heading1"/>
      </w:pPr>
      <w:r>
        <w:t>Abstr</w:t>
      </w:r>
      <w:r w:rsidRPr="00FC7D67">
        <w:t>act</w:t>
      </w:r>
      <w:r w:rsidR="00496F0D">
        <w:t xml:space="preserve"> </w:t>
      </w:r>
    </w:p>
    <w:p w14:paraId="70541AE5" w14:textId="718950D0" w:rsidR="003B3250" w:rsidRPr="007C4901" w:rsidRDefault="003B3250" w:rsidP="003B3250">
      <w:pPr>
        <w:rPr>
          <w:sz w:val="24"/>
        </w:rPr>
      </w:pPr>
      <w:r w:rsidRPr="007C4901">
        <w:rPr>
          <w:sz w:val="24"/>
        </w:rPr>
        <w:t xml:space="preserve">Research has shown that the Australian valuation industry faces challenges in attracting and retaining women in the profession. To assess the level of gender diversity and inclusion in large valuation firms, this study examined public information regarding hiring, retention, and promotion processes, as well as explicit commitments to their gender diversity policies. The study analysed diversity policies, positions, groups/programs, and </w:t>
      </w:r>
      <w:r w:rsidR="00C6215C">
        <w:rPr>
          <w:sz w:val="24"/>
        </w:rPr>
        <w:t xml:space="preserve">respondent statements </w:t>
      </w:r>
      <w:r w:rsidRPr="007C4901">
        <w:rPr>
          <w:sz w:val="24"/>
        </w:rPr>
        <w:t xml:space="preserve">related to diversity and inclusion </w:t>
      </w:r>
      <w:r w:rsidR="00DE3F2B">
        <w:rPr>
          <w:sz w:val="24"/>
        </w:rPr>
        <w:t>from</w:t>
      </w:r>
      <w:r w:rsidR="00DE3F2B" w:rsidRPr="007C4901">
        <w:rPr>
          <w:sz w:val="24"/>
        </w:rPr>
        <w:t xml:space="preserve"> </w:t>
      </w:r>
      <w:r w:rsidRPr="007C4901">
        <w:rPr>
          <w:sz w:val="24"/>
        </w:rPr>
        <w:t xml:space="preserve">the selected large valuation firms' websites and the gender composition of their boards and leadership/executive teams. </w:t>
      </w:r>
    </w:p>
    <w:p w14:paraId="6598ABA4" w14:textId="77777777" w:rsidR="003B3250" w:rsidRPr="007C4901" w:rsidRDefault="003B3250" w:rsidP="003B3250">
      <w:pPr>
        <w:rPr>
          <w:sz w:val="24"/>
        </w:rPr>
      </w:pPr>
      <w:r w:rsidRPr="007C4901">
        <w:rPr>
          <w:sz w:val="24"/>
        </w:rPr>
        <w:t>The findings revealed that most large valuation firms lack public statements on their websites acknowledging the need for diversity in hiring practices and any positions, groups, or programs aimed at improving female representation within the company. Additionally, men hold most positions on boards of directors and leadership/executive teams in most companies studied. The study highlights the importance of better aligning valuation companies' websites, policies, programs, and interest groups with their gender diversity and inclusion policies and practices.</w:t>
      </w:r>
    </w:p>
    <w:p w14:paraId="20D85468" w14:textId="63B20C4B" w:rsidR="00ED1D42" w:rsidRPr="007C4901" w:rsidRDefault="003B3250" w:rsidP="00ED1D42">
      <w:pPr>
        <w:rPr>
          <w:sz w:val="24"/>
        </w:rPr>
      </w:pPr>
      <w:r w:rsidRPr="007C4901">
        <w:rPr>
          <w:sz w:val="24"/>
        </w:rPr>
        <w:t xml:space="preserve">Keywords: Property valuation, Gender, Diversity and inclusion, Policy analysis  </w:t>
      </w:r>
    </w:p>
    <w:p w14:paraId="1EA21FD9" w14:textId="77777777" w:rsidR="00160533" w:rsidRPr="007C4901" w:rsidRDefault="00160533" w:rsidP="00ED1D42">
      <w:pPr>
        <w:rPr>
          <w:b/>
          <w:bCs/>
          <w:sz w:val="24"/>
        </w:rPr>
      </w:pPr>
    </w:p>
    <w:p w14:paraId="10CB696C" w14:textId="69C75203" w:rsidR="003B3250" w:rsidRPr="007C4901" w:rsidRDefault="003B3250" w:rsidP="00ED1D42">
      <w:pPr>
        <w:rPr>
          <w:b/>
          <w:bCs/>
          <w:sz w:val="24"/>
        </w:rPr>
      </w:pPr>
      <w:r w:rsidRPr="007C4901">
        <w:rPr>
          <w:b/>
          <w:bCs/>
          <w:sz w:val="24"/>
        </w:rPr>
        <w:t>This research was funded by the Australian Property Research and Education Fund (APREF).</w:t>
      </w:r>
    </w:p>
    <w:p w14:paraId="70C02A8C" w14:textId="77777777" w:rsidR="003B3250" w:rsidRDefault="003B3250" w:rsidP="00ED1D42"/>
    <w:p w14:paraId="3A4AC610" w14:textId="3C72D660" w:rsidR="003B3250" w:rsidRPr="00160533" w:rsidRDefault="00031B03" w:rsidP="002A0FE0">
      <w:pPr>
        <w:spacing w:before="0" w:after="0"/>
        <w:rPr>
          <w:b/>
          <w:bCs/>
          <w:sz w:val="24"/>
        </w:rPr>
      </w:pPr>
      <w:r w:rsidRPr="00160533">
        <w:rPr>
          <w:b/>
          <w:bCs/>
          <w:sz w:val="24"/>
        </w:rPr>
        <w:t>INTRODUCTION</w:t>
      </w:r>
    </w:p>
    <w:p w14:paraId="21D35CEA" w14:textId="77777777" w:rsidR="002A0FE0" w:rsidRDefault="002A0FE0" w:rsidP="002A0FE0">
      <w:pPr>
        <w:spacing w:before="0" w:after="0"/>
        <w:rPr>
          <w:sz w:val="24"/>
        </w:rPr>
      </w:pPr>
    </w:p>
    <w:p w14:paraId="36E1E3A0" w14:textId="280366AF" w:rsidR="00DA7C65" w:rsidRPr="007C4901" w:rsidRDefault="004E2640" w:rsidP="002A0FE0">
      <w:pPr>
        <w:spacing w:before="0" w:after="0"/>
        <w:rPr>
          <w:sz w:val="24"/>
        </w:rPr>
      </w:pPr>
      <w:r w:rsidRPr="007C4901">
        <w:rPr>
          <w:sz w:val="24"/>
        </w:rPr>
        <w:t>The property and construction industry has been facing a persistent global issue of gender inequality and lack of diversity among professionals. This exacerbates the shortage of skills, reduces economic productivity, and limits innovation capacity</w:t>
      </w:r>
      <w:r w:rsidR="0021385B" w:rsidRPr="007C4901">
        <w:rPr>
          <w:sz w:val="24"/>
        </w:rPr>
        <w:t xml:space="preserve"> (Dimovski et al., 2016). </w:t>
      </w:r>
      <w:r w:rsidR="00692DDD" w:rsidRPr="007C4901">
        <w:rPr>
          <w:sz w:val="24"/>
        </w:rPr>
        <w:t>Despite recent efforts to promote gender balance in the property sector, the valuation industry remains predominantly male dominated.</w:t>
      </w:r>
      <w:r w:rsidR="00697D91" w:rsidRPr="007C4901">
        <w:rPr>
          <w:sz w:val="24"/>
        </w:rPr>
        <w:t xml:space="preserve"> </w:t>
      </w:r>
      <w:r w:rsidR="0021385B" w:rsidRPr="007C4901">
        <w:rPr>
          <w:sz w:val="24"/>
        </w:rPr>
        <w:t xml:space="preserve">The results of Australian graduate research demonstrate that female graduates entering the property profession represents 32% of the total number of graduates in the field (Warren and Antoniades, 2016), but these ratios are not seen in the valuation industry. </w:t>
      </w:r>
      <w:r w:rsidR="00692DDD" w:rsidRPr="007C4901">
        <w:rPr>
          <w:sz w:val="24"/>
        </w:rPr>
        <w:t xml:space="preserve">The industry has been struggling to attract and retain women, and with a significant number of property valuers set to retire in the next decade, there are concerns about </w:t>
      </w:r>
      <w:r w:rsidR="00DA7ECC">
        <w:rPr>
          <w:sz w:val="24"/>
        </w:rPr>
        <w:t xml:space="preserve">from </w:t>
      </w:r>
      <w:r w:rsidR="00692DDD" w:rsidRPr="007C4901">
        <w:rPr>
          <w:sz w:val="24"/>
        </w:rPr>
        <w:t xml:space="preserve">where the next generation of professionals will come </w:t>
      </w:r>
      <w:r w:rsidR="0021385B" w:rsidRPr="007C4901">
        <w:rPr>
          <w:sz w:val="24"/>
        </w:rPr>
        <w:t>(Wilkinson et al., 2016).</w:t>
      </w:r>
    </w:p>
    <w:p w14:paraId="57C973B1" w14:textId="62E465B1" w:rsidR="003114F0" w:rsidRPr="007C4901" w:rsidRDefault="0014247D" w:rsidP="00DA7C65">
      <w:pPr>
        <w:rPr>
          <w:sz w:val="24"/>
        </w:rPr>
      </w:pPr>
      <w:r w:rsidRPr="007C4901">
        <w:rPr>
          <w:rFonts w:eastAsia="Arial"/>
          <w:sz w:val="24"/>
          <w:lang w:val="en-US" w:eastAsia="en-US"/>
        </w:rPr>
        <w:t>The lack of diversity in gender, ethnicity, and age has significant implications for the valuation profession. It affects how the profession is defined, educated, and marketed, as well as how clients perceive it</w:t>
      </w:r>
      <w:r w:rsidR="006A79DF" w:rsidRPr="007C4901">
        <w:rPr>
          <w:rFonts w:eastAsia="Arial"/>
          <w:sz w:val="24"/>
          <w:lang w:val="en-US" w:eastAsia="en-US"/>
        </w:rPr>
        <w:t xml:space="preserve">. </w:t>
      </w:r>
      <w:r w:rsidRPr="007C4901">
        <w:rPr>
          <w:rFonts w:eastAsia="Arial"/>
          <w:sz w:val="24"/>
          <w:lang w:val="en-US" w:eastAsia="en-US"/>
        </w:rPr>
        <w:t>To promote equal employment policy and practice, the valuation industry must take responsibility for encouraging a coordinated approach. These concerns are genuine and require urgent examination and action to understand how the valuation profession must evolve to not only survive</w:t>
      </w:r>
      <w:r w:rsidR="00DA7ECC">
        <w:rPr>
          <w:rFonts w:eastAsia="Arial"/>
          <w:sz w:val="24"/>
          <w:lang w:val="en-US" w:eastAsia="en-US"/>
        </w:rPr>
        <w:t>,</w:t>
      </w:r>
      <w:r w:rsidRPr="007C4901">
        <w:rPr>
          <w:rFonts w:eastAsia="Arial"/>
          <w:sz w:val="24"/>
          <w:lang w:val="en-US" w:eastAsia="en-US"/>
        </w:rPr>
        <w:t xml:space="preserve"> but </w:t>
      </w:r>
      <w:r w:rsidR="00DA7ECC">
        <w:rPr>
          <w:rFonts w:eastAsia="Arial"/>
          <w:sz w:val="24"/>
          <w:lang w:val="en-US" w:eastAsia="en-US"/>
        </w:rPr>
        <w:t xml:space="preserve">to </w:t>
      </w:r>
      <w:r w:rsidRPr="007C4901">
        <w:rPr>
          <w:rFonts w:eastAsia="Arial"/>
          <w:sz w:val="24"/>
          <w:lang w:val="en-US" w:eastAsia="en-US"/>
        </w:rPr>
        <w:t>thrive in the immediate and long-term future.</w:t>
      </w:r>
      <w:r w:rsidR="00D75245" w:rsidRPr="007C4901">
        <w:rPr>
          <w:sz w:val="24"/>
        </w:rPr>
        <w:t xml:space="preserve"> </w:t>
      </w:r>
      <w:r w:rsidR="00BD2367">
        <w:rPr>
          <w:sz w:val="24"/>
        </w:rPr>
        <w:t>Currently, t</w:t>
      </w:r>
      <w:r w:rsidR="00DA374A" w:rsidRPr="00DA374A">
        <w:rPr>
          <w:sz w:val="24"/>
        </w:rPr>
        <w:t xml:space="preserve">here is little understanding of why </w:t>
      </w:r>
      <w:r w:rsidR="00DA374A" w:rsidRPr="00DA374A">
        <w:rPr>
          <w:sz w:val="24"/>
        </w:rPr>
        <w:lastRenderedPageBreak/>
        <w:t>formal initiatives introduced to attract, retain</w:t>
      </w:r>
      <w:r w:rsidR="00BD2367">
        <w:rPr>
          <w:sz w:val="24"/>
        </w:rPr>
        <w:t>,</w:t>
      </w:r>
      <w:r w:rsidR="00DA374A" w:rsidRPr="00DA374A">
        <w:rPr>
          <w:sz w:val="24"/>
        </w:rPr>
        <w:t xml:space="preserve"> and promote more people from diverse backgrounds into industries such as valuation have not been effective.</w:t>
      </w:r>
    </w:p>
    <w:p w14:paraId="08850DC6" w14:textId="55404935" w:rsidR="002C5141" w:rsidRPr="007C4901" w:rsidRDefault="00E2715E" w:rsidP="001B6C0A">
      <w:pPr>
        <w:spacing w:before="0" w:after="0"/>
        <w:rPr>
          <w:sz w:val="24"/>
        </w:rPr>
      </w:pPr>
      <w:r w:rsidRPr="007C4901">
        <w:rPr>
          <w:sz w:val="24"/>
        </w:rPr>
        <w:t>This paper is part of a broader project that examines the gender diversity and inclusion in the valuation profession in Australia. It aims to determine whether valuation firms consider gender diversity and inclusion as an integral part of their hiring practices, promotion process, mission statement, and core values through their public information, and whether there are explicit commitments to gender diversity</w:t>
      </w:r>
      <w:r w:rsidR="00386369">
        <w:rPr>
          <w:sz w:val="24"/>
        </w:rPr>
        <w:t xml:space="preserve"> on their company website information</w:t>
      </w:r>
      <w:r w:rsidRPr="007C4901">
        <w:rPr>
          <w:sz w:val="24"/>
        </w:rPr>
        <w:t xml:space="preserve">. Furthermore, it aims to evaluate the representation of women </w:t>
      </w:r>
      <w:r w:rsidR="00DA7ECC">
        <w:rPr>
          <w:sz w:val="24"/>
        </w:rPr>
        <w:t>on</w:t>
      </w:r>
      <w:r w:rsidR="00DA7ECC" w:rsidRPr="007C4901">
        <w:rPr>
          <w:sz w:val="24"/>
        </w:rPr>
        <w:t xml:space="preserve"> </w:t>
      </w:r>
      <w:r w:rsidRPr="007C4901">
        <w:rPr>
          <w:sz w:val="24"/>
        </w:rPr>
        <w:t>the boards, leadership/executive teams, and other key positions in valuation firms</w:t>
      </w:r>
      <w:r w:rsidR="00DA7ECC">
        <w:rPr>
          <w:sz w:val="24"/>
        </w:rPr>
        <w:t>.</w:t>
      </w:r>
      <w:r w:rsidRPr="007C4901">
        <w:rPr>
          <w:sz w:val="24"/>
        </w:rPr>
        <w:t xml:space="preserve"> </w:t>
      </w:r>
    </w:p>
    <w:p w14:paraId="1C17E947" w14:textId="77777777" w:rsidR="00090F65" w:rsidRPr="007C4901" w:rsidRDefault="00090F65" w:rsidP="001B6C0A">
      <w:pPr>
        <w:spacing w:before="0" w:after="0"/>
        <w:rPr>
          <w:sz w:val="24"/>
        </w:rPr>
      </w:pPr>
    </w:p>
    <w:p w14:paraId="0C6499DB" w14:textId="77777777" w:rsidR="00223505" w:rsidRPr="007C4901" w:rsidRDefault="00223505" w:rsidP="001B6C0A">
      <w:pPr>
        <w:spacing w:before="0" w:after="0"/>
        <w:rPr>
          <w:sz w:val="24"/>
        </w:rPr>
      </w:pPr>
    </w:p>
    <w:p w14:paraId="4DD1F4BB" w14:textId="27E4E661" w:rsidR="00031B03" w:rsidRPr="007C4901" w:rsidRDefault="00031B03" w:rsidP="001B6C0A">
      <w:pPr>
        <w:spacing w:before="0" w:after="0"/>
        <w:rPr>
          <w:b/>
          <w:bCs/>
          <w:sz w:val="24"/>
        </w:rPr>
      </w:pPr>
      <w:r w:rsidRPr="007C4901">
        <w:rPr>
          <w:b/>
          <w:bCs/>
          <w:sz w:val="24"/>
        </w:rPr>
        <w:t>LITERATURE REVIEW</w:t>
      </w:r>
    </w:p>
    <w:p w14:paraId="0D7BB138" w14:textId="77777777" w:rsidR="001D01A6" w:rsidRPr="007C4901" w:rsidRDefault="001D01A6" w:rsidP="001B6C0A">
      <w:pPr>
        <w:autoSpaceDE w:val="0"/>
        <w:autoSpaceDN w:val="0"/>
        <w:adjustRightInd w:val="0"/>
        <w:spacing w:before="0" w:after="0"/>
        <w:rPr>
          <w:sz w:val="24"/>
          <w:shd w:val="clear" w:color="auto" w:fill="FFFFFF"/>
        </w:rPr>
      </w:pPr>
    </w:p>
    <w:p w14:paraId="754CECA6" w14:textId="6CCE256F" w:rsidR="003F7E8C" w:rsidRPr="007C4901" w:rsidRDefault="009C591B" w:rsidP="001B6C0A">
      <w:pPr>
        <w:autoSpaceDE w:val="0"/>
        <w:autoSpaceDN w:val="0"/>
        <w:adjustRightInd w:val="0"/>
        <w:spacing w:before="0" w:after="0"/>
        <w:rPr>
          <w:sz w:val="24"/>
        </w:rPr>
      </w:pPr>
      <w:r w:rsidRPr="007C4901">
        <w:rPr>
          <w:sz w:val="24"/>
          <w:shd w:val="clear" w:color="auto" w:fill="FFFFFF"/>
        </w:rPr>
        <w:t>Research has shown that having a gender-diverse workforce can lead to increased efficiency and higher output in organi</w:t>
      </w:r>
      <w:r w:rsidR="004A0CF1" w:rsidRPr="007C4901">
        <w:rPr>
          <w:sz w:val="24"/>
          <w:shd w:val="clear" w:color="auto" w:fill="FFFFFF"/>
        </w:rPr>
        <w:t>s</w:t>
      </w:r>
      <w:r w:rsidRPr="007C4901">
        <w:rPr>
          <w:sz w:val="24"/>
          <w:shd w:val="clear" w:color="auto" w:fill="FFFFFF"/>
        </w:rPr>
        <w:t>ations (Ernst &amp; Young and Property Council of Australia 2018; Clack and Gabler 2019; Levy et al. 2021). Gender diversity in an organi</w:t>
      </w:r>
      <w:r w:rsidR="00F04116">
        <w:rPr>
          <w:sz w:val="24"/>
          <w:shd w:val="clear" w:color="auto" w:fill="FFFFFF"/>
        </w:rPr>
        <w:t>s</w:t>
      </w:r>
      <w:r w:rsidRPr="007C4901">
        <w:rPr>
          <w:sz w:val="24"/>
          <w:shd w:val="clear" w:color="auto" w:fill="FFFFFF"/>
        </w:rPr>
        <w:t>ation allows for better representation and attractiveness to clients, shareholders, and communities, as it enables the organi</w:t>
      </w:r>
      <w:r w:rsidR="00F04116">
        <w:rPr>
          <w:sz w:val="24"/>
          <w:shd w:val="clear" w:color="auto" w:fill="FFFFFF"/>
        </w:rPr>
        <w:t>s</w:t>
      </w:r>
      <w:r w:rsidRPr="007C4901">
        <w:rPr>
          <w:sz w:val="24"/>
          <w:shd w:val="clear" w:color="auto" w:fill="FFFFFF"/>
        </w:rPr>
        <w:t>ation to address their needs more effectively (Chief Executive Women and Male Champions of Change 2018). Companies that fail to achieve a gender-balanced workforce may miss out on top talent and potential improvements in corporate performance (London Property Alliance 2021).</w:t>
      </w:r>
    </w:p>
    <w:p w14:paraId="456C32CD" w14:textId="77777777" w:rsidR="00A5691F" w:rsidRPr="007C4901" w:rsidRDefault="00A5691F" w:rsidP="001B6C0A">
      <w:pPr>
        <w:autoSpaceDE w:val="0"/>
        <w:autoSpaceDN w:val="0"/>
        <w:adjustRightInd w:val="0"/>
        <w:spacing w:before="0" w:after="0"/>
        <w:rPr>
          <w:sz w:val="24"/>
          <w:shd w:val="clear" w:color="auto" w:fill="FFFFFF"/>
        </w:rPr>
      </w:pPr>
    </w:p>
    <w:p w14:paraId="1B49EEF0" w14:textId="2B5A8D4C" w:rsidR="00F23D3B" w:rsidRDefault="0068490E" w:rsidP="001B6C0A">
      <w:pPr>
        <w:autoSpaceDE w:val="0"/>
        <w:autoSpaceDN w:val="0"/>
        <w:adjustRightInd w:val="0"/>
        <w:spacing w:before="0" w:after="0"/>
        <w:rPr>
          <w:sz w:val="24"/>
        </w:rPr>
      </w:pPr>
      <w:r w:rsidRPr="007C4901">
        <w:rPr>
          <w:sz w:val="24"/>
        </w:rPr>
        <w:t>In the property sector</w:t>
      </w:r>
      <w:r w:rsidR="008262E8" w:rsidRPr="007C4901">
        <w:rPr>
          <w:sz w:val="24"/>
        </w:rPr>
        <w:t xml:space="preserve"> in general</w:t>
      </w:r>
      <w:r w:rsidRPr="007C4901">
        <w:rPr>
          <w:sz w:val="24"/>
        </w:rPr>
        <w:t>, there is a significant dominance of males</w:t>
      </w:r>
      <w:r w:rsidR="005706AE" w:rsidRPr="007C4901">
        <w:rPr>
          <w:sz w:val="24"/>
        </w:rPr>
        <w:t xml:space="preserve"> (Ayodele et al. 2017; Enriquez – Ramones et al. 2020)</w:t>
      </w:r>
      <w:r w:rsidRPr="007C4901">
        <w:rPr>
          <w:sz w:val="24"/>
        </w:rPr>
        <w:t xml:space="preserve">. </w:t>
      </w:r>
      <w:r w:rsidR="00E74652" w:rsidRPr="00E74652">
        <w:rPr>
          <w:sz w:val="24"/>
        </w:rPr>
        <w:t>The property industry has not, until recently, promoted strong initiatives or research into the lack of gender equality, diversity</w:t>
      </w:r>
      <w:r w:rsidR="000A7C52">
        <w:rPr>
          <w:sz w:val="24"/>
        </w:rPr>
        <w:t>,</w:t>
      </w:r>
      <w:r w:rsidR="00E74652" w:rsidRPr="00E74652">
        <w:rPr>
          <w:sz w:val="24"/>
        </w:rPr>
        <w:t xml:space="preserve"> and inclusion within the industry. However, there is some encouraging evidence that the industry is becoming increasingly aware of this issue. For example, the Property Council of Australia and </w:t>
      </w:r>
      <w:r w:rsidR="00DA7ECC">
        <w:rPr>
          <w:sz w:val="24"/>
        </w:rPr>
        <w:t>the Royal Institut</w:t>
      </w:r>
      <w:r w:rsidR="00AC0D41">
        <w:rPr>
          <w:sz w:val="24"/>
        </w:rPr>
        <w:t>ion</w:t>
      </w:r>
      <w:r w:rsidR="00DA7ECC">
        <w:rPr>
          <w:sz w:val="24"/>
        </w:rPr>
        <w:t xml:space="preserve"> of Chartered Surveyors (</w:t>
      </w:r>
      <w:r w:rsidR="00E74652" w:rsidRPr="00E74652">
        <w:rPr>
          <w:sz w:val="24"/>
        </w:rPr>
        <w:t>RICS</w:t>
      </w:r>
      <w:r w:rsidR="00390AEB">
        <w:rPr>
          <w:sz w:val="24"/>
        </w:rPr>
        <w:t>)</w:t>
      </w:r>
      <w:r w:rsidR="00E74652" w:rsidRPr="00E74652">
        <w:rPr>
          <w:sz w:val="24"/>
        </w:rPr>
        <w:t xml:space="preserve"> introduced several initiatives to promote gender equality and diversity with the sector (</w:t>
      </w:r>
      <w:r w:rsidR="00727478" w:rsidRPr="00727478">
        <w:rPr>
          <w:sz w:val="24"/>
        </w:rPr>
        <w:t>Ernst &amp; Young &amp; Property Council of Australia 2016</w:t>
      </w:r>
      <w:r w:rsidR="00E74652" w:rsidRPr="00E74652">
        <w:rPr>
          <w:sz w:val="24"/>
        </w:rPr>
        <w:t>; RICS 20</w:t>
      </w:r>
      <w:r w:rsidR="00BF5D8D">
        <w:rPr>
          <w:sz w:val="24"/>
        </w:rPr>
        <w:t>22</w:t>
      </w:r>
      <w:r w:rsidR="00E74652" w:rsidRPr="00E74652">
        <w:rPr>
          <w:sz w:val="24"/>
        </w:rPr>
        <w:t xml:space="preserve">). </w:t>
      </w:r>
      <w:r w:rsidRPr="007C4901">
        <w:rPr>
          <w:sz w:val="24"/>
        </w:rPr>
        <w:t xml:space="preserve">Among the various property sub-sectors, the valuation industry has the lowest level of gender diversity. </w:t>
      </w:r>
    </w:p>
    <w:p w14:paraId="4944E642" w14:textId="77777777" w:rsidR="00F23D3B" w:rsidRDefault="00F23D3B" w:rsidP="001B6C0A">
      <w:pPr>
        <w:autoSpaceDE w:val="0"/>
        <w:autoSpaceDN w:val="0"/>
        <w:adjustRightInd w:val="0"/>
        <w:spacing w:before="0" w:after="0"/>
        <w:rPr>
          <w:sz w:val="24"/>
        </w:rPr>
      </w:pPr>
    </w:p>
    <w:p w14:paraId="106E04B4" w14:textId="62EAD4C8" w:rsidR="008714D1" w:rsidRPr="007C4901" w:rsidRDefault="0068490E" w:rsidP="001B6C0A">
      <w:pPr>
        <w:autoSpaceDE w:val="0"/>
        <w:autoSpaceDN w:val="0"/>
        <w:adjustRightInd w:val="0"/>
        <w:spacing w:before="0" w:after="0"/>
        <w:rPr>
          <w:sz w:val="24"/>
        </w:rPr>
      </w:pPr>
      <w:r w:rsidRPr="007C4901">
        <w:rPr>
          <w:sz w:val="24"/>
        </w:rPr>
        <w:t>According to a 2019 survey of 15,600 valuation professionals in the U.S., men constituted approximately 77.7% of appraisers in the first quarter of 2019</w:t>
      </w:r>
      <w:r w:rsidR="00C12294" w:rsidRPr="007C4901">
        <w:rPr>
          <w:sz w:val="24"/>
        </w:rPr>
        <w:t xml:space="preserve"> (Appraisal Institute 2019)</w:t>
      </w:r>
      <w:r w:rsidRPr="007C4901">
        <w:rPr>
          <w:sz w:val="24"/>
        </w:rPr>
        <w:t>. A study conducted by the Appraisal Foundation and Appraisal Institute in April 2021 revealed that men and women represented 68% and 32% of valuers in the U.S., respectively. Although this indicates a departure from the 2019 figures, it highlights the need for a concerted effort to increase female participation in the valuation profession in the U.S. Additionally, the appraisal industry does not reflect the racial makeup of the country. Women constitute 30% of all property appraisers in the U.S., with 97.7% of property appraisers and assessors being white and African Americans and Hispanics representing 1.1% and 1% respectively</w:t>
      </w:r>
      <w:r w:rsidR="00963ABD" w:rsidRPr="007C4901">
        <w:rPr>
          <w:sz w:val="24"/>
        </w:rPr>
        <w:t xml:space="preserve"> (Richardson 2021)</w:t>
      </w:r>
      <w:r w:rsidRPr="007C4901">
        <w:rPr>
          <w:sz w:val="24"/>
        </w:rPr>
        <w:t xml:space="preserve">. The discriminatory housing policies, </w:t>
      </w:r>
      <w:r w:rsidR="00122F4F" w:rsidRPr="007C4901">
        <w:rPr>
          <w:sz w:val="24"/>
        </w:rPr>
        <w:t>racially biased</w:t>
      </w:r>
      <w:r w:rsidRPr="007C4901">
        <w:rPr>
          <w:sz w:val="24"/>
        </w:rPr>
        <w:t xml:space="preserve"> valuation of homes, and racial exclusion from the appraisal profession account for the generational wealth gap between blacks and whites. Although the Uniform Standards of Professional Appraisal Practice prohibits all forms of discrimination in the profession, more effort is required to improve racial diversity in the profession</w:t>
      </w:r>
      <w:r w:rsidR="000B227E" w:rsidRPr="007C4901">
        <w:rPr>
          <w:sz w:val="24"/>
        </w:rPr>
        <w:t xml:space="preserve"> (The Appraisal Foundation 2020)</w:t>
      </w:r>
      <w:r w:rsidRPr="007C4901">
        <w:rPr>
          <w:sz w:val="24"/>
        </w:rPr>
        <w:t>. With fewer people entering the U.S appraisal industry, there are concerns about the</w:t>
      </w:r>
      <w:r w:rsidR="00DA7ECC">
        <w:rPr>
          <w:sz w:val="24"/>
        </w:rPr>
        <w:t>ir</w:t>
      </w:r>
      <w:r w:rsidRPr="007C4901">
        <w:rPr>
          <w:sz w:val="24"/>
        </w:rPr>
        <w:t xml:space="preserve"> aging workforce since approximately 49% of appraisers are between 51 and 65 years, with only 10% aged 35 years or below</w:t>
      </w:r>
      <w:r w:rsidR="00AB2FA6" w:rsidRPr="007C4901">
        <w:rPr>
          <w:sz w:val="24"/>
        </w:rPr>
        <w:t xml:space="preserve"> (Wharton 2018)</w:t>
      </w:r>
      <w:r w:rsidRPr="007C4901">
        <w:rPr>
          <w:sz w:val="24"/>
        </w:rPr>
        <w:t xml:space="preserve">. </w:t>
      </w:r>
      <w:r w:rsidR="00E61845">
        <w:rPr>
          <w:sz w:val="24"/>
        </w:rPr>
        <w:t xml:space="preserve">As a result, </w:t>
      </w:r>
      <w:r w:rsidRPr="007C4901">
        <w:rPr>
          <w:sz w:val="24"/>
        </w:rPr>
        <w:t>Congress passed the Real Estate Valuation Fairness and Improvement Act of 2021 to address these issues, mandating an interagency task force to review federal collateral underwriting criteria and implement measures to enhance diversity in the valuation profession</w:t>
      </w:r>
      <w:r w:rsidR="007A5E99" w:rsidRPr="007C4901">
        <w:rPr>
          <w:sz w:val="24"/>
        </w:rPr>
        <w:t xml:space="preserve"> (Richardson 2021)</w:t>
      </w:r>
      <w:r w:rsidRPr="007C4901">
        <w:rPr>
          <w:sz w:val="24"/>
        </w:rPr>
        <w:t>.</w:t>
      </w:r>
    </w:p>
    <w:p w14:paraId="0A3A554E" w14:textId="77777777" w:rsidR="003B64EF" w:rsidRPr="007C4901" w:rsidRDefault="003B64EF" w:rsidP="001B6C0A">
      <w:pPr>
        <w:autoSpaceDE w:val="0"/>
        <w:autoSpaceDN w:val="0"/>
        <w:adjustRightInd w:val="0"/>
        <w:spacing w:before="0" w:after="0"/>
        <w:rPr>
          <w:sz w:val="24"/>
        </w:rPr>
      </w:pPr>
    </w:p>
    <w:p w14:paraId="5116D109" w14:textId="681704FC" w:rsidR="002D1255" w:rsidRPr="007C4901" w:rsidRDefault="0003290C" w:rsidP="001B6C0A">
      <w:pPr>
        <w:autoSpaceDE w:val="0"/>
        <w:autoSpaceDN w:val="0"/>
        <w:adjustRightInd w:val="0"/>
        <w:spacing w:before="0" w:after="0"/>
        <w:rPr>
          <w:sz w:val="24"/>
        </w:rPr>
      </w:pPr>
      <w:r w:rsidRPr="007C4901">
        <w:rPr>
          <w:sz w:val="24"/>
        </w:rPr>
        <w:t>Research has revealed a lack of representation of women and minorities in the property and built environment professions in the U.K. Ernst &amp; Young</w:t>
      </w:r>
      <w:r w:rsidR="002E4EB0" w:rsidRPr="007C4901">
        <w:rPr>
          <w:sz w:val="24"/>
        </w:rPr>
        <w:t xml:space="preserve"> (</w:t>
      </w:r>
      <w:r w:rsidRPr="007C4901">
        <w:rPr>
          <w:sz w:val="24"/>
        </w:rPr>
        <w:t>2016</w:t>
      </w:r>
      <w:r w:rsidR="002E4EB0" w:rsidRPr="007C4901">
        <w:rPr>
          <w:sz w:val="24"/>
        </w:rPr>
        <w:t>)</w:t>
      </w:r>
      <w:r w:rsidRPr="007C4901">
        <w:rPr>
          <w:sz w:val="24"/>
        </w:rPr>
        <w:t xml:space="preserve"> report on the U.K.'s property industry, </w:t>
      </w:r>
      <w:r w:rsidRPr="007C4901">
        <w:rPr>
          <w:sz w:val="24"/>
        </w:rPr>
        <w:lastRenderedPageBreak/>
        <w:t xml:space="preserve">which encompasses valuation and other built environment professionals, indicates that only 13% of the membership is female, while Blacks, Asians, and other minority ethnic groups represent a mere 1.2%, and people with disabilities less than 1%. These issues led the RICS to launch initiatives like the Inclusive Employer Quality Mark (IEQM) to encourage member firms to review their human resource and recruitment practices to promote diversity and inclusivity. A study of gender structures in Sweden's real estate industry by Pauli </w:t>
      </w:r>
      <w:r w:rsidR="00FD5F55" w:rsidRPr="007C4901">
        <w:rPr>
          <w:sz w:val="24"/>
        </w:rPr>
        <w:t>(</w:t>
      </w:r>
      <w:r w:rsidRPr="007C4901">
        <w:rPr>
          <w:sz w:val="24"/>
        </w:rPr>
        <w:t>2013</w:t>
      </w:r>
      <w:r w:rsidR="00FD5F55" w:rsidRPr="007C4901">
        <w:rPr>
          <w:sz w:val="24"/>
        </w:rPr>
        <w:t>)</w:t>
      </w:r>
      <w:r w:rsidRPr="007C4901">
        <w:rPr>
          <w:sz w:val="24"/>
        </w:rPr>
        <w:t xml:space="preserve"> confirms the male dominance of the property sector, with men constituting 61% of the workforce and women the remaining 39% of the commercial real estate sector as of 2008. Oladapo </w:t>
      </w:r>
      <w:r w:rsidR="00F657A4" w:rsidRPr="007C4901">
        <w:rPr>
          <w:sz w:val="24"/>
        </w:rPr>
        <w:t>(</w:t>
      </w:r>
      <w:r w:rsidRPr="007C4901">
        <w:rPr>
          <w:sz w:val="24"/>
        </w:rPr>
        <w:t>2017</w:t>
      </w:r>
      <w:r w:rsidR="00F657A4" w:rsidRPr="007C4901">
        <w:rPr>
          <w:sz w:val="24"/>
        </w:rPr>
        <w:t>)</w:t>
      </w:r>
      <w:r w:rsidRPr="007C4901">
        <w:rPr>
          <w:sz w:val="24"/>
        </w:rPr>
        <w:t xml:space="preserve"> supports the male dominance of valuation and property companies in Nigeria, and attributes it to various factors that influence the preference for male valuers and estate agents over females, including the perception that women are not tough enough to handle the job's demands and incapable of keeping confidential client information.</w:t>
      </w:r>
    </w:p>
    <w:p w14:paraId="312EDEDB" w14:textId="77777777" w:rsidR="0003642C" w:rsidRPr="007C4901" w:rsidRDefault="0003642C" w:rsidP="001B6C0A">
      <w:pPr>
        <w:autoSpaceDE w:val="0"/>
        <w:autoSpaceDN w:val="0"/>
        <w:adjustRightInd w:val="0"/>
        <w:spacing w:before="0" w:after="0"/>
        <w:rPr>
          <w:sz w:val="24"/>
        </w:rPr>
      </w:pPr>
    </w:p>
    <w:p w14:paraId="7E1C572B" w14:textId="60741B38" w:rsidR="002D1255" w:rsidRPr="007C4901" w:rsidRDefault="0003290C" w:rsidP="001B6C0A">
      <w:pPr>
        <w:pStyle w:val="Default"/>
        <w:jc w:val="both"/>
        <w:rPr>
          <w:rFonts w:ascii="Times New Roman" w:hAnsi="Times New Roman" w:cs="Times New Roman"/>
          <w:color w:val="auto"/>
        </w:rPr>
      </w:pPr>
      <w:r w:rsidRPr="007C4901">
        <w:rPr>
          <w:rFonts w:ascii="Times New Roman" w:hAnsi="Times New Roman" w:cs="Times New Roman"/>
          <w:color w:val="auto"/>
        </w:rPr>
        <w:t>The gender diversity patterns in the Australian valuation industry are in line with those in other global markets</w:t>
      </w:r>
      <w:r w:rsidR="000E5146">
        <w:rPr>
          <w:rFonts w:ascii="Times New Roman" w:hAnsi="Times New Roman" w:cs="Times New Roman"/>
          <w:color w:val="auto"/>
        </w:rPr>
        <w:t xml:space="preserve"> (Halvitigala et al., 2023)</w:t>
      </w:r>
      <w:r w:rsidRPr="007C4901">
        <w:rPr>
          <w:rFonts w:ascii="Times New Roman" w:hAnsi="Times New Roman" w:cs="Times New Roman"/>
          <w:color w:val="auto"/>
        </w:rPr>
        <w:t>. The A</w:t>
      </w:r>
      <w:r w:rsidR="00267772">
        <w:rPr>
          <w:rFonts w:ascii="Times New Roman" w:hAnsi="Times New Roman" w:cs="Times New Roman"/>
          <w:color w:val="auto"/>
        </w:rPr>
        <w:t xml:space="preserve">ustralian </w:t>
      </w:r>
      <w:r w:rsidRPr="007C4901">
        <w:rPr>
          <w:rFonts w:ascii="Times New Roman" w:hAnsi="Times New Roman" w:cs="Times New Roman"/>
          <w:color w:val="auto"/>
        </w:rPr>
        <w:t>P</w:t>
      </w:r>
      <w:r w:rsidR="00267772">
        <w:rPr>
          <w:rFonts w:ascii="Times New Roman" w:hAnsi="Times New Roman" w:cs="Times New Roman"/>
          <w:color w:val="auto"/>
        </w:rPr>
        <w:t xml:space="preserve">roperty </w:t>
      </w:r>
      <w:r w:rsidR="00753881" w:rsidRPr="007C4901">
        <w:rPr>
          <w:rFonts w:ascii="Times New Roman" w:hAnsi="Times New Roman" w:cs="Times New Roman"/>
          <w:color w:val="auto"/>
        </w:rPr>
        <w:t>I</w:t>
      </w:r>
      <w:r w:rsidR="00753881">
        <w:rPr>
          <w:rFonts w:ascii="Times New Roman" w:hAnsi="Times New Roman" w:cs="Times New Roman"/>
          <w:color w:val="auto"/>
        </w:rPr>
        <w:t>nstitut</w:t>
      </w:r>
      <w:r w:rsidR="00753881" w:rsidRPr="007C4901">
        <w:rPr>
          <w:rFonts w:ascii="Times New Roman" w:hAnsi="Times New Roman" w:cs="Times New Roman"/>
          <w:color w:val="auto"/>
        </w:rPr>
        <w:t>e</w:t>
      </w:r>
      <w:r w:rsidR="00753881">
        <w:rPr>
          <w:rFonts w:ascii="Times New Roman" w:hAnsi="Times New Roman" w:cs="Times New Roman"/>
          <w:color w:val="auto"/>
        </w:rPr>
        <w:t xml:space="preserve"> (API)</w:t>
      </w:r>
      <w:r w:rsidR="00753881" w:rsidRPr="007C4901">
        <w:rPr>
          <w:rFonts w:ascii="Times New Roman" w:hAnsi="Times New Roman" w:cs="Times New Roman"/>
          <w:color w:val="auto"/>
        </w:rPr>
        <w:t>’s</w:t>
      </w:r>
      <w:r w:rsidRPr="007C4901">
        <w:rPr>
          <w:rFonts w:ascii="Times New Roman" w:hAnsi="Times New Roman" w:cs="Times New Roman"/>
          <w:color w:val="auto"/>
        </w:rPr>
        <w:t xml:space="preserve"> membership data highlights the importance of concerted efforts to increase the representation of women in valuation. Figure 1 reveals that as of January 2022, female members were underrepresented in all API membership categories except deferred members.</w:t>
      </w:r>
    </w:p>
    <w:p w14:paraId="6131EBFB" w14:textId="77777777" w:rsidR="0003642C" w:rsidRPr="007C4901" w:rsidRDefault="0003642C" w:rsidP="001B6C0A">
      <w:pPr>
        <w:pStyle w:val="Default"/>
        <w:jc w:val="both"/>
        <w:rPr>
          <w:rFonts w:ascii="Times New Roman" w:hAnsi="Times New Roman" w:cs="Times New Roman"/>
          <w:color w:val="auto"/>
        </w:rPr>
      </w:pPr>
    </w:p>
    <w:p w14:paraId="2048F825" w14:textId="38C6E376" w:rsidR="002D1255" w:rsidRPr="007C4901" w:rsidRDefault="002D1255" w:rsidP="001B6C0A">
      <w:pPr>
        <w:pStyle w:val="Default"/>
        <w:jc w:val="both"/>
        <w:rPr>
          <w:rFonts w:ascii="Times New Roman" w:hAnsi="Times New Roman" w:cs="Times New Roman"/>
          <w:i/>
          <w:iCs/>
        </w:rPr>
      </w:pPr>
      <w:r w:rsidRPr="007C4901">
        <w:rPr>
          <w:rFonts w:ascii="Times New Roman" w:hAnsi="Times New Roman" w:cs="Times New Roman"/>
          <w:i/>
          <w:iCs/>
        </w:rPr>
        <w:t>Figure 1</w:t>
      </w:r>
      <w:r w:rsidR="00007F9F" w:rsidRPr="007C4901">
        <w:rPr>
          <w:rFonts w:ascii="Times New Roman" w:hAnsi="Times New Roman" w:cs="Times New Roman"/>
          <w:i/>
          <w:iCs/>
        </w:rPr>
        <w:t xml:space="preserve"> – Female </w:t>
      </w:r>
      <w:r w:rsidR="00DD0006" w:rsidRPr="007C4901">
        <w:rPr>
          <w:rFonts w:ascii="Times New Roman" w:hAnsi="Times New Roman" w:cs="Times New Roman"/>
          <w:i/>
          <w:iCs/>
        </w:rPr>
        <w:t xml:space="preserve">percentage of </w:t>
      </w:r>
      <w:r w:rsidRPr="007C4901">
        <w:rPr>
          <w:rFonts w:ascii="Times New Roman" w:hAnsi="Times New Roman" w:cs="Times New Roman"/>
          <w:i/>
          <w:iCs/>
        </w:rPr>
        <w:t xml:space="preserve">API </w:t>
      </w:r>
      <w:r w:rsidR="00CC5E1E" w:rsidRPr="007C4901">
        <w:rPr>
          <w:rFonts w:ascii="Times New Roman" w:hAnsi="Times New Roman" w:cs="Times New Roman"/>
          <w:i/>
          <w:iCs/>
        </w:rPr>
        <w:t xml:space="preserve">member categories </w:t>
      </w:r>
      <w:r w:rsidRPr="007C4901">
        <w:rPr>
          <w:rFonts w:ascii="Times New Roman" w:hAnsi="Times New Roman" w:cs="Times New Roman"/>
          <w:i/>
          <w:iCs/>
        </w:rPr>
        <w:t>(excluding student members)</w:t>
      </w:r>
    </w:p>
    <w:p w14:paraId="75D3A87E" w14:textId="77777777" w:rsidR="004377F9" w:rsidRPr="00160533" w:rsidRDefault="004377F9" w:rsidP="001B6C0A">
      <w:pPr>
        <w:pStyle w:val="Default"/>
        <w:jc w:val="both"/>
        <w:rPr>
          <w:rFonts w:ascii="Times New Roman" w:hAnsi="Times New Roman" w:cs="Times New Roman"/>
        </w:rPr>
      </w:pPr>
    </w:p>
    <w:p w14:paraId="2A647018" w14:textId="77777777" w:rsidR="002D1255" w:rsidRPr="00223505" w:rsidRDefault="002D1255" w:rsidP="001B6C0A">
      <w:pPr>
        <w:pStyle w:val="Default"/>
        <w:jc w:val="both"/>
        <w:rPr>
          <w:rFonts w:ascii="Times New Roman" w:hAnsi="Times New Roman" w:cs="Times New Roman"/>
          <w:sz w:val="22"/>
          <w:szCs w:val="22"/>
        </w:rPr>
      </w:pPr>
      <w:r w:rsidRPr="00223505">
        <w:rPr>
          <w:rFonts w:ascii="Times New Roman" w:hAnsi="Times New Roman" w:cs="Times New Roman"/>
          <w:noProof/>
          <w:sz w:val="22"/>
          <w:szCs w:val="22"/>
        </w:rPr>
        <w:drawing>
          <wp:inline distT="0" distB="0" distL="0" distR="0" wp14:anchorId="29327D8A" wp14:editId="461D7EE6">
            <wp:extent cx="5075065" cy="2388093"/>
            <wp:effectExtent l="0" t="0" r="0" b="0"/>
            <wp:docPr id="1" name="Picture 1" descr="A picture containing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ubble chart&#10;&#10;Description automatically generated"/>
                    <pic:cNvPicPr/>
                  </pic:nvPicPr>
                  <pic:blipFill>
                    <a:blip r:embed="rId11"/>
                    <a:stretch>
                      <a:fillRect/>
                    </a:stretch>
                  </pic:blipFill>
                  <pic:spPr>
                    <a:xfrm>
                      <a:off x="0" y="0"/>
                      <a:ext cx="5130585" cy="2414218"/>
                    </a:xfrm>
                    <a:prstGeom prst="rect">
                      <a:avLst/>
                    </a:prstGeom>
                  </pic:spPr>
                </pic:pic>
              </a:graphicData>
            </a:graphic>
          </wp:inline>
        </w:drawing>
      </w:r>
    </w:p>
    <w:p w14:paraId="6A2D1B96" w14:textId="77777777" w:rsidR="002D1255" w:rsidRPr="007C4901" w:rsidRDefault="002D1255" w:rsidP="001B6C0A">
      <w:pPr>
        <w:pStyle w:val="Default"/>
        <w:jc w:val="both"/>
        <w:rPr>
          <w:rFonts w:ascii="Times New Roman" w:hAnsi="Times New Roman" w:cs="Times New Roman"/>
          <w:color w:val="auto"/>
        </w:rPr>
      </w:pPr>
      <w:r w:rsidRPr="007C4901">
        <w:rPr>
          <w:rFonts w:ascii="Times New Roman" w:hAnsi="Times New Roman" w:cs="Times New Roman"/>
          <w:color w:val="auto"/>
        </w:rPr>
        <w:t xml:space="preserve">Source: </w:t>
      </w:r>
      <w:r w:rsidRPr="007C4901">
        <w:rPr>
          <w:rFonts w:ascii="Times New Roman" w:hAnsi="Times New Roman" w:cs="Times New Roman"/>
          <w:color w:val="auto"/>
        </w:rPr>
        <w:fldChar w:fldCharType="begin"/>
      </w:r>
      <w:r w:rsidRPr="007C4901">
        <w:rPr>
          <w:rFonts w:ascii="Times New Roman" w:hAnsi="Times New Roman" w:cs="Times New Roman"/>
          <w:color w:val="auto"/>
        </w:rPr>
        <w:instrText xml:space="preserve"> ADDIN EN.CITE &lt;EndNote&gt;&lt;Cite AuthorYear="1"&gt;&lt;Author&gt;Australian Property Institute&lt;/Author&gt;&lt;Year&gt;2022&lt;/Year&gt;&lt;RecNum&gt;921&lt;/RecNum&gt;&lt;DisplayText&gt;Australian Property Institute (2022)&lt;/DisplayText&gt;&lt;record&gt;&lt;rec-number&gt;921&lt;/rec-number&gt;&lt;foreign-keys&gt;&lt;key app="EN" db-id="rfedwt5pzzd023earx7vr001exz0fdppapvp" timestamp="1657039551"&gt;921&lt;/key&gt;&lt;/foreign-keys&gt;&lt;ref-type name="Report"&gt;27&lt;/ref-type&gt;&lt;contributors&gt;&lt;authors&gt;&lt;author&gt;Australian Property Institute,&lt;/author&gt;&lt;/authors&gt;&lt;/contributors&gt;&lt;titles&gt;&lt;title&gt;Membership snapshot in In relation to gender diversity – statistics as at 1 January 2022&lt;/title&gt;&lt;/titles&gt;&lt;dates&gt;&lt;year&gt;2022&lt;/year&gt;&lt;/dates&gt;&lt;publisher&gt;Australian Property Institute&lt;/publisher&gt;&lt;urls&gt;&lt;/urls&gt;&lt;/record&gt;&lt;/Cite&gt;&lt;/EndNote&gt;</w:instrText>
      </w:r>
      <w:r w:rsidRPr="007C4901">
        <w:rPr>
          <w:rFonts w:ascii="Times New Roman" w:hAnsi="Times New Roman" w:cs="Times New Roman"/>
          <w:color w:val="auto"/>
        </w:rPr>
        <w:fldChar w:fldCharType="separate"/>
      </w:r>
      <w:r w:rsidRPr="007C4901">
        <w:rPr>
          <w:rFonts w:ascii="Times New Roman" w:hAnsi="Times New Roman" w:cs="Times New Roman"/>
          <w:noProof/>
          <w:color w:val="auto"/>
        </w:rPr>
        <w:t>Australian Property Institute (2022)</w:t>
      </w:r>
      <w:r w:rsidRPr="007C4901">
        <w:rPr>
          <w:rFonts w:ascii="Times New Roman" w:hAnsi="Times New Roman" w:cs="Times New Roman"/>
          <w:color w:val="auto"/>
        </w:rPr>
        <w:fldChar w:fldCharType="end"/>
      </w:r>
    </w:p>
    <w:p w14:paraId="5F8845A6" w14:textId="77777777" w:rsidR="002D1255" w:rsidRPr="007C4901" w:rsidRDefault="002D1255" w:rsidP="001B6C0A">
      <w:pPr>
        <w:pStyle w:val="Default"/>
        <w:jc w:val="both"/>
        <w:rPr>
          <w:rFonts w:ascii="Times New Roman" w:hAnsi="Times New Roman" w:cs="Times New Roman"/>
          <w:color w:val="auto"/>
        </w:rPr>
      </w:pPr>
    </w:p>
    <w:p w14:paraId="43EBB23C" w14:textId="156F65F7" w:rsidR="002D1255" w:rsidRPr="007C4901" w:rsidRDefault="0062149B" w:rsidP="007C4901">
      <w:pPr>
        <w:autoSpaceDE w:val="0"/>
        <w:autoSpaceDN w:val="0"/>
        <w:adjustRightInd w:val="0"/>
        <w:spacing w:before="0" w:after="0"/>
        <w:rPr>
          <w:sz w:val="24"/>
        </w:rPr>
      </w:pPr>
      <w:r w:rsidRPr="007C4901">
        <w:rPr>
          <w:sz w:val="24"/>
        </w:rPr>
        <w:t>Based on the numbers presented, it</w:t>
      </w:r>
      <w:r w:rsidR="00A17B08" w:rsidRPr="007C4901">
        <w:rPr>
          <w:sz w:val="24"/>
        </w:rPr>
        <w:t xml:space="preserve"> is </w:t>
      </w:r>
      <w:r w:rsidRPr="007C4901">
        <w:rPr>
          <w:sz w:val="24"/>
        </w:rPr>
        <w:t>clear that there</w:t>
      </w:r>
      <w:r w:rsidR="00A17B08" w:rsidRPr="007C4901">
        <w:rPr>
          <w:sz w:val="24"/>
        </w:rPr>
        <w:t xml:space="preserve"> is </w:t>
      </w:r>
      <w:r w:rsidRPr="007C4901">
        <w:rPr>
          <w:sz w:val="24"/>
        </w:rPr>
        <w:t xml:space="preserve">a significant amount of progress needed to achieve gender diversity within the Australian valuation industry. However, there </w:t>
      </w:r>
      <w:r w:rsidR="00B8361A" w:rsidRPr="007C4901">
        <w:rPr>
          <w:sz w:val="24"/>
        </w:rPr>
        <w:t xml:space="preserve">has not </w:t>
      </w:r>
      <w:r w:rsidRPr="007C4901">
        <w:rPr>
          <w:sz w:val="24"/>
        </w:rPr>
        <w:t xml:space="preserve">been any </w:t>
      </w:r>
      <w:r w:rsidR="00B8361A" w:rsidRPr="007C4901">
        <w:rPr>
          <w:sz w:val="24"/>
        </w:rPr>
        <w:t xml:space="preserve">empirical </w:t>
      </w:r>
      <w:r w:rsidRPr="007C4901">
        <w:rPr>
          <w:sz w:val="24"/>
        </w:rPr>
        <w:t>research conducted yet to determine the current state of gender diversity in this field. Additionally, there has</w:t>
      </w:r>
      <w:r w:rsidR="00E9002B" w:rsidRPr="007C4901">
        <w:rPr>
          <w:sz w:val="24"/>
        </w:rPr>
        <w:t xml:space="preserve"> not</w:t>
      </w:r>
      <w:r w:rsidRPr="007C4901">
        <w:rPr>
          <w:sz w:val="24"/>
        </w:rPr>
        <w:t xml:space="preserve"> been a study on the gender diversity policies and initiatives of valuation firms in Australia, nor has there been any research on the state of gender diversity in leadership positions within the </w:t>
      </w:r>
      <w:r w:rsidR="005073D5">
        <w:rPr>
          <w:sz w:val="24"/>
        </w:rPr>
        <w:t xml:space="preserve">valuation </w:t>
      </w:r>
      <w:r w:rsidRPr="007C4901">
        <w:rPr>
          <w:sz w:val="24"/>
        </w:rPr>
        <w:t>industry. These gaps in the research provide an opportunity for further exploration into gender diversity within the Australian valuation profession.</w:t>
      </w:r>
    </w:p>
    <w:p w14:paraId="13637C6C" w14:textId="77777777" w:rsidR="00123AA5" w:rsidRPr="007C4901" w:rsidRDefault="00123AA5" w:rsidP="007C4901">
      <w:pPr>
        <w:autoSpaceDE w:val="0"/>
        <w:autoSpaceDN w:val="0"/>
        <w:adjustRightInd w:val="0"/>
        <w:spacing w:before="0" w:after="0"/>
        <w:rPr>
          <w:sz w:val="24"/>
          <w:shd w:val="clear" w:color="auto" w:fill="FFFFFF"/>
        </w:rPr>
      </w:pPr>
    </w:p>
    <w:p w14:paraId="517C2AB1" w14:textId="77777777" w:rsidR="002A0FE0" w:rsidRDefault="002A0FE0" w:rsidP="007C4901">
      <w:pPr>
        <w:spacing w:before="0" w:after="0"/>
        <w:rPr>
          <w:b/>
          <w:bCs/>
          <w:sz w:val="24"/>
        </w:rPr>
      </w:pPr>
    </w:p>
    <w:p w14:paraId="716C7A98" w14:textId="3830AD93" w:rsidR="00031B03" w:rsidRPr="007C4901" w:rsidRDefault="00031B03" w:rsidP="007C4901">
      <w:pPr>
        <w:spacing w:before="0" w:after="0"/>
        <w:rPr>
          <w:b/>
          <w:bCs/>
          <w:sz w:val="24"/>
        </w:rPr>
      </w:pPr>
      <w:r w:rsidRPr="007C4901">
        <w:rPr>
          <w:b/>
          <w:bCs/>
          <w:sz w:val="24"/>
        </w:rPr>
        <w:t>RESEARCH METHODOLOGY</w:t>
      </w:r>
      <w:r w:rsidR="00263A1A">
        <w:rPr>
          <w:b/>
          <w:bCs/>
          <w:sz w:val="24"/>
        </w:rPr>
        <w:t xml:space="preserve"> </w:t>
      </w:r>
    </w:p>
    <w:p w14:paraId="42081956" w14:textId="77777777" w:rsidR="007C4901" w:rsidRDefault="007C4901" w:rsidP="007C4901">
      <w:pPr>
        <w:spacing w:before="0" w:after="0"/>
        <w:rPr>
          <w:sz w:val="24"/>
        </w:rPr>
      </w:pPr>
    </w:p>
    <w:p w14:paraId="52CFF0EF" w14:textId="028BA11A" w:rsidR="00AE2D4E" w:rsidRPr="007C4901" w:rsidRDefault="00236BE1" w:rsidP="007C4901">
      <w:pPr>
        <w:spacing w:before="0" w:after="0"/>
        <w:rPr>
          <w:sz w:val="24"/>
        </w:rPr>
      </w:pPr>
      <w:r w:rsidRPr="007C4901">
        <w:rPr>
          <w:sz w:val="24"/>
        </w:rPr>
        <w:t>A qualitative research approach was selected due to the explorative nature of the research (Silverman, 2013)</w:t>
      </w:r>
      <w:r w:rsidR="007D2DA0" w:rsidRPr="007C4901">
        <w:rPr>
          <w:sz w:val="24"/>
        </w:rPr>
        <w:t xml:space="preserve"> which aimed </w:t>
      </w:r>
      <w:r w:rsidRPr="007C4901">
        <w:rPr>
          <w:sz w:val="24"/>
        </w:rPr>
        <w:t>at capturing a deep, contextual, and in-depth understanding of the research problem</w:t>
      </w:r>
      <w:r w:rsidR="007C4901" w:rsidRPr="007C4901">
        <w:rPr>
          <w:sz w:val="24"/>
        </w:rPr>
        <w:t xml:space="preserve"> (Creswell, 2003)</w:t>
      </w:r>
      <w:r w:rsidRPr="007C4901">
        <w:rPr>
          <w:sz w:val="24"/>
        </w:rPr>
        <w:t xml:space="preserve">. </w:t>
      </w:r>
      <w:r w:rsidR="000E4CEF" w:rsidRPr="007C4901">
        <w:rPr>
          <w:sz w:val="24"/>
        </w:rPr>
        <w:t xml:space="preserve">This study was conducted by collecting data solely from publicly available information on selected property valuation firms' websites in Australia. The data collection process began with a comprehensive assessment of the firms' current policy initiatives to determine the extent </w:t>
      </w:r>
      <w:r w:rsidR="000E4CEF" w:rsidRPr="007C4901">
        <w:rPr>
          <w:sz w:val="24"/>
        </w:rPr>
        <w:lastRenderedPageBreak/>
        <w:t xml:space="preserve">of diversity, equality, and inclusion. </w:t>
      </w:r>
      <w:r w:rsidR="007E419D" w:rsidRPr="007C4901">
        <w:rPr>
          <w:sz w:val="24"/>
        </w:rPr>
        <w:t xml:space="preserve">The data collected from the different valuation firms, which varied in size, was segregated into two </w:t>
      </w:r>
      <w:r w:rsidR="00A40436" w:rsidRPr="007C4901">
        <w:rPr>
          <w:sz w:val="24"/>
        </w:rPr>
        <w:t>categories,</w:t>
      </w:r>
      <w:r w:rsidR="007E419D" w:rsidRPr="007C4901">
        <w:rPr>
          <w:sz w:val="24"/>
        </w:rPr>
        <w:t xml:space="preserve"> and analysed separately. As staff numbers for all the firms were not available, the number of operational locations was used as the basis for categorisation. Therefore, the data collected for large valuation firms (those with a presence in five or more locations) and small firms (those present in less than five locations) were analysed separately. </w:t>
      </w:r>
      <w:r w:rsidR="000E4CEF" w:rsidRPr="007C4901">
        <w:rPr>
          <w:sz w:val="24"/>
        </w:rPr>
        <w:t>Table 1 outlines the firms that were the primary focus of this study.</w:t>
      </w:r>
    </w:p>
    <w:p w14:paraId="66FFBC55" w14:textId="77777777" w:rsidR="00123AA5" w:rsidRPr="007C4901" w:rsidRDefault="00123AA5" w:rsidP="00917B54">
      <w:pPr>
        <w:spacing w:after="0"/>
        <w:rPr>
          <w:sz w:val="24"/>
        </w:rPr>
      </w:pPr>
    </w:p>
    <w:p w14:paraId="72D9F091" w14:textId="7AB75FD0" w:rsidR="00917B54" w:rsidRPr="007C4901" w:rsidRDefault="00917B54" w:rsidP="00917B54">
      <w:pPr>
        <w:pStyle w:val="Mytables"/>
        <w:jc w:val="both"/>
        <w:rPr>
          <w:rFonts w:ascii="Times New Roman" w:hAnsi="Times New Roman" w:cs="Times New Roman"/>
          <w:b w:val="0"/>
          <w:bCs w:val="0"/>
          <w:sz w:val="24"/>
          <w:szCs w:val="24"/>
        </w:rPr>
      </w:pPr>
      <w:bookmarkStart w:id="0" w:name="_Toc127691478"/>
      <w:r w:rsidRPr="007C4901">
        <w:rPr>
          <w:rFonts w:ascii="Times New Roman" w:hAnsi="Times New Roman" w:cs="Times New Roman"/>
          <w:b w:val="0"/>
          <w:bCs w:val="0"/>
          <w:sz w:val="24"/>
          <w:szCs w:val="24"/>
        </w:rPr>
        <w:t xml:space="preserve">Table </w:t>
      </w:r>
      <w:r w:rsidR="00B43A92" w:rsidRPr="007C4901">
        <w:rPr>
          <w:rFonts w:ascii="Times New Roman" w:hAnsi="Times New Roman" w:cs="Times New Roman"/>
          <w:b w:val="0"/>
          <w:bCs w:val="0"/>
          <w:sz w:val="24"/>
          <w:szCs w:val="24"/>
        </w:rPr>
        <w:t>1</w:t>
      </w:r>
      <w:r w:rsidRPr="007C4901">
        <w:rPr>
          <w:rFonts w:ascii="Times New Roman" w:hAnsi="Times New Roman" w:cs="Times New Roman"/>
          <w:b w:val="0"/>
          <w:bCs w:val="0"/>
          <w:sz w:val="24"/>
          <w:szCs w:val="24"/>
        </w:rPr>
        <w:t xml:space="preserve">: </w:t>
      </w:r>
      <w:r w:rsidR="00B230B2" w:rsidRPr="007C4901">
        <w:rPr>
          <w:rFonts w:ascii="Times New Roman" w:hAnsi="Times New Roman" w:cs="Times New Roman"/>
          <w:b w:val="0"/>
          <w:bCs w:val="0"/>
          <w:sz w:val="24"/>
          <w:szCs w:val="24"/>
        </w:rPr>
        <w:t xml:space="preserve">Valuation firms </w:t>
      </w:r>
      <w:r w:rsidR="009D459A" w:rsidRPr="007C4901">
        <w:rPr>
          <w:rFonts w:ascii="Times New Roman" w:hAnsi="Times New Roman" w:cs="Times New Roman"/>
          <w:b w:val="0"/>
          <w:bCs w:val="0"/>
          <w:sz w:val="24"/>
          <w:szCs w:val="24"/>
        </w:rPr>
        <w:t xml:space="preserve">examined in the </w:t>
      </w:r>
      <w:r w:rsidRPr="007C4901">
        <w:rPr>
          <w:rFonts w:ascii="Times New Roman" w:hAnsi="Times New Roman" w:cs="Times New Roman"/>
          <w:b w:val="0"/>
          <w:bCs w:val="0"/>
          <w:sz w:val="24"/>
          <w:szCs w:val="24"/>
        </w:rPr>
        <w:t xml:space="preserve">diversity policy </w:t>
      </w:r>
      <w:proofErr w:type="gramStart"/>
      <w:r w:rsidRPr="007C4901">
        <w:rPr>
          <w:rFonts w:ascii="Times New Roman" w:hAnsi="Times New Roman" w:cs="Times New Roman"/>
          <w:b w:val="0"/>
          <w:bCs w:val="0"/>
          <w:sz w:val="24"/>
          <w:szCs w:val="24"/>
        </w:rPr>
        <w:t>analysis</w:t>
      </w:r>
      <w:bookmarkEnd w:id="0"/>
      <w:proofErr w:type="gramEnd"/>
      <w:r w:rsidRPr="007C4901">
        <w:rPr>
          <w:rFonts w:ascii="Times New Roman" w:hAnsi="Times New Roman" w:cs="Times New Roman"/>
          <w:b w:val="0"/>
          <w:bCs w:val="0"/>
          <w:sz w:val="24"/>
          <w:szCs w:val="24"/>
        </w:rPr>
        <w:t xml:space="preserve"> </w:t>
      </w:r>
    </w:p>
    <w:tbl>
      <w:tblPr>
        <w:tblStyle w:val="TableGrid"/>
        <w:tblW w:w="0" w:type="auto"/>
        <w:tblLook w:val="04A0" w:firstRow="1" w:lastRow="0" w:firstColumn="1" w:lastColumn="0" w:noHBand="0" w:noVBand="1"/>
      </w:tblPr>
      <w:tblGrid>
        <w:gridCol w:w="4814"/>
        <w:gridCol w:w="4814"/>
      </w:tblGrid>
      <w:tr w:rsidR="006F4FE6" w:rsidRPr="00223505" w14:paraId="013314E4" w14:textId="77777777" w:rsidTr="006F4FE6">
        <w:tc>
          <w:tcPr>
            <w:tcW w:w="4814" w:type="dxa"/>
          </w:tcPr>
          <w:p w14:paraId="636D05AC" w14:textId="56A0941A" w:rsidR="006F4FE6" w:rsidRPr="00223505" w:rsidRDefault="006F4FE6" w:rsidP="00917B54">
            <w:pPr>
              <w:pStyle w:val="Mytables"/>
              <w:jc w:val="both"/>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 xml:space="preserve">Large valuation firms </w:t>
            </w:r>
          </w:p>
        </w:tc>
        <w:tc>
          <w:tcPr>
            <w:tcW w:w="4814" w:type="dxa"/>
          </w:tcPr>
          <w:p w14:paraId="687F92E4" w14:textId="35EDA1ED" w:rsidR="006F4FE6" w:rsidRPr="00223505" w:rsidRDefault="006F4FE6" w:rsidP="00917B54">
            <w:pPr>
              <w:pStyle w:val="Mytables"/>
              <w:jc w:val="both"/>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 xml:space="preserve">Small valuation firms </w:t>
            </w:r>
          </w:p>
        </w:tc>
      </w:tr>
      <w:tr w:rsidR="006F4FE6" w:rsidRPr="00223505" w14:paraId="6C512945" w14:textId="77777777" w:rsidTr="002F1AFC">
        <w:trPr>
          <w:trHeight w:val="4733"/>
        </w:trPr>
        <w:tc>
          <w:tcPr>
            <w:tcW w:w="4814" w:type="dxa"/>
          </w:tcPr>
          <w:p w14:paraId="6001349C"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Herron Todd White</w:t>
            </w:r>
          </w:p>
          <w:p w14:paraId="294C2E9F"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Charter Keck Kramer</w:t>
            </w:r>
          </w:p>
          <w:p w14:paraId="6AA55D74"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M3 Property</w:t>
            </w:r>
          </w:p>
          <w:p w14:paraId="64FF2738"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Preston Rowe Paterson (National Directors)</w:t>
            </w:r>
          </w:p>
          <w:p w14:paraId="2B9087C1"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proofErr w:type="spellStart"/>
            <w:r w:rsidRPr="00223505">
              <w:rPr>
                <w:rFonts w:ascii="Times New Roman" w:hAnsi="Times New Roman" w:cs="Times New Roman"/>
                <w:color w:val="auto"/>
                <w:sz w:val="20"/>
                <w:szCs w:val="20"/>
              </w:rPr>
              <w:t>Opteon</w:t>
            </w:r>
            <w:proofErr w:type="spellEnd"/>
            <w:r w:rsidRPr="00223505">
              <w:rPr>
                <w:rFonts w:ascii="Times New Roman" w:hAnsi="Times New Roman" w:cs="Times New Roman"/>
                <w:color w:val="auto"/>
                <w:sz w:val="20"/>
                <w:szCs w:val="20"/>
              </w:rPr>
              <w:t xml:space="preserve"> Property Group</w:t>
            </w:r>
          </w:p>
          <w:p w14:paraId="62B4CCFB"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Jones Lang LaSalle</w:t>
            </w:r>
          </w:p>
          <w:p w14:paraId="4D28992B"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CBRE</w:t>
            </w:r>
          </w:p>
          <w:p w14:paraId="2988D440"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Knight Frank</w:t>
            </w:r>
          </w:p>
          <w:p w14:paraId="014355A0"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Deloitte</w:t>
            </w:r>
          </w:p>
          <w:p w14:paraId="0F387B59"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Urbis</w:t>
            </w:r>
          </w:p>
          <w:p w14:paraId="04E0BCDC"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Colliers International</w:t>
            </w:r>
          </w:p>
          <w:p w14:paraId="3CB9F364"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Savills</w:t>
            </w:r>
          </w:p>
          <w:p w14:paraId="44BB0CA5"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BMT Property Valuers and Quantity Surveyors</w:t>
            </w:r>
          </w:p>
          <w:p w14:paraId="56E0F8D8"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WBP Group Pty Ltd</w:t>
            </w:r>
          </w:p>
          <w:p w14:paraId="0FB76DAF"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Valuations Vic (including Valuations NSW, QLD, NT, TAS, SA, ACT and West Coast Valuers)</w:t>
            </w:r>
          </w:p>
          <w:p w14:paraId="0AF785AE" w14:textId="77777777"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IPN Valuers</w:t>
            </w:r>
          </w:p>
          <w:p w14:paraId="3F146483" w14:textId="54D0130A" w:rsidR="00C85EEA" w:rsidRPr="00223505" w:rsidRDefault="00C85EEA" w:rsidP="00C85EEA">
            <w:pPr>
              <w:pStyle w:val="ListParagraph"/>
              <w:numPr>
                <w:ilvl w:val="0"/>
                <w:numId w:val="2"/>
              </w:numPr>
              <w:spacing w:after="0" w:line="240" w:lineRule="auto"/>
              <w:rPr>
                <w:rFonts w:ascii="Times New Roman" w:hAnsi="Times New Roman" w:cs="Times New Roman"/>
                <w:color w:val="auto"/>
                <w:sz w:val="20"/>
                <w:szCs w:val="20"/>
              </w:rPr>
            </w:pPr>
            <w:r w:rsidRPr="00223505">
              <w:rPr>
                <w:rFonts w:ascii="Times New Roman" w:hAnsi="Times New Roman" w:cs="Times New Roman"/>
                <w:color w:val="auto"/>
                <w:sz w:val="20"/>
                <w:szCs w:val="20"/>
              </w:rPr>
              <w:t>All suburb Valuers</w:t>
            </w:r>
          </w:p>
          <w:p w14:paraId="1FB51D10" w14:textId="77777777" w:rsidR="006F4FE6" w:rsidRPr="00223505" w:rsidRDefault="006F4FE6" w:rsidP="00C85EEA">
            <w:pPr>
              <w:pStyle w:val="Mytables"/>
              <w:spacing w:after="0"/>
              <w:jc w:val="both"/>
              <w:rPr>
                <w:rFonts w:ascii="Times New Roman" w:hAnsi="Times New Roman" w:cs="Times New Roman"/>
                <w:b w:val="0"/>
                <w:bCs w:val="0"/>
                <w:i w:val="0"/>
                <w:iCs/>
                <w:sz w:val="20"/>
                <w:szCs w:val="20"/>
              </w:rPr>
            </w:pPr>
          </w:p>
        </w:tc>
        <w:tc>
          <w:tcPr>
            <w:tcW w:w="4814" w:type="dxa"/>
          </w:tcPr>
          <w:p w14:paraId="40CB3395"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Matheson Stephen Valuations</w:t>
            </w:r>
          </w:p>
          <w:p w14:paraId="4E86B3FE"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Imperial Valuations</w:t>
            </w:r>
          </w:p>
          <w:p w14:paraId="20B40173"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Bertacco Ferrier Property Consultants</w:t>
            </w:r>
          </w:p>
          <w:p w14:paraId="34A85B04"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Sovereign Valuations</w:t>
            </w:r>
          </w:p>
          <w:p w14:paraId="39B871CF"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proofErr w:type="spellStart"/>
            <w:r w:rsidRPr="00223505">
              <w:rPr>
                <w:rFonts w:ascii="Times New Roman" w:hAnsi="Times New Roman" w:cs="Times New Roman"/>
                <w:b w:val="0"/>
                <w:bCs w:val="0"/>
                <w:i w:val="0"/>
                <w:iCs/>
                <w:sz w:val="20"/>
                <w:szCs w:val="20"/>
              </w:rPr>
              <w:t>Hendrey</w:t>
            </w:r>
            <w:proofErr w:type="spellEnd"/>
            <w:r w:rsidRPr="00223505">
              <w:rPr>
                <w:rFonts w:ascii="Times New Roman" w:hAnsi="Times New Roman" w:cs="Times New Roman"/>
                <w:b w:val="0"/>
                <w:bCs w:val="0"/>
                <w:i w:val="0"/>
                <w:iCs/>
                <w:sz w:val="20"/>
                <w:szCs w:val="20"/>
              </w:rPr>
              <w:t xml:space="preserve"> Consulting</w:t>
            </w:r>
          </w:p>
          <w:p w14:paraId="73F2E55E"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proofErr w:type="spellStart"/>
            <w:r w:rsidRPr="00223505">
              <w:rPr>
                <w:rFonts w:ascii="Times New Roman" w:hAnsi="Times New Roman" w:cs="Times New Roman"/>
                <w:b w:val="0"/>
                <w:bCs w:val="0"/>
                <w:i w:val="0"/>
                <w:iCs/>
                <w:sz w:val="20"/>
                <w:szCs w:val="20"/>
              </w:rPr>
              <w:t>ValueIt</w:t>
            </w:r>
            <w:proofErr w:type="spellEnd"/>
            <w:r w:rsidRPr="00223505">
              <w:rPr>
                <w:rFonts w:ascii="Times New Roman" w:hAnsi="Times New Roman" w:cs="Times New Roman"/>
                <w:b w:val="0"/>
                <w:bCs w:val="0"/>
                <w:i w:val="0"/>
                <w:iCs/>
                <w:sz w:val="20"/>
                <w:szCs w:val="20"/>
              </w:rPr>
              <w:t xml:space="preserve"> Pty Limited</w:t>
            </w:r>
          </w:p>
          <w:p w14:paraId="485638D1"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Ham CJ and Murray Pty Ltd</w:t>
            </w:r>
          </w:p>
          <w:p w14:paraId="2ECE7288"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proofErr w:type="spellStart"/>
            <w:r w:rsidRPr="00223505">
              <w:rPr>
                <w:rFonts w:ascii="Times New Roman" w:hAnsi="Times New Roman" w:cs="Times New Roman"/>
                <w:b w:val="0"/>
                <w:bCs w:val="0"/>
                <w:i w:val="0"/>
                <w:iCs/>
                <w:sz w:val="20"/>
                <w:szCs w:val="20"/>
              </w:rPr>
              <w:t>Fastnet</w:t>
            </w:r>
            <w:proofErr w:type="spellEnd"/>
            <w:r w:rsidRPr="00223505">
              <w:rPr>
                <w:rFonts w:ascii="Times New Roman" w:hAnsi="Times New Roman" w:cs="Times New Roman"/>
                <w:b w:val="0"/>
                <w:bCs w:val="0"/>
                <w:i w:val="0"/>
                <w:iCs/>
                <w:sz w:val="20"/>
                <w:szCs w:val="20"/>
              </w:rPr>
              <w:t xml:space="preserve"> Consulting</w:t>
            </w:r>
          </w:p>
          <w:p w14:paraId="410CA59F"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Vision Valuation Services</w:t>
            </w:r>
          </w:p>
          <w:p w14:paraId="1D3A92EA"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Melbourne Property Valuers Metro</w:t>
            </w:r>
          </w:p>
          <w:p w14:paraId="6B22DFCA"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Brad Prescott Valuations</w:t>
            </w:r>
          </w:p>
          <w:p w14:paraId="33F03ED8" w14:textId="77777777" w:rsidR="00AC575A" w:rsidRPr="00223505" w:rsidRDefault="00AC575A" w:rsidP="00AC575A">
            <w:pPr>
              <w:pStyle w:val="Mytables"/>
              <w:numPr>
                <w:ilvl w:val="0"/>
                <w:numId w:val="2"/>
              </w:numPr>
              <w:spacing w:after="0"/>
              <w:ind w:left="459" w:hanging="425"/>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Park Valley Valuations</w:t>
            </w:r>
          </w:p>
          <w:p w14:paraId="0228A511" w14:textId="22A7C50E" w:rsidR="006F4FE6" w:rsidRPr="00223505" w:rsidRDefault="00AC575A" w:rsidP="00AC575A">
            <w:pPr>
              <w:pStyle w:val="Mytables"/>
              <w:numPr>
                <w:ilvl w:val="0"/>
                <w:numId w:val="2"/>
              </w:numPr>
              <w:spacing w:after="0"/>
              <w:ind w:left="459" w:hanging="425"/>
              <w:jc w:val="both"/>
              <w:rPr>
                <w:rFonts w:ascii="Times New Roman" w:hAnsi="Times New Roman" w:cs="Times New Roman"/>
                <w:b w:val="0"/>
                <w:bCs w:val="0"/>
                <w:i w:val="0"/>
                <w:iCs/>
                <w:sz w:val="20"/>
                <w:szCs w:val="20"/>
              </w:rPr>
            </w:pPr>
            <w:r w:rsidRPr="00223505">
              <w:rPr>
                <w:rFonts w:ascii="Times New Roman" w:hAnsi="Times New Roman" w:cs="Times New Roman"/>
                <w:b w:val="0"/>
                <w:bCs w:val="0"/>
                <w:i w:val="0"/>
                <w:iCs/>
                <w:sz w:val="20"/>
                <w:szCs w:val="20"/>
              </w:rPr>
              <w:t>AMC Property Valuations</w:t>
            </w:r>
          </w:p>
        </w:tc>
      </w:tr>
    </w:tbl>
    <w:p w14:paraId="29C36DD6" w14:textId="77777777" w:rsidR="00917B54" w:rsidRPr="007C4901" w:rsidRDefault="00917B54" w:rsidP="00223505">
      <w:pPr>
        <w:pStyle w:val="ListParagraph"/>
        <w:spacing w:after="0" w:line="240" w:lineRule="auto"/>
        <w:ind w:left="142"/>
        <w:jc w:val="both"/>
        <w:rPr>
          <w:rFonts w:ascii="Times New Roman" w:hAnsi="Times New Roman" w:cs="Times New Roman"/>
          <w:color w:val="auto"/>
          <w:sz w:val="24"/>
          <w:szCs w:val="24"/>
        </w:rPr>
      </w:pPr>
      <w:r w:rsidRPr="007C4901">
        <w:rPr>
          <w:rFonts w:ascii="Times New Roman" w:hAnsi="Times New Roman" w:cs="Times New Roman"/>
          <w:color w:val="auto"/>
          <w:sz w:val="24"/>
          <w:szCs w:val="24"/>
        </w:rPr>
        <w:t>(Source: Authors).</w:t>
      </w:r>
    </w:p>
    <w:p w14:paraId="49597AD7" w14:textId="77777777" w:rsidR="00917B54" w:rsidRPr="007C4901" w:rsidRDefault="00917B54" w:rsidP="00223505">
      <w:pPr>
        <w:pStyle w:val="ListParagraph"/>
        <w:spacing w:after="0" w:line="240" w:lineRule="auto"/>
        <w:ind w:left="142"/>
        <w:jc w:val="both"/>
        <w:rPr>
          <w:rFonts w:ascii="Times New Roman" w:hAnsi="Times New Roman" w:cs="Times New Roman"/>
          <w:color w:val="auto"/>
          <w:sz w:val="24"/>
          <w:szCs w:val="24"/>
        </w:rPr>
      </w:pPr>
    </w:p>
    <w:p w14:paraId="2BF7F984" w14:textId="3A191FB5" w:rsidR="00110739" w:rsidRPr="007C4901" w:rsidRDefault="00063BB1" w:rsidP="007C4901">
      <w:pPr>
        <w:spacing w:before="0" w:after="0"/>
        <w:rPr>
          <w:sz w:val="24"/>
        </w:rPr>
      </w:pPr>
      <w:r w:rsidRPr="007C4901">
        <w:rPr>
          <w:sz w:val="24"/>
        </w:rPr>
        <w:t xml:space="preserve">The evaluation of these firms included an analysis of their diversity strategies, core values, and mission statements. </w:t>
      </w:r>
      <w:r w:rsidR="007F1641" w:rsidRPr="007C4901">
        <w:rPr>
          <w:sz w:val="24"/>
        </w:rPr>
        <w:t>A</w:t>
      </w:r>
      <w:r w:rsidRPr="007C4901">
        <w:rPr>
          <w:sz w:val="24"/>
        </w:rPr>
        <w:t>ny initiatives or personnel dedicated to promoting diversity and improving the composition of their leadership team</w:t>
      </w:r>
      <w:r w:rsidR="007F1641" w:rsidRPr="007C4901">
        <w:rPr>
          <w:sz w:val="24"/>
        </w:rPr>
        <w:t xml:space="preserve"> were also examined</w:t>
      </w:r>
      <w:r w:rsidRPr="007C4901">
        <w:rPr>
          <w:sz w:val="24"/>
        </w:rPr>
        <w:t xml:space="preserve">. Additionally, the membership of their boards and leadership/executive teams </w:t>
      </w:r>
      <w:r w:rsidR="00425E81" w:rsidRPr="007C4901">
        <w:rPr>
          <w:sz w:val="24"/>
        </w:rPr>
        <w:t xml:space="preserve">was analysed </w:t>
      </w:r>
      <w:r w:rsidRPr="007C4901">
        <w:rPr>
          <w:sz w:val="24"/>
        </w:rPr>
        <w:t xml:space="preserve">to understand the representation of women in these roles and the makeup of gender structures. </w:t>
      </w:r>
      <w:r w:rsidR="00C90CFB" w:rsidRPr="007C4901">
        <w:rPr>
          <w:sz w:val="24"/>
        </w:rPr>
        <w:t xml:space="preserve">The </w:t>
      </w:r>
      <w:r w:rsidRPr="007C4901">
        <w:rPr>
          <w:sz w:val="24"/>
        </w:rPr>
        <w:t>analysis of diversity policies involved a thorough review of data from key sections of the selected organi</w:t>
      </w:r>
      <w:r w:rsidR="00C90CFB" w:rsidRPr="007C4901">
        <w:rPr>
          <w:sz w:val="24"/>
        </w:rPr>
        <w:t>s</w:t>
      </w:r>
      <w:r w:rsidRPr="007C4901">
        <w:rPr>
          <w:sz w:val="24"/>
        </w:rPr>
        <w:t xml:space="preserve">ations' websites and other publicly available documents related to gender diversity. This included searching for relevant keywords and quotes on diversity in the "about us" section of their websites, as well as in quotes related to their hiring and promotion processes, core values, and mission statement. </w:t>
      </w:r>
      <w:r w:rsidR="00EA7E62" w:rsidRPr="007C4901">
        <w:rPr>
          <w:sz w:val="24"/>
        </w:rPr>
        <w:t xml:space="preserve">The </w:t>
      </w:r>
      <w:r w:rsidRPr="007C4901">
        <w:rPr>
          <w:sz w:val="24"/>
        </w:rPr>
        <w:t>search also aimed to identify any positions, individuals, groups, or programs focused on gender diversity and inclusion. The objective was to ascertain whether these valuation firms recogni</w:t>
      </w:r>
      <w:r w:rsidR="007E419D" w:rsidRPr="007C4901">
        <w:rPr>
          <w:sz w:val="24"/>
        </w:rPr>
        <w:t>s</w:t>
      </w:r>
      <w:r w:rsidRPr="007C4901">
        <w:rPr>
          <w:sz w:val="24"/>
        </w:rPr>
        <w:t>e the benefits of having more women in their organi</w:t>
      </w:r>
      <w:r w:rsidR="007E419D" w:rsidRPr="007C4901">
        <w:rPr>
          <w:sz w:val="24"/>
        </w:rPr>
        <w:t>s</w:t>
      </w:r>
      <w:r w:rsidRPr="007C4901">
        <w:rPr>
          <w:sz w:val="24"/>
        </w:rPr>
        <w:t>ations or if gender diversity is seen as a priority issue.</w:t>
      </w:r>
      <w:r w:rsidR="00110739" w:rsidRPr="007C4901">
        <w:rPr>
          <w:sz w:val="24"/>
        </w:rPr>
        <w:t xml:space="preserve"> </w:t>
      </w:r>
    </w:p>
    <w:p w14:paraId="7052A0E9" w14:textId="23F47CB2" w:rsidR="00277FB3" w:rsidRPr="007C4901" w:rsidRDefault="00277FB3" w:rsidP="007C4901">
      <w:pPr>
        <w:spacing w:before="0" w:after="0"/>
        <w:rPr>
          <w:sz w:val="24"/>
        </w:rPr>
      </w:pPr>
    </w:p>
    <w:p w14:paraId="525986D8" w14:textId="77777777" w:rsidR="002F1AFC" w:rsidRDefault="002F1AFC" w:rsidP="007C4901">
      <w:pPr>
        <w:spacing w:before="0" w:after="0"/>
        <w:rPr>
          <w:b/>
          <w:bCs/>
          <w:sz w:val="24"/>
        </w:rPr>
      </w:pPr>
    </w:p>
    <w:p w14:paraId="5006B701" w14:textId="0AE6C67E" w:rsidR="00031B03" w:rsidRPr="007C4901" w:rsidRDefault="00031B03" w:rsidP="007C4901">
      <w:pPr>
        <w:spacing w:before="0" w:after="0"/>
        <w:rPr>
          <w:b/>
          <w:bCs/>
          <w:sz w:val="24"/>
        </w:rPr>
      </w:pPr>
      <w:r w:rsidRPr="007C4901">
        <w:rPr>
          <w:b/>
          <w:bCs/>
          <w:sz w:val="24"/>
        </w:rPr>
        <w:t xml:space="preserve">FINDINGS AND </w:t>
      </w:r>
      <w:r w:rsidR="002C5141" w:rsidRPr="007C4901">
        <w:rPr>
          <w:b/>
          <w:bCs/>
          <w:sz w:val="24"/>
        </w:rPr>
        <w:t>DISCUSSION</w:t>
      </w:r>
    </w:p>
    <w:p w14:paraId="6BC074A8" w14:textId="77777777" w:rsidR="00CE5101" w:rsidRPr="007C4901" w:rsidRDefault="00CE5101" w:rsidP="007C4901">
      <w:pPr>
        <w:pStyle w:val="Heading4"/>
        <w:spacing w:before="0" w:after="0"/>
        <w:rPr>
          <w:sz w:val="24"/>
          <w:szCs w:val="24"/>
        </w:rPr>
      </w:pPr>
    </w:p>
    <w:p w14:paraId="12A38379" w14:textId="77777777" w:rsidR="006567BF" w:rsidRPr="007C4901" w:rsidRDefault="006567BF" w:rsidP="007C4901">
      <w:pPr>
        <w:pStyle w:val="Heading4"/>
        <w:spacing w:before="0" w:after="0"/>
        <w:rPr>
          <w:sz w:val="24"/>
          <w:szCs w:val="24"/>
        </w:rPr>
      </w:pPr>
      <w:r w:rsidRPr="007C4901">
        <w:rPr>
          <w:sz w:val="24"/>
          <w:szCs w:val="24"/>
        </w:rPr>
        <w:t xml:space="preserve">Diversity positions, groups, programs and quotes relating to gender diversity in large valuation firms’ policies and </w:t>
      </w:r>
      <w:proofErr w:type="gramStart"/>
      <w:r w:rsidRPr="007C4901">
        <w:rPr>
          <w:sz w:val="24"/>
          <w:szCs w:val="24"/>
        </w:rPr>
        <w:t>websites</w:t>
      </w:r>
      <w:proofErr w:type="gramEnd"/>
      <w:r w:rsidRPr="007C4901">
        <w:rPr>
          <w:sz w:val="24"/>
          <w:szCs w:val="24"/>
        </w:rPr>
        <w:t xml:space="preserve"> </w:t>
      </w:r>
    </w:p>
    <w:p w14:paraId="25F78084" w14:textId="77777777" w:rsidR="006567BF" w:rsidRPr="007C4901" w:rsidRDefault="006567BF" w:rsidP="007C4901">
      <w:pPr>
        <w:spacing w:before="0" w:after="0"/>
        <w:rPr>
          <w:sz w:val="24"/>
        </w:rPr>
      </w:pPr>
    </w:p>
    <w:p w14:paraId="465EB025" w14:textId="4C952703" w:rsidR="006567BF" w:rsidRPr="007C4901" w:rsidRDefault="00E50B51" w:rsidP="007C4901">
      <w:pPr>
        <w:spacing w:before="0" w:after="0"/>
        <w:rPr>
          <w:sz w:val="24"/>
        </w:rPr>
      </w:pPr>
      <w:r w:rsidRPr="007C4901">
        <w:rPr>
          <w:sz w:val="24"/>
        </w:rPr>
        <w:t xml:space="preserve">Initial analysis concentrated on the publicly available information regarding the policies of selected </w:t>
      </w:r>
      <w:r w:rsidR="006F6B09">
        <w:rPr>
          <w:sz w:val="24"/>
        </w:rPr>
        <w:t xml:space="preserve">large </w:t>
      </w:r>
      <w:r w:rsidRPr="007C4901">
        <w:rPr>
          <w:sz w:val="24"/>
        </w:rPr>
        <w:t xml:space="preserve">valuation firms with the aim of evaluating their current diversity, equality, and inclusion </w:t>
      </w:r>
      <w:r w:rsidRPr="007C4901">
        <w:rPr>
          <w:sz w:val="24"/>
        </w:rPr>
        <w:lastRenderedPageBreak/>
        <w:t>initiatives</w:t>
      </w:r>
      <w:r w:rsidR="002647C5" w:rsidRPr="007C4901">
        <w:rPr>
          <w:sz w:val="24"/>
        </w:rPr>
        <w:t xml:space="preserve"> (See Table 2)</w:t>
      </w:r>
      <w:r w:rsidRPr="007C4901">
        <w:rPr>
          <w:sz w:val="24"/>
        </w:rPr>
        <w:t>. The data extracted from their websites demonstrated that eight companies, namely Herron Todd White, JLL, CBRE, Knight Frank, Deloitte, Urbis, Colliers International, and Savills, accounting for 47.06% of the sampled firms, have committed to gender diversity and inclusion in both their hiring processes and overall company values. Seven of the firms, representing 41.18% of the large valuation companies, have established programs or groups/committees that promote diversity in the workplace. However, only two of the seventeen companies, JLL and Deloitte, have positions or staff members responsible for overseeing diversity. Additionally, with the exception of Knight Frank Australia, none of the firms studied have recogni</w:t>
      </w:r>
      <w:r w:rsidR="001B6720" w:rsidRPr="007C4901">
        <w:rPr>
          <w:sz w:val="24"/>
        </w:rPr>
        <w:t>s</w:t>
      </w:r>
      <w:r w:rsidRPr="007C4901">
        <w:rPr>
          <w:sz w:val="24"/>
        </w:rPr>
        <w:t>ed publicly the underrepresentation of women within the industry or the need to address it. Furthermore, most of the large valuation companies lack any public statements acknowledging the importance of ensuring diversity in their hiring practices and company values, nor do they have any positions, groups, or programs aimed at improving the representation of women within the company.</w:t>
      </w:r>
    </w:p>
    <w:p w14:paraId="1701FDB0" w14:textId="77777777" w:rsidR="001768C4" w:rsidRPr="007C4901" w:rsidRDefault="001768C4" w:rsidP="00223505">
      <w:pPr>
        <w:spacing w:before="0" w:after="0"/>
        <w:rPr>
          <w:sz w:val="24"/>
        </w:rPr>
      </w:pPr>
    </w:p>
    <w:p w14:paraId="4534F878" w14:textId="76BBD5B0" w:rsidR="001768C4" w:rsidRPr="007C4901" w:rsidRDefault="001768C4" w:rsidP="00223505">
      <w:pPr>
        <w:spacing w:before="0" w:after="0"/>
        <w:rPr>
          <w:i/>
          <w:iCs/>
          <w:sz w:val="24"/>
        </w:rPr>
      </w:pPr>
      <w:r w:rsidRPr="007C4901">
        <w:rPr>
          <w:i/>
          <w:iCs/>
          <w:sz w:val="24"/>
        </w:rPr>
        <w:t xml:space="preserve">Table 2: </w:t>
      </w:r>
      <w:r w:rsidR="00D66367" w:rsidRPr="007C4901">
        <w:rPr>
          <w:i/>
          <w:iCs/>
          <w:sz w:val="24"/>
        </w:rPr>
        <w:t xml:space="preserve">Diversity related policies on </w:t>
      </w:r>
      <w:r w:rsidR="003F0488" w:rsidRPr="007C4901">
        <w:rPr>
          <w:i/>
          <w:iCs/>
          <w:sz w:val="24"/>
        </w:rPr>
        <w:t xml:space="preserve">large valuation firms’ </w:t>
      </w:r>
      <w:r w:rsidR="00D66367" w:rsidRPr="007C4901">
        <w:rPr>
          <w:i/>
          <w:iCs/>
          <w:sz w:val="24"/>
        </w:rPr>
        <w:t>websites</w:t>
      </w:r>
    </w:p>
    <w:p w14:paraId="187FA750" w14:textId="77777777" w:rsidR="006C5F57" w:rsidRPr="007C4901" w:rsidRDefault="006C5F57" w:rsidP="00223505">
      <w:pPr>
        <w:spacing w:before="0" w:after="0"/>
        <w:rPr>
          <w:sz w:val="24"/>
        </w:rPr>
      </w:pPr>
    </w:p>
    <w:tbl>
      <w:tblPr>
        <w:tblStyle w:val="TableGrid"/>
        <w:tblW w:w="0" w:type="auto"/>
        <w:tblLook w:val="04A0" w:firstRow="1" w:lastRow="0" w:firstColumn="1" w:lastColumn="0" w:noHBand="0" w:noVBand="1"/>
      </w:tblPr>
      <w:tblGrid>
        <w:gridCol w:w="1413"/>
        <w:gridCol w:w="1134"/>
        <w:gridCol w:w="987"/>
        <w:gridCol w:w="1280"/>
        <w:gridCol w:w="1277"/>
        <w:gridCol w:w="1275"/>
        <w:gridCol w:w="1134"/>
        <w:gridCol w:w="1128"/>
      </w:tblGrid>
      <w:tr w:rsidR="00134941" w:rsidRPr="00CF6BC7" w14:paraId="01503B52" w14:textId="77777777" w:rsidTr="00223505">
        <w:trPr>
          <w:trHeight w:val="1860"/>
        </w:trPr>
        <w:tc>
          <w:tcPr>
            <w:tcW w:w="1413" w:type="dxa"/>
            <w:hideMark/>
          </w:tcPr>
          <w:p w14:paraId="141E255F" w14:textId="56A4C8AA" w:rsidR="006C5F57" w:rsidRPr="00223505" w:rsidRDefault="006C5F57" w:rsidP="00223505">
            <w:pPr>
              <w:spacing w:before="0" w:after="0"/>
              <w:rPr>
                <w:b/>
                <w:bCs/>
                <w:sz w:val="20"/>
                <w:szCs w:val="20"/>
              </w:rPr>
            </w:pPr>
            <w:r w:rsidRPr="00223505">
              <w:rPr>
                <w:b/>
                <w:bCs/>
                <w:sz w:val="20"/>
                <w:szCs w:val="20"/>
              </w:rPr>
              <w:t xml:space="preserve">Name of the </w:t>
            </w:r>
            <w:r w:rsidR="00F31D8D">
              <w:rPr>
                <w:b/>
                <w:bCs/>
                <w:sz w:val="20"/>
                <w:szCs w:val="20"/>
              </w:rPr>
              <w:t xml:space="preserve">valuation </w:t>
            </w:r>
            <w:r w:rsidRPr="00223505">
              <w:rPr>
                <w:b/>
                <w:bCs/>
                <w:sz w:val="20"/>
                <w:szCs w:val="20"/>
              </w:rPr>
              <w:t>firm</w:t>
            </w:r>
          </w:p>
        </w:tc>
        <w:tc>
          <w:tcPr>
            <w:tcW w:w="1134" w:type="dxa"/>
            <w:hideMark/>
          </w:tcPr>
          <w:p w14:paraId="638C6C86" w14:textId="77777777" w:rsidR="006C5F57" w:rsidRPr="00223505" w:rsidRDefault="006C5F57" w:rsidP="00223505">
            <w:pPr>
              <w:spacing w:before="0" w:after="0"/>
              <w:rPr>
                <w:b/>
                <w:bCs/>
                <w:sz w:val="20"/>
                <w:szCs w:val="20"/>
              </w:rPr>
            </w:pPr>
            <w:r w:rsidRPr="00223505">
              <w:rPr>
                <w:b/>
                <w:bCs/>
                <w:sz w:val="20"/>
                <w:szCs w:val="20"/>
              </w:rPr>
              <w:t>Quotes relating to diversity in "about us" or similar</w:t>
            </w:r>
          </w:p>
        </w:tc>
        <w:tc>
          <w:tcPr>
            <w:tcW w:w="987" w:type="dxa"/>
            <w:hideMark/>
          </w:tcPr>
          <w:p w14:paraId="1D2C47AB" w14:textId="77777777" w:rsidR="006C5F57" w:rsidRPr="00223505" w:rsidRDefault="006C5F57" w:rsidP="00223505">
            <w:pPr>
              <w:spacing w:before="0" w:after="0"/>
              <w:rPr>
                <w:b/>
                <w:bCs/>
                <w:sz w:val="20"/>
                <w:szCs w:val="20"/>
              </w:rPr>
            </w:pPr>
            <w:r w:rsidRPr="00223505">
              <w:rPr>
                <w:b/>
                <w:bCs/>
                <w:sz w:val="20"/>
                <w:szCs w:val="20"/>
              </w:rPr>
              <w:t>Quotes relating to diversity in hiring process</w:t>
            </w:r>
          </w:p>
        </w:tc>
        <w:tc>
          <w:tcPr>
            <w:tcW w:w="1280" w:type="dxa"/>
            <w:hideMark/>
          </w:tcPr>
          <w:p w14:paraId="46C62FAE" w14:textId="77777777" w:rsidR="006C5F57" w:rsidRPr="00223505" w:rsidRDefault="006C5F57" w:rsidP="00223505">
            <w:pPr>
              <w:spacing w:before="0" w:after="0"/>
              <w:rPr>
                <w:b/>
                <w:bCs/>
                <w:sz w:val="20"/>
                <w:szCs w:val="20"/>
              </w:rPr>
            </w:pPr>
            <w:r w:rsidRPr="00223505">
              <w:rPr>
                <w:b/>
                <w:bCs/>
                <w:sz w:val="20"/>
                <w:szCs w:val="20"/>
              </w:rPr>
              <w:t>Quotes relating to diversity in promotion process</w:t>
            </w:r>
          </w:p>
        </w:tc>
        <w:tc>
          <w:tcPr>
            <w:tcW w:w="1277" w:type="dxa"/>
            <w:hideMark/>
          </w:tcPr>
          <w:p w14:paraId="3C2007C5" w14:textId="7B7585FA" w:rsidR="006C5F57" w:rsidRPr="00223505" w:rsidRDefault="006C5F57" w:rsidP="00223505">
            <w:pPr>
              <w:spacing w:before="0" w:after="0"/>
              <w:rPr>
                <w:b/>
                <w:bCs/>
                <w:sz w:val="20"/>
                <w:szCs w:val="20"/>
              </w:rPr>
            </w:pPr>
            <w:r w:rsidRPr="00223505">
              <w:rPr>
                <w:b/>
                <w:bCs/>
                <w:sz w:val="20"/>
                <w:szCs w:val="20"/>
              </w:rPr>
              <w:t>Quotes relating to diversity in  core values</w:t>
            </w:r>
          </w:p>
        </w:tc>
        <w:tc>
          <w:tcPr>
            <w:tcW w:w="1275" w:type="dxa"/>
            <w:hideMark/>
          </w:tcPr>
          <w:p w14:paraId="33D6D713" w14:textId="770C8A7C" w:rsidR="006C5F57" w:rsidRPr="00223505" w:rsidRDefault="006C5F57" w:rsidP="00223505">
            <w:pPr>
              <w:spacing w:before="0" w:after="0"/>
              <w:rPr>
                <w:b/>
                <w:bCs/>
                <w:sz w:val="20"/>
                <w:szCs w:val="20"/>
              </w:rPr>
            </w:pPr>
            <w:r w:rsidRPr="00223505">
              <w:rPr>
                <w:b/>
                <w:bCs/>
                <w:sz w:val="20"/>
                <w:szCs w:val="20"/>
              </w:rPr>
              <w:t>Quotes relating to diversity in  mission statement</w:t>
            </w:r>
          </w:p>
        </w:tc>
        <w:tc>
          <w:tcPr>
            <w:tcW w:w="1134" w:type="dxa"/>
            <w:hideMark/>
          </w:tcPr>
          <w:p w14:paraId="5405CAD1" w14:textId="544FAB49" w:rsidR="006C5F57" w:rsidRPr="00223505" w:rsidRDefault="00E25E3E" w:rsidP="00223505">
            <w:pPr>
              <w:spacing w:before="0" w:after="0"/>
              <w:rPr>
                <w:b/>
                <w:bCs/>
                <w:sz w:val="20"/>
                <w:szCs w:val="20"/>
              </w:rPr>
            </w:pPr>
            <w:r>
              <w:rPr>
                <w:b/>
                <w:bCs/>
                <w:sz w:val="20"/>
                <w:szCs w:val="20"/>
              </w:rPr>
              <w:t>P</w:t>
            </w:r>
            <w:r w:rsidR="006C5F57" w:rsidRPr="00223505">
              <w:rPr>
                <w:b/>
                <w:bCs/>
                <w:sz w:val="20"/>
                <w:szCs w:val="20"/>
              </w:rPr>
              <w:t>erson / position on diversity</w:t>
            </w:r>
            <w:r>
              <w:rPr>
                <w:b/>
                <w:bCs/>
                <w:sz w:val="20"/>
                <w:szCs w:val="20"/>
              </w:rPr>
              <w:t>?</w:t>
            </w:r>
          </w:p>
        </w:tc>
        <w:tc>
          <w:tcPr>
            <w:tcW w:w="1128" w:type="dxa"/>
            <w:hideMark/>
          </w:tcPr>
          <w:p w14:paraId="7D42A8BC" w14:textId="4051CC32" w:rsidR="006C5F57" w:rsidRPr="00223505" w:rsidRDefault="00134941" w:rsidP="00223505">
            <w:pPr>
              <w:spacing w:before="0" w:after="0"/>
              <w:rPr>
                <w:b/>
                <w:bCs/>
                <w:sz w:val="20"/>
                <w:szCs w:val="20"/>
              </w:rPr>
            </w:pPr>
            <w:r>
              <w:rPr>
                <w:b/>
                <w:bCs/>
                <w:sz w:val="20"/>
                <w:szCs w:val="20"/>
              </w:rPr>
              <w:t>G</w:t>
            </w:r>
            <w:r w:rsidR="006C5F57" w:rsidRPr="00223505">
              <w:rPr>
                <w:b/>
                <w:bCs/>
                <w:sz w:val="20"/>
                <w:szCs w:val="20"/>
              </w:rPr>
              <w:t>roup</w:t>
            </w:r>
            <w:r>
              <w:rPr>
                <w:b/>
                <w:bCs/>
                <w:sz w:val="20"/>
                <w:szCs w:val="20"/>
              </w:rPr>
              <w:t xml:space="preserve"> </w:t>
            </w:r>
            <w:r w:rsidR="006C5F57" w:rsidRPr="00223505">
              <w:rPr>
                <w:b/>
                <w:bCs/>
                <w:sz w:val="20"/>
                <w:szCs w:val="20"/>
              </w:rPr>
              <w:t>/</w:t>
            </w:r>
            <w:r>
              <w:rPr>
                <w:b/>
                <w:bCs/>
                <w:sz w:val="20"/>
                <w:szCs w:val="20"/>
              </w:rPr>
              <w:t xml:space="preserve"> </w:t>
            </w:r>
            <w:r w:rsidR="006C5F57" w:rsidRPr="00223505">
              <w:rPr>
                <w:b/>
                <w:bCs/>
                <w:sz w:val="20"/>
                <w:szCs w:val="20"/>
              </w:rPr>
              <w:t>program on diversity</w:t>
            </w:r>
            <w:r>
              <w:rPr>
                <w:b/>
                <w:bCs/>
                <w:sz w:val="20"/>
                <w:szCs w:val="20"/>
              </w:rPr>
              <w:t>?</w:t>
            </w:r>
          </w:p>
        </w:tc>
      </w:tr>
      <w:tr w:rsidR="00134941" w:rsidRPr="00CF6BC7" w14:paraId="3C4A66AC" w14:textId="77777777" w:rsidTr="00223505">
        <w:trPr>
          <w:trHeight w:val="290"/>
        </w:trPr>
        <w:tc>
          <w:tcPr>
            <w:tcW w:w="1413" w:type="dxa"/>
            <w:hideMark/>
          </w:tcPr>
          <w:p w14:paraId="0DD9562A" w14:textId="77777777" w:rsidR="006C5F57" w:rsidRPr="00223505" w:rsidRDefault="006C5F57" w:rsidP="00223505">
            <w:pPr>
              <w:spacing w:before="0" w:after="0"/>
              <w:rPr>
                <w:sz w:val="20"/>
                <w:szCs w:val="20"/>
              </w:rPr>
            </w:pPr>
            <w:r w:rsidRPr="00223505">
              <w:rPr>
                <w:sz w:val="20"/>
                <w:szCs w:val="20"/>
              </w:rPr>
              <w:t>Herron Todd White</w:t>
            </w:r>
          </w:p>
        </w:tc>
        <w:tc>
          <w:tcPr>
            <w:tcW w:w="1134" w:type="dxa"/>
            <w:noWrap/>
            <w:hideMark/>
          </w:tcPr>
          <w:p w14:paraId="65CB38FC" w14:textId="77777777" w:rsidR="006C5F57" w:rsidRPr="00223505" w:rsidRDefault="006C5F57" w:rsidP="00223505">
            <w:pPr>
              <w:spacing w:before="0" w:after="0"/>
              <w:rPr>
                <w:sz w:val="20"/>
                <w:szCs w:val="20"/>
              </w:rPr>
            </w:pPr>
            <w:r w:rsidRPr="00223505">
              <w:rPr>
                <w:sz w:val="20"/>
                <w:szCs w:val="20"/>
              </w:rPr>
              <w:t>None</w:t>
            </w:r>
          </w:p>
        </w:tc>
        <w:tc>
          <w:tcPr>
            <w:tcW w:w="987" w:type="dxa"/>
            <w:hideMark/>
          </w:tcPr>
          <w:p w14:paraId="4056106F" w14:textId="77777777" w:rsidR="006C5F57" w:rsidRPr="00223505" w:rsidRDefault="006C5F57" w:rsidP="00223505">
            <w:pPr>
              <w:spacing w:before="0" w:after="0"/>
              <w:rPr>
                <w:sz w:val="20"/>
                <w:szCs w:val="20"/>
              </w:rPr>
            </w:pPr>
            <w:r w:rsidRPr="00223505">
              <w:rPr>
                <w:sz w:val="20"/>
                <w:szCs w:val="20"/>
              </w:rPr>
              <w:t xml:space="preserve">Yes </w:t>
            </w:r>
          </w:p>
        </w:tc>
        <w:tc>
          <w:tcPr>
            <w:tcW w:w="1280" w:type="dxa"/>
            <w:hideMark/>
          </w:tcPr>
          <w:p w14:paraId="40C159F3"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54A4A122" w14:textId="77777777" w:rsidR="006C5F57" w:rsidRPr="00223505" w:rsidRDefault="006C5F57" w:rsidP="00223505">
            <w:pPr>
              <w:spacing w:before="0" w:after="0"/>
              <w:rPr>
                <w:sz w:val="20"/>
                <w:szCs w:val="20"/>
              </w:rPr>
            </w:pPr>
            <w:r w:rsidRPr="00223505">
              <w:rPr>
                <w:sz w:val="20"/>
                <w:szCs w:val="20"/>
              </w:rPr>
              <w:t>Yes</w:t>
            </w:r>
          </w:p>
        </w:tc>
        <w:tc>
          <w:tcPr>
            <w:tcW w:w="1275" w:type="dxa"/>
            <w:hideMark/>
          </w:tcPr>
          <w:p w14:paraId="4AC677BB"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3AEC2DBB"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11A32EE3" w14:textId="77777777" w:rsidR="006C5F57" w:rsidRPr="00223505" w:rsidRDefault="006C5F57" w:rsidP="00223505">
            <w:pPr>
              <w:spacing w:before="0" w:after="0"/>
              <w:rPr>
                <w:sz w:val="20"/>
                <w:szCs w:val="20"/>
              </w:rPr>
            </w:pPr>
            <w:r w:rsidRPr="00223505">
              <w:rPr>
                <w:sz w:val="20"/>
                <w:szCs w:val="20"/>
              </w:rPr>
              <w:t>No</w:t>
            </w:r>
          </w:p>
        </w:tc>
      </w:tr>
      <w:tr w:rsidR="00134941" w:rsidRPr="00CF6BC7" w14:paraId="108FA13D" w14:textId="77777777" w:rsidTr="00223505">
        <w:trPr>
          <w:trHeight w:val="840"/>
        </w:trPr>
        <w:tc>
          <w:tcPr>
            <w:tcW w:w="1413" w:type="dxa"/>
            <w:noWrap/>
            <w:hideMark/>
          </w:tcPr>
          <w:p w14:paraId="0D51B4C5" w14:textId="77777777" w:rsidR="006C5F57" w:rsidRPr="00223505" w:rsidRDefault="006C5F57" w:rsidP="00223505">
            <w:pPr>
              <w:spacing w:before="0" w:after="0"/>
              <w:rPr>
                <w:sz w:val="20"/>
                <w:szCs w:val="20"/>
              </w:rPr>
            </w:pPr>
            <w:r w:rsidRPr="00223505">
              <w:rPr>
                <w:sz w:val="20"/>
                <w:szCs w:val="20"/>
              </w:rPr>
              <w:t>Charter Keck Cramer</w:t>
            </w:r>
          </w:p>
        </w:tc>
        <w:tc>
          <w:tcPr>
            <w:tcW w:w="1134" w:type="dxa"/>
            <w:hideMark/>
          </w:tcPr>
          <w:p w14:paraId="1290ACB5" w14:textId="77777777" w:rsidR="006C5F57" w:rsidRPr="00223505" w:rsidRDefault="006C5F57" w:rsidP="00223505">
            <w:pPr>
              <w:spacing w:before="0" w:after="0"/>
              <w:rPr>
                <w:sz w:val="20"/>
                <w:szCs w:val="20"/>
              </w:rPr>
            </w:pPr>
            <w:r w:rsidRPr="00223505">
              <w:rPr>
                <w:sz w:val="20"/>
                <w:szCs w:val="20"/>
              </w:rPr>
              <w:t>None</w:t>
            </w:r>
          </w:p>
        </w:tc>
        <w:tc>
          <w:tcPr>
            <w:tcW w:w="987" w:type="dxa"/>
            <w:noWrap/>
            <w:hideMark/>
          </w:tcPr>
          <w:p w14:paraId="533E45A3" w14:textId="77777777" w:rsidR="006C5F57" w:rsidRPr="00223505" w:rsidRDefault="006C5F57" w:rsidP="00223505">
            <w:pPr>
              <w:spacing w:before="0" w:after="0"/>
              <w:rPr>
                <w:sz w:val="20"/>
                <w:szCs w:val="20"/>
              </w:rPr>
            </w:pPr>
            <w:r w:rsidRPr="00223505">
              <w:rPr>
                <w:sz w:val="20"/>
                <w:szCs w:val="20"/>
              </w:rPr>
              <w:t>None</w:t>
            </w:r>
          </w:p>
        </w:tc>
        <w:tc>
          <w:tcPr>
            <w:tcW w:w="1280" w:type="dxa"/>
            <w:noWrap/>
            <w:hideMark/>
          </w:tcPr>
          <w:p w14:paraId="17026CA9" w14:textId="77777777" w:rsidR="006C5F57" w:rsidRPr="00223505" w:rsidRDefault="006C5F57" w:rsidP="00223505">
            <w:pPr>
              <w:spacing w:before="0" w:after="0"/>
              <w:rPr>
                <w:sz w:val="20"/>
                <w:szCs w:val="20"/>
              </w:rPr>
            </w:pPr>
            <w:r w:rsidRPr="00223505">
              <w:rPr>
                <w:sz w:val="20"/>
                <w:szCs w:val="20"/>
              </w:rPr>
              <w:t>None</w:t>
            </w:r>
          </w:p>
        </w:tc>
        <w:tc>
          <w:tcPr>
            <w:tcW w:w="1277" w:type="dxa"/>
            <w:noWrap/>
            <w:hideMark/>
          </w:tcPr>
          <w:p w14:paraId="530F5F31" w14:textId="77777777" w:rsidR="006C5F57" w:rsidRPr="00223505" w:rsidRDefault="006C5F57" w:rsidP="00223505">
            <w:pPr>
              <w:spacing w:before="0" w:after="0"/>
              <w:rPr>
                <w:sz w:val="20"/>
                <w:szCs w:val="20"/>
              </w:rPr>
            </w:pPr>
            <w:r w:rsidRPr="00223505">
              <w:rPr>
                <w:sz w:val="20"/>
                <w:szCs w:val="20"/>
              </w:rPr>
              <w:t>None</w:t>
            </w:r>
          </w:p>
        </w:tc>
        <w:tc>
          <w:tcPr>
            <w:tcW w:w="1275" w:type="dxa"/>
            <w:noWrap/>
            <w:hideMark/>
          </w:tcPr>
          <w:p w14:paraId="0FC3C5CD" w14:textId="77777777" w:rsidR="006C5F57" w:rsidRPr="00223505" w:rsidRDefault="006C5F57" w:rsidP="00223505">
            <w:pPr>
              <w:spacing w:before="0" w:after="0"/>
              <w:rPr>
                <w:sz w:val="20"/>
                <w:szCs w:val="20"/>
              </w:rPr>
            </w:pPr>
            <w:r w:rsidRPr="00223505">
              <w:rPr>
                <w:sz w:val="20"/>
                <w:szCs w:val="20"/>
              </w:rPr>
              <w:t>None</w:t>
            </w:r>
          </w:p>
        </w:tc>
        <w:tc>
          <w:tcPr>
            <w:tcW w:w="1134" w:type="dxa"/>
            <w:noWrap/>
            <w:hideMark/>
          </w:tcPr>
          <w:p w14:paraId="64880BA2"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52332E9A" w14:textId="352E2EF8" w:rsidR="006C5F57" w:rsidRPr="00223505" w:rsidRDefault="006C5F57" w:rsidP="00223505">
            <w:pPr>
              <w:spacing w:before="0" w:after="0"/>
              <w:rPr>
                <w:sz w:val="20"/>
                <w:szCs w:val="20"/>
              </w:rPr>
            </w:pPr>
            <w:r w:rsidRPr="00223505">
              <w:rPr>
                <w:sz w:val="20"/>
                <w:szCs w:val="20"/>
              </w:rPr>
              <w:t xml:space="preserve">Yes </w:t>
            </w:r>
          </w:p>
        </w:tc>
      </w:tr>
      <w:tr w:rsidR="00134941" w:rsidRPr="00CF6BC7" w14:paraId="66CA1DAE" w14:textId="77777777" w:rsidTr="00223505">
        <w:trPr>
          <w:trHeight w:val="290"/>
        </w:trPr>
        <w:tc>
          <w:tcPr>
            <w:tcW w:w="1413" w:type="dxa"/>
            <w:noWrap/>
            <w:hideMark/>
          </w:tcPr>
          <w:p w14:paraId="71296C16" w14:textId="77777777" w:rsidR="006C5F57" w:rsidRPr="00223505" w:rsidRDefault="006C5F57" w:rsidP="00223505">
            <w:pPr>
              <w:spacing w:before="0" w:after="0"/>
              <w:rPr>
                <w:sz w:val="20"/>
                <w:szCs w:val="20"/>
              </w:rPr>
            </w:pPr>
            <w:r w:rsidRPr="00223505">
              <w:rPr>
                <w:sz w:val="20"/>
                <w:szCs w:val="20"/>
              </w:rPr>
              <w:t>M3 Property</w:t>
            </w:r>
          </w:p>
        </w:tc>
        <w:tc>
          <w:tcPr>
            <w:tcW w:w="1134" w:type="dxa"/>
            <w:hideMark/>
          </w:tcPr>
          <w:p w14:paraId="5D247A68" w14:textId="77777777" w:rsidR="006C5F57" w:rsidRPr="00223505" w:rsidRDefault="006C5F57" w:rsidP="00223505">
            <w:pPr>
              <w:spacing w:before="0" w:after="0"/>
              <w:rPr>
                <w:sz w:val="20"/>
                <w:szCs w:val="20"/>
              </w:rPr>
            </w:pPr>
            <w:r w:rsidRPr="00223505">
              <w:rPr>
                <w:sz w:val="20"/>
                <w:szCs w:val="20"/>
              </w:rPr>
              <w:t>None</w:t>
            </w:r>
          </w:p>
        </w:tc>
        <w:tc>
          <w:tcPr>
            <w:tcW w:w="987" w:type="dxa"/>
            <w:noWrap/>
            <w:hideMark/>
          </w:tcPr>
          <w:p w14:paraId="5B78CFB5" w14:textId="77777777" w:rsidR="006C5F57" w:rsidRPr="00223505" w:rsidRDefault="006C5F57" w:rsidP="00223505">
            <w:pPr>
              <w:spacing w:before="0" w:after="0"/>
              <w:rPr>
                <w:sz w:val="20"/>
                <w:szCs w:val="20"/>
              </w:rPr>
            </w:pPr>
            <w:r w:rsidRPr="00223505">
              <w:rPr>
                <w:sz w:val="20"/>
                <w:szCs w:val="20"/>
              </w:rPr>
              <w:t>None</w:t>
            </w:r>
          </w:p>
        </w:tc>
        <w:tc>
          <w:tcPr>
            <w:tcW w:w="1280" w:type="dxa"/>
            <w:noWrap/>
            <w:hideMark/>
          </w:tcPr>
          <w:p w14:paraId="44C52A1F" w14:textId="77777777" w:rsidR="006C5F57" w:rsidRPr="00223505" w:rsidRDefault="006C5F57" w:rsidP="00223505">
            <w:pPr>
              <w:spacing w:before="0" w:after="0"/>
              <w:rPr>
                <w:sz w:val="20"/>
                <w:szCs w:val="20"/>
              </w:rPr>
            </w:pPr>
            <w:r w:rsidRPr="00223505">
              <w:rPr>
                <w:sz w:val="20"/>
                <w:szCs w:val="20"/>
              </w:rPr>
              <w:t>None</w:t>
            </w:r>
          </w:p>
        </w:tc>
        <w:tc>
          <w:tcPr>
            <w:tcW w:w="1277" w:type="dxa"/>
            <w:noWrap/>
            <w:hideMark/>
          </w:tcPr>
          <w:p w14:paraId="5AEDB928" w14:textId="77777777" w:rsidR="006C5F57" w:rsidRPr="00223505" w:rsidRDefault="006C5F57" w:rsidP="00223505">
            <w:pPr>
              <w:spacing w:before="0" w:after="0"/>
              <w:rPr>
                <w:sz w:val="20"/>
                <w:szCs w:val="20"/>
              </w:rPr>
            </w:pPr>
            <w:r w:rsidRPr="00223505">
              <w:rPr>
                <w:sz w:val="20"/>
                <w:szCs w:val="20"/>
              </w:rPr>
              <w:t>None</w:t>
            </w:r>
          </w:p>
        </w:tc>
        <w:tc>
          <w:tcPr>
            <w:tcW w:w="1275" w:type="dxa"/>
            <w:noWrap/>
            <w:hideMark/>
          </w:tcPr>
          <w:p w14:paraId="6CE521D3" w14:textId="77777777" w:rsidR="006C5F57" w:rsidRPr="00223505" w:rsidRDefault="006C5F57" w:rsidP="00223505">
            <w:pPr>
              <w:spacing w:before="0" w:after="0"/>
              <w:rPr>
                <w:sz w:val="20"/>
                <w:szCs w:val="20"/>
              </w:rPr>
            </w:pPr>
            <w:r w:rsidRPr="00223505">
              <w:rPr>
                <w:sz w:val="20"/>
                <w:szCs w:val="20"/>
              </w:rPr>
              <w:t>None</w:t>
            </w:r>
          </w:p>
        </w:tc>
        <w:tc>
          <w:tcPr>
            <w:tcW w:w="1134" w:type="dxa"/>
            <w:noWrap/>
            <w:hideMark/>
          </w:tcPr>
          <w:p w14:paraId="2D4F83E1" w14:textId="77777777" w:rsidR="006C5F57" w:rsidRPr="00223505" w:rsidRDefault="006C5F57" w:rsidP="00223505">
            <w:pPr>
              <w:spacing w:before="0" w:after="0"/>
              <w:rPr>
                <w:sz w:val="20"/>
                <w:szCs w:val="20"/>
              </w:rPr>
            </w:pPr>
            <w:r w:rsidRPr="00223505">
              <w:rPr>
                <w:sz w:val="20"/>
                <w:szCs w:val="20"/>
              </w:rPr>
              <w:t>No</w:t>
            </w:r>
          </w:p>
        </w:tc>
        <w:tc>
          <w:tcPr>
            <w:tcW w:w="1128" w:type="dxa"/>
            <w:noWrap/>
            <w:hideMark/>
          </w:tcPr>
          <w:p w14:paraId="5E831BB0" w14:textId="77777777" w:rsidR="006C5F57" w:rsidRPr="00223505" w:rsidRDefault="006C5F57" w:rsidP="00223505">
            <w:pPr>
              <w:spacing w:before="0" w:after="0"/>
              <w:rPr>
                <w:sz w:val="20"/>
                <w:szCs w:val="20"/>
              </w:rPr>
            </w:pPr>
            <w:r w:rsidRPr="00223505">
              <w:rPr>
                <w:sz w:val="20"/>
                <w:szCs w:val="20"/>
              </w:rPr>
              <w:t>No</w:t>
            </w:r>
          </w:p>
        </w:tc>
      </w:tr>
      <w:tr w:rsidR="00134941" w:rsidRPr="00CF6BC7" w14:paraId="2D539E7C" w14:textId="77777777" w:rsidTr="00223505">
        <w:trPr>
          <w:trHeight w:val="290"/>
        </w:trPr>
        <w:tc>
          <w:tcPr>
            <w:tcW w:w="1413" w:type="dxa"/>
            <w:hideMark/>
          </w:tcPr>
          <w:p w14:paraId="72E187E1" w14:textId="77777777" w:rsidR="006C5F57" w:rsidRPr="00223505" w:rsidRDefault="006C5F57" w:rsidP="00223505">
            <w:pPr>
              <w:spacing w:before="0" w:after="0"/>
              <w:rPr>
                <w:sz w:val="20"/>
                <w:szCs w:val="20"/>
              </w:rPr>
            </w:pPr>
            <w:r w:rsidRPr="00223505">
              <w:rPr>
                <w:sz w:val="20"/>
                <w:szCs w:val="20"/>
              </w:rPr>
              <w:t>Preston Rowe Paterson</w:t>
            </w:r>
          </w:p>
        </w:tc>
        <w:tc>
          <w:tcPr>
            <w:tcW w:w="1134" w:type="dxa"/>
            <w:hideMark/>
          </w:tcPr>
          <w:p w14:paraId="5126C39D" w14:textId="77777777" w:rsidR="006C5F57" w:rsidRPr="00223505" w:rsidRDefault="006C5F57" w:rsidP="00223505">
            <w:pPr>
              <w:spacing w:before="0" w:after="0"/>
              <w:rPr>
                <w:sz w:val="20"/>
                <w:szCs w:val="20"/>
              </w:rPr>
            </w:pPr>
            <w:r w:rsidRPr="00223505">
              <w:rPr>
                <w:sz w:val="20"/>
                <w:szCs w:val="20"/>
              </w:rPr>
              <w:t>None</w:t>
            </w:r>
          </w:p>
        </w:tc>
        <w:tc>
          <w:tcPr>
            <w:tcW w:w="987" w:type="dxa"/>
            <w:noWrap/>
            <w:hideMark/>
          </w:tcPr>
          <w:p w14:paraId="572B480F" w14:textId="77777777" w:rsidR="006C5F57" w:rsidRPr="00223505" w:rsidRDefault="006C5F57" w:rsidP="00223505">
            <w:pPr>
              <w:spacing w:before="0" w:after="0"/>
              <w:rPr>
                <w:sz w:val="20"/>
                <w:szCs w:val="20"/>
              </w:rPr>
            </w:pPr>
            <w:r w:rsidRPr="00223505">
              <w:rPr>
                <w:sz w:val="20"/>
                <w:szCs w:val="20"/>
              </w:rPr>
              <w:t>None</w:t>
            </w:r>
          </w:p>
        </w:tc>
        <w:tc>
          <w:tcPr>
            <w:tcW w:w="1280" w:type="dxa"/>
            <w:noWrap/>
            <w:hideMark/>
          </w:tcPr>
          <w:p w14:paraId="3278421D" w14:textId="77777777" w:rsidR="006C5F57" w:rsidRPr="00223505" w:rsidRDefault="006C5F57" w:rsidP="00223505">
            <w:pPr>
              <w:spacing w:before="0" w:after="0"/>
              <w:rPr>
                <w:sz w:val="20"/>
                <w:szCs w:val="20"/>
              </w:rPr>
            </w:pPr>
            <w:r w:rsidRPr="00223505">
              <w:rPr>
                <w:sz w:val="20"/>
                <w:szCs w:val="20"/>
              </w:rPr>
              <w:t>None</w:t>
            </w:r>
          </w:p>
        </w:tc>
        <w:tc>
          <w:tcPr>
            <w:tcW w:w="1277" w:type="dxa"/>
            <w:noWrap/>
            <w:hideMark/>
          </w:tcPr>
          <w:p w14:paraId="4A8D2422" w14:textId="77777777" w:rsidR="006C5F57" w:rsidRPr="00223505" w:rsidRDefault="006C5F57" w:rsidP="00223505">
            <w:pPr>
              <w:spacing w:before="0" w:after="0"/>
              <w:rPr>
                <w:sz w:val="20"/>
                <w:szCs w:val="20"/>
              </w:rPr>
            </w:pPr>
            <w:r w:rsidRPr="00223505">
              <w:rPr>
                <w:sz w:val="20"/>
                <w:szCs w:val="20"/>
              </w:rPr>
              <w:t>None</w:t>
            </w:r>
          </w:p>
        </w:tc>
        <w:tc>
          <w:tcPr>
            <w:tcW w:w="1275" w:type="dxa"/>
            <w:noWrap/>
            <w:hideMark/>
          </w:tcPr>
          <w:p w14:paraId="23AFFEC6" w14:textId="77777777" w:rsidR="006C5F57" w:rsidRPr="00223505" w:rsidRDefault="006C5F57" w:rsidP="00223505">
            <w:pPr>
              <w:spacing w:before="0" w:after="0"/>
              <w:rPr>
                <w:sz w:val="20"/>
                <w:szCs w:val="20"/>
              </w:rPr>
            </w:pPr>
            <w:r w:rsidRPr="00223505">
              <w:rPr>
                <w:sz w:val="20"/>
                <w:szCs w:val="20"/>
              </w:rPr>
              <w:t>None</w:t>
            </w:r>
          </w:p>
        </w:tc>
        <w:tc>
          <w:tcPr>
            <w:tcW w:w="1134" w:type="dxa"/>
            <w:noWrap/>
            <w:hideMark/>
          </w:tcPr>
          <w:p w14:paraId="31CDC447" w14:textId="77777777" w:rsidR="006C5F57" w:rsidRPr="00223505" w:rsidRDefault="006C5F57" w:rsidP="00223505">
            <w:pPr>
              <w:spacing w:before="0" w:after="0"/>
              <w:rPr>
                <w:sz w:val="20"/>
                <w:szCs w:val="20"/>
              </w:rPr>
            </w:pPr>
            <w:r w:rsidRPr="00223505">
              <w:rPr>
                <w:sz w:val="20"/>
                <w:szCs w:val="20"/>
              </w:rPr>
              <w:t>No</w:t>
            </w:r>
          </w:p>
        </w:tc>
        <w:tc>
          <w:tcPr>
            <w:tcW w:w="1128" w:type="dxa"/>
            <w:noWrap/>
            <w:hideMark/>
          </w:tcPr>
          <w:p w14:paraId="3DEFA32C" w14:textId="77777777" w:rsidR="006C5F57" w:rsidRPr="00223505" w:rsidRDefault="006C5F57" w:rsidP="00223505">
            <w:pPr>
              <w:spacing w:before="0" w:after="0"/>
              <w:rPr>
                <w:sz w:val="20"/>
                <w:szCs w:val="20"/>
              </w:rPr>
            </w:pPr>
            <w:r w:rsidRPr="00223505">
              <w:rPr>
                <w:sz w:val="20"/>
                <w:szCs w:val="20"/>
              </w:rPr>
              <w:t>No</w:t>
            </w:r>
          </w:p>
        </w:tc>
      </w:tr>
      <w:tr w:rsidR="00134941" w:rsidRPr="00CF6BC7" w14:paraId="7D1E923F" w14:textId="77777777" w:rsidTr="00223505">
        <w:trPr>
          <w:trHeight w:val="745"/>
        </w:trPr>
        <w:tc>
          <w:tcPr>
            <w:tcW w:w="1413" w:type="dxa"/>
            <w:noWrap/>
            <w:hideMark/>
          </w:tcPr>
          <w:p w14:paraId="7BF3CA2B" w14:textId="77777777" w:rsidR="006C5F57" w:rsidRPr="00223505" w:rsidRDefault="006C5F57" w:rsidP="00223505">
            <w:pPr>
              <w:spacing w:before="0" w:after="0"/>
              <w:rPr>
                <w:sz w:val="20"/>
                <w:szCs w:val="20"/>
              </w:rPr>
            </w:pPr>
            <w:proofErr w:type="spellStart"/>
            <w:r w:rsidRPr="00223505">
              <w:rPr>
                <w:sz w:val="20"/>
                <w:szCs w:val="20"/>
              </w:rPr>
              <w:t>Opteon</w:t>
            </w:r>
            <w:proofErr w:type="spellEnd"/>
            <w:r w:rsidRPr="00223505">
              <w:rPr>
                <w:sz w:val="20"/>
                <w:szCs w:val="20"/>
              </w:rPr>
              <w:t xml:space="preserve"> Property Group</w:t>
            </w:r>
          </w:p>
        </w:tc>
        <w:tc>
          <w:tcPr>
            <w:tcW w:w="1134" w:type="dxa"/>
            <w:hideMark/>
          </w:tcPr>
          <w:p w14:paraId="529FCCA1" w14:textId="77777777" w:rsidR="006C5F57" w:rsidRPr="00223505" w:rsidRDefault="006C5F57" w:rsidP="00223505">
            <w:pPr>
              <w:spacing w:before="0" w:after="0"/>
              <w:rPr>
                <w:sz w:val="20"/>
                <w:szCs w:val="20"/>
              </w:rPr>
            </w:pPr>
            <w:r w:rsidRPr="00223505">
              <w:rPr>
                <w:sz w:val="20"/>
                <w:szCs w:val="20"/>
              </w:rPr>
              <w:t>None</w:t>
            </w:r>
          </w:p>
        </w:tc>
        <w:tc>
          <w:tcPr>
            <w:tcW w:w="987" w:type="dxa"/>
            <w:noWrap/>
            <w:hideMark/>
          </w:tcPr>
          <w:p w14:paraId="577A23D0" w14:textId="77777777" w:rsidR="006C5F57" w:rsidRPr="00223505" w:rsidRDefault="006C5F57" w:rsidP="00223505">
            <w:pPr>
              <w:spacing w:before="0" w:after="0"/>
              <w:rPr>
                <w:sz w:val="20"/>
                <w:szCs w:val="20"/>
              </w:rPr>
            </w:pPr>
            <w:r w:rsidRPr="00223505">
              <w:rPr>
                <w:sz w:val="20"/>
                <w:szCs w:val="20"/>
              </w:rPr>
              <w:t>None</w:t>
            </w:r>
          </w:p>
        </w:tc>
        <w:tc>
          <w:tcPr>
            <w:tcW w:w="1280" w:type="dxa"/>
            <w:noWrap/>
            <w:hideMark/>
          </w:tcPr>
          <w:p w14:paraId="03BCCEEA" w14:textId="77777777" w:rsidR="006C5F57" w:rsidRPr="00223505" w:rsidRDefault="006C5F57" w:rsidP="00223505">
            <w:pPr>
              <w:spacing w:before="0" w:after="0"/>
              <w:rPr>
                <w:sz w:val="20"/>
                <w:szCs w:val="20"/>
              </w:rPr>
            </w:pPr>
            <w:r w:rsidRPr="00223505">
              <w:rPr>
                <w:sz w:val="20"/>
                <w:szCs w:val="20"/>
              </w:rPr>
              <w:t>None</w:t>
            </w:r>
          </w:p>
        </w:tc>
        <w:tc>
          <w:tcPr>
            <w:tcW w:w="1277" w:type="dxa"/>
            <w:noWrap/>
            <w:hideMark/>
          </w:tcPr>
          <w:p w14:paraId="7D5A8D25" w14:textId="77777777" w:rsidR="006C5F57" w:rsidRPr="00223505" w:rsidRDefault="006C5F57" w:rsidP="00223505">
            <w:pPr>
              <w:spacing w:before="0" w:after="0"/>
              <w:rPr>
                <w:sz w:val="20"/>
                <w:szCs w:val="20"/>
              </w:rPr>
            </w:pPr>
            <w:r w:rsidRPr="00223505">
              <w:rPr>
                <w:sz w:val="20"/>
                <w:szCs w:val="20"/>
              </w:rPr>
              <w:t>None</w:t>
            </w:r>
          </w:p>
        </w:tc>
        <w:tc>
          <w:tcPr>
            <w:tcW w:w="1275" w:type="dxa"/>
            <w:hideMark/>
          </w:tcPr>
          <w:p w14:paraId="15E5AFBE" w14:textId="77777777" w:rsidR="006C5F57" w:rsidRPr="00223505" w:rsidRDefault="006C5F57" w:rsidP="00223505">
            <w:pPr>
              <w:spacing w:before="0" w:after="0"/>
              <w:rPr>
                <w:sz w:val="20"/>
                <w:szCs w:val="20"/>
              </w:rPr>
            </w:pPr>
            <w:r w:rsidRPr="00223505">
              <w:rPr>
                <w:sz w:val="20"/>
                <w:szCs w:val="20"/>
              </w:rPr>
              <w:t>None</w:t>
            </w:r>
          </w:p>
        </w:tc>
        <w:tc>
          <w:tcPr>
            <w:tcW w:w="1134" w:type="dxa"/>
            <w:noWrap/>
            <w:hideMark/>
          </w:tcPr>
          <w:p w14:paraId="2793C3B2"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6AC75BED" w14:textId="2CE4F36C" w:rsidR="006C5F57" w:rsidRPr="00223505" w:rsidRDefault="006C5F57" w:rsidP="00223505">
            <w:pPr>
              <w:spacing w:before="0" w:after="0"/>
              <w:rPr>
                <w:sz w:val="20"/>
                <w:szCs w:val="20"/>
              </w:rPr>
            </w:pPr>
            <w:r w:rsidRPr="00223505">
              <w:rPr>
                <w:sz w:val="20"/>
                <w:szCs w:val="20"/>
              </w:rPr>
              <w:t xml:space="preserve">Yes </w:t>
            </w:r>
          </w:p>
        </w:tc>
      </w:tr>
      <w:tr w:rsidR="00134941" w:rsidRPr="00CF6BC7" w14:paraId="57E584E9" w14:textId="77777777" w:rsidTr="00223505">
        <w:trPr>
          <w:trHeight w:val="290"/>
        </w:trPr>
        <w:tc>
          <w:tcPr>
            <w:tcW w:w="1413" w:type="dxa"/>
            <w:noWrap/>
            <w:hideMark/>
          </w:tcPr>
          <w:p w14:paraId="18DD8488" w14:textId="77777777" w:rsidR="006C5F57" w:rsidRPr="00223505" w:rsidRDefault="006C5F57" w:rsidP="00223505">
            <w:pPr>
              <w:spacing w:before="0" w:after="0"/>
              <w:rPr>
                <w:sz w:val="20"/>
                <w:szCs w:val="20"/>
              </w:rPr>
            </w:pPr>
            <w:r w:rsidRPr="00223505">
              <w:rPr>
                <w:sz w:val="20"/>
                <w:szCs w:val="20"/>
              </w:rPr>
              <w:t>Jones Lang LaSalle</w:t>
            </w:r>
          </w:p>
        </w:tc>
        <w:tc>
          <w:tcPr>
            <w:tcW w:w="1134" w:type="dxa"/>
            <w:hideMark/>
          </w:tcPr>
          <w:p w14:paraId="053222D0" w14:textId="77777777" w:rsidR="006C5F57" w:rsidRPr="00223505" w:rsidRDefault="006C5F57" w:rsidP="00223505">
            <w:pPr>
              <w:spacing w:before="0" w:after="0"/>
              <w:rPr>
                <w:sz w:val="20"/>
                <w:szCs w:val="20"/>
              </w:rPr>
            </w:pPr>
            <w:r w:rsidRPr="00223505">
              <w:rPr>
                <w:sz w:val="20"/>
                <w:szCs w:val="20"/>
              </w:rPr>
              <w:t>None</w:t>
            </w:r>
          </w:p>
        </w:tc>
        <w:tc>
          <w:tcPr>
            <w:tcW w:w="987" w:type="dxa"/>
            <w:hideMark/>
          </w:tcPr>
          <w:p w14:paraId="6F6E2B06" w14:textId="77777777" w:rsidR="006C5F57" w:rsidRPr="00223505" w:rsidRDefault="006C5F57" w:rsidP="00223505">
            <w:pPr>
              <w:spacing w:before="0" w:after="0"/>
              <w:rPr>
                <w:sz w:val="20"/>
                <w:szCs w:val="20"/>
              </w:rPr>
            </w:pPr>
            <w:r w:rsidRPr="00223505">
              <w:rPr>
                <w:sz w:val="20"/>
                <w:szCs w:val="20"/>
              </w:rPr>
              <w:t>Yes</w:t>
            </w:r>
          </w:p>
        </w:tc>
        <w:tc>
          <w:tcPr>
            <w:tcW w:w="1280" w:type="dxa"/>
            <w:hideMark/>
          </w:tcPr>
          <w:p w14:paraId="70757E7C"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66825E3F" w14:textId="77777777" w:rsidR="006C5F57" w:rsidRPr="00223505" w:rsidRDefault="006C5F57" w:rsidP="00223505">
            <w:pPr>
              <w:spacing w:before="0" w:after="0"/>
              <w:rPr>
                <w:sz w:val="20"/>
                <w:szCs w:val="20"/>
              </w:rPr>
            </w:pPr>
            <w:r w:rsidRPr="00223505">
              <w:rPr>
                <w:sz w:val="20"/>
                <w:szCs w:val="20"/>
              </w:rPr>
              <w:t>Yes</w:t>
            </w:r>
          </w:p>
        </w:tc>
        <w:tc>
          <w:tcPr>
            <w:tcW w:w="1275" w:type="dxa"/>
            <w:hideMark/>
          </w:tcPr>
          <w:p w14:paraId="326672D3"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1F4FDDA0" w14:textId="77777777" w:rsidR="006C5F57" w:rsidRPr="00223505" w:rsidRDefault="006C5F57" w:rsidP="00223505">
            <w:pPr>
              <w:spacing w:before="0" w:after="0"/>
              <w:rPr>
                <w:sz w:val="20"/>
                <w:szCs w:val="20"/>
              </w:rPr>
            </w:pPr>
            <w:r w:rsidRPr="00223505">
              <w:rPr>
                <w:sz w:val="20"/>
                <w:szCs w:val="20"/>
              </w:rPr>
              <w:t>Yes</w:t>
            </w:r>
          </w:p>
        </w:tc>
        <w:tc>
          <w:tcPr>
            <w:tcW w:w="1128" w:type="dxa"/>
            <w:hideMark/>
          </w:tcPr>
          <w:p w14:paraId="55F5F5DA" w14:textId="77777777" w:rsidR="006C5F57" w:rsidRPr="00223505" w:rsidRDefault="006C5F57" w:rsidP="00223505">
            <w:pPr>
              <w:spacing w:before="0" w:after="0"/>
              <w:rPr>
                <w:sz w:val="20"/>
                <w:szCs w:val="20"/>
              </w:rPr>
            </w:pPr>
            <w:r w:rsidRPr="00223505">
              <w:rPr>
                <w:sz w:val="20"/>
                <w:szCs w:val="20"/>
              </w:rPr>
              <w:t xml:space="preserve">Yes </w:t>
            </w:r>
          </w:p>
        </w:tc>
      </w:tr>
      <w:tr w:rsidR="00134941" w:rsidRPr="00CF6BC7" w14:paraId="029ADE30" w14:textId="77777777" w:rsidTr="00223505">
        <w:trPr>
          <w:trHeight w:val="365"/>
        </w:trPr>
        <w:tc>
          <w:tcPr>
            <w:tcW w:w="1413" w:type="dxa"/>
            <w:noWrap/>
            <w:hideMark/>
          </w:tcPr>
          <w:p w14:paraId="1B28BAE2" w14:textId="77777777" w:rsidR="006C5F57" w:rsidRPr="00223505" w:rsidRDefault="006C5F57" w:rsidP="00223505">
            <w:pPr>
              <w:spacing w:before="0" w:after="0"/>
              <w:rPr>
                <w:sz w:val="20"/>
                <w:szCs w:val="20"/>
              </w:rPr>
            </w:pPr>
            <w:r w:rsidRPr="00223505">
              <w:rPr>
                <w:sz w:val="20"/>
                <w:szCs w:val="20"/>
              </w:rPr>
              <w:t>CBRE</w:t>
            </w:r>
          </w:p>
        </w:tc>
        <w:tc>
          <w:tcPr>
            <w:tcW w:w="1134" w:type="dxa"/>
            <w:hideMark/>
          </w:tcPr>
          <w:p w14:paraId="04963A96" w14:textId="77777777" w:rsidR="006C5F57" w:rsidRPr="00223505" w:rsidRDefault="006C5F57" w:rsidP="00223505">
            <w:pPr>
              <w:spacing w:before="0" w:after="0"/>
              <w:rPr>
                <w:sz w:val="20"/>
                <w:szCs w:val="20"/>
              </w:rPr>
            </w:pPr>
            <w:r w:rsidRPr="00223505">
              <w:rPr>
                <w:sz w:val="20"/>
                <w:szCs w:val="20"/>
              </w:rPr>
              <w:t>Yes</w:t>
            </w:r>
          </w:p>
        </w:tc>
        <w:tc>
          <w:tcPr>
            <w:tcW w:w="987" w:type="dxa"/>
            <w:hideMark/>
          </w:tcPr>
          <w:p w14:paraId="12522EBD" w14:textId="77777777" w:rsidR="006C5F57" w:rsidRPr="00223505" w:rsidRDefault="006C5F57" w:rsidP="00223505">
            <w:pPr>
              <w:spacing w:before="0" w:after="0"/>
              <w:rPr>
                <w:sz w:val="20"/>
                <w:szCs w:val="20"/>
              </w:rPr>
            </w:pPr>
            <w:r w:rsidRPr="00223505">
              <w:rPr>
                <w:sz w:val="20"/>
                <w:szCs w:val="20"/>
              </w:rPr>
              <w:t>Yes</w:t>
            </w:r>
          </w:p>
        </w:tc>
        <w:tc>
          <w:tcPr>
            <w:tcW w:w="1280" w:type="dxa"/>
            <w:hideMark/>
          </w:tcPr>
          <w:p w14:paraId="75D7BC82"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7067BBBD" w14:textId="77777777" w:rsidR="006C5F57" w:rsidRPr="00223505" w:rsidRDefault="006C5F57" w:rsidP="00223505">
            <w:pPr>
              <w:spacing w:before="0" w:after="0"/>
              <w:rPr>
                <w:sz w:val="20"/>
                <w:szCs w:val="20"/>
              </w:rPr>
            </w:pPr>
            <w:r w:rsidRPr="00223505">
              <w:rPr>
                <w:sz w:val="20"/>
                <w:szCs w:val="20"/>
              </w:rPr>
              <w:t>Yes</w:t>
            </w:r>
          </w:p>
        </w:tc>
        <w:tc>
          <w:tcPr>
            <w:tcW w:w="1275" w:type="dxa"/>
            <w:noWrap/>
            <w:hideMark/>
          </w:tcPr>
          <w:p w14:paraId="569A2CE2"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73B8B13E"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0F747AE2" w14:textId="578260BE" w:rsidR="006C5F57" w:rsidRPr="00223505" w:rsidRDefault="006C5F57" w:rsidP="00223505">
            <w:pPr>
              <w:spacing w:before="0" w:after="0"/>
              <w:rPr>
                <w:sz w:val="20"/>
                <w:szCs w:val="20"/>
              </w:rPr>
            </w:pPr>
            <w:r w:rsidRPr="00223505">
              <w:rPr>
                <w:sz w:val="20"/>
                <w:szCs w:val="20"/>
              </w:rPr>
              <w:t xml:space="preserve">Yes </w:t>
            </w:r>
          </w:p>
        </w:tc>
      </w:tr>
      <w:tr w:rsidR="00134941" w:rsidRPr="00CF6BC7" w14:paraId="1C04FEC3" w14:textId="77777777" w:rsidTr="00223505">
        <w:trPr>
          <w:trHeight w:val="290"/>
        </w:trPr>
        <w:tc>
          <w:tcPr>
            <w:tcW w:w="1413" w:type="dxa"/>
            <w:noWrap/>
            <w:hideMark/>
          </w:tcPr>
          <w:p w14:paraId="0A4A7FC1" w14:textId="77777777" w:rsidR="006C5F57" w:rsidRPr="00223505" w:rsidRDefault="006C5F57" w:rsidP="00223505">
            <w:pPr>
              <w:spacing w:before="0" w:after="0"/>
              <w:rPr>
                <w:sz w:val="20"/>
                <w:szCs w:val="20"/>
              </w:rPr>
            </w:pPr>
            <w:r w:rsidRPr="00223505">
              <w:rPr>
                <w:sz w:val="20"/>
                <w:szCs w:val="20"/>
              </w:rPr>
              <w:t>Knight Frank Australia</w:t>
            </w:r>
          </w:p>
        </w:tc>
        <w:tc>
          <w:tcPr>
            <w:tcW w:w="1134" w:type="dxa"/>
            <w:hideMark/>
          </w:tcPr>
          <w:p w14:paraId="6713B7F3" w14:textId="77777777" w:rsidR="006C5F57" w:rsidRPr="00223505" w:rsidRDefault="006C5F57" w:rsidP="00223505">
            <w:pPr>
              <w:spacing w:before="0" w:after="0"/>
              <w:rPr>
                <w:sz w:val="20"/>
                <w:szCs w:val="20"/>
              </w:rPr>
            </w:pPr>
            <w:r w:rsidRPr="00223505">
              <w:rPr>
                <w:sz w:val="20"/>
                <w:szCs w:val="20"/>
              </w:rPr>
              <w:t>None</w:t>
            </w:r>
          </w:p>
        </w:tc>
        <w:tc>
          <w:tcPr>
            <w:tcW w:w="987" w:type="dxa"/>
            <w:hideMark/>
          </w:tcPr>
          <w:p w14:paraId="7A84D5E2" w14:textId="77777777" w:rsidR="006C5F57" w:rsidRPr="00223505" w:rsidRDefault="006C5F57" w:rsidP="00223505">
            <w:pPr>
              <w:spacing w:before="0" w:after="0"/>
              <w:rPr>
                <w:sz w:val="20"/>
                <w:szCs w:val="20"/>
              </w:rPr>
            </w:pPr>
            <w:r w:rsidRPr="00223505">
              <w:rPr>
                <w:sz w:val="20"/>
                <w:szCs w:val="20"/>
              </w:rPr>
              <w:t>Yes</w:t>
            </w:r>
          </w:p>
        </w:tc>
        <w:tc>
          <w:tcPr>
            <w:tcW w:w="1280" w:type="dxa"/>
            <w:hideMark/>
          </w:tcPr>
          <w:p w14:paraId="550E303E"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1C5D9F28" w14:textId="77777777" w:rsidR="006C5F57" w:rsidRPr="00223505" w:rsidRDefault="006C5F57" w:rsidP="00223505">
            <w:pPr>
              <w:spacing w:before="0" w:after="0"/>
              <w:rPr>
                <w:sz w:val="20"/>
                <w:szCs w:val="20"/>
              </w:rPr>
            </w:pPr>
            <w:r w:rsidRPr="00223505">
              <w:rPr>
                <w:sz w:val="20"/>
                <w:szCs w:val="20"/>
              </w:rPr>
              <w:t>None</w:t>
            </w:r>
          </w:p>
        </w:tc>
        <w:tc>
          <w:tcPr>
            <w:tcW w:w="1275" w:type="dxa"/>
            <w:hideMark/>
          </w:tcPr>
          <w:p w14:paraId="4EAF72D5" w14:textId="77777777" w:rsidR="006C5F57" w:rsidRPr="00223505" w:rsidRDefault="006C5F57" w:rsidP="00223505">
            <w:pPr>
              <w:spacing w:before="0" w:after="0"/>
              <w:rPr>
                <w:sz w:val="20"/>
                <w:szCs w:val="20"/>
              </w:rPr>
            </w:pPr>
            <w:r w:rsidRPr="00223505">
              <w:rPr>
                <w:sz w:val="20"/>
                <w:szCs w:val="20"/>
              </w:rPr>
              <w:t>Yes</w:t>
            </w:r>
          </w:p>
        </w:tc>
        <w:tc>
          <w:tcPr>
            <w:tcW w:w="1134" w:type="dxa"/>
            <w:hideMark/>
          </w:tcPr>
          <w:p w14:paraId="3BD54326"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7F7DE69D" w14:textId="77777777" w:rsidR="006C5F57" w:rsidRPr="00223505" w:rsidRDefault="006C5F57" w:rsidP="00223505">
            <w:pPr>
              <w:spacing w:before="0" w:after="0"/>
              <w:rPr>
                <w:sz w:val="20"/>
                <w:szCs w:val="20"/>
              </w:rPr>
            </w:pPr>
            <w:r w:rsidRPr="00223505">
              <w:rPr>
                <w:sz w:val="20"/>
                <w:szCs w:val="20"/>
              </w:rPr>
              <w:t>Yes</w:t>
            </w:r>
          </w:p>
        </w:tc>
      </w:tr>
      <w:tr w:rsidR="00134941" w:rsidRPr="00CF6BC7" w14:paraId="605E32A2" w14:textId="77777777" w:rsidTr="00223505">
        <w:trPr>
          <w:trHeight w:val="423"/>
        </w:trPr>
        <w:tc>
          <w:tcPr>
            <w:tcW w:w="1413" w:type="dxa"/>
            <w:noWrap/>
            <w:hideMark/>
          </w:tcPr>
          <w:p w14:paraId="06AE3DB5" w14:textId="77777777" w:rsidR="006C5F57" w:rsidRPr="00223505" w:rsidRDefault="006C5F57" w:rsidP="00223505">
            <w:pPr>
              <w:spacing w:before="0" w:after="0"/>
              <w:rPr>
                <w:sz w:val="20"/>
                <w:szCs w:val="20"/>
              </w:rPr>
            </w:pPr>
            <w:r w:rsidRPr="00223505">
              <w:rPr>
                <w:sz w:val="20"/>
                <w:szCs w:val="20"/>
              </w:rPr>
              <w:t>Deloitte Australia</w:t>
            </w:r>
          </w:p>
        </w:tc>
        <w:tc>
          <w:tcPr>
            <w:tcW w:w="1134" w:type="dxa"/>
            <w:hideMark/>
          </w:tcPr>
          <w:p w14:paraId="65820B70" w14:textId="77777777" w:rsidR="006C5F57" w:rsidRPr="00223505" w:rsidRDefault="006C5F57" w:rsidP="00223505">
            <w:pPr>
              <w:spacing w:before="0" w:after="0"/>
              <w:rPr>
                <w:sz w:val="20"/>
                <w:szCs w:val="20"/>
              </w:rPr>
            </w:pPr>
            <w:r w:rsidRPr="00223505">
              <w:rPr>
                <w:sz w:val="20"/>
                <w:szCs w:val="20"/>
              </w:rPr>
              <w:t>Yes</w:t>
            </w:r>
          </w:p>
        </w:tc>
        <w:tc>
          <w:tcPr>
            <w:tcW w:w="987" w:type="dxa"/>
            <w:hideMark/>
          </w:tcPr>
          <w:p w14:paraId="48FDBADA" w14:textId="77777777" w:rsidR="006C5F57" w:rsidRPr="00223505" w:rsidRDefault="006C5F57" w:rsidP="00223505">
            <w:pPr>
              <w:spacing w:before="0" w:after="0"/>
              <w:rPr>
                <w:sz w:val="20"/>
                <w:szCs w:val="20"/>
              </w:rPr>
            </w:pPr>
            <w:r w:rsidRPr="00223505">
              <w:rPr>
                <w:sz w:val="20"/>
                <w:szCs w:val="20"/>
              </w:rPr>
              <w:t>None</w:t>
            </w:r>
          </w:p>
        </w:tc>
        <w:tc>
          <w:tcPr>
            <w:tcW w:w="1280" w:type="dxa"/>
            <w:hideMark/>
          </w:tcPr>
          <w:p w14:paraId="48F61E01"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24E9D9EB" w14:textId="77777777" w:rsidR="006C5F57" w:rsidRPr="00223505" w:rsidRDefault="006C5F57" w:rsidP="00223505">
            <w:pPr>
              <w:spacing w:before="0" w:after="0"/>
              <w:rPr>
                <w:sz w:val="20"/>
                <w:szCs w:val="20"/>
              </w:rPr>
            </w:pPr>
            <w:r w:rsidRPr="00223505">
              <w:rPr>
                <w:sz w:val="20"/>
                <w:szCs w:val="20"/>
              </w:rPr>
              <w:t>Yes</w:t>
            </w:r>
          </w:p>
        </w:tc>
        <w:tc>
          <w:tcPr>
            <w:tcW w:w="1275" w:type="dxa"/>
            <w:noWrap/>
            <w:hideMark/>
          </w:tcPr>
          <w:p w14:paraId="3A59BFC6"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201ED9A3" w14:textId="77777777" w:rsidR="006C5F57" w:rsidRPr="00223505" w:rsidRDefault="006C5F57" w:rsidP="00223505">
            <w:pPr>
              <w:spacing w:before="0" w:after="0"/>
              <w:rPr>
                <w:sz w:val="20"/>
                <w:szCs w:val="20"/>
              </w:rPr>
            </w:pPr>
            <w:r w:rsidRPr="00223505">
              <w:rPr>
                <w:sz w:val="20"/>
                <w:szCs w:val="20"/>
              </w:rPr>
              <w:t>Yes</w:t>
            </w:r>
          </w:p>
        </w:tc>
        <w:tc>
          <w:tcPr>
            <w:tcW w:w="1128" w:type="dxa"/>
            <w:hideMark/>
          </w:tcPr>
          <w:p w14:paraId="5A8FF95C" w14:textId="1F633008" w:rsidR="006C5F57" w:rsidRPr="00223505" w:rsidRDefault="006C5F57" w:rsidP="00223505">
            <w:pPr>
              <w:spacing w:before="0" w:after="0"/>
              <w:rPr>
                <w:sz w:val="20"/>
                <w:szCs w:val="20"/>
              </w:rPr>
            </w:pPr>
            <w:r w:rsidRPr="00223505">
              <w:rPr>
                <w:sz w:val="20"/>
                <w:szCs w:val="20"/>
              </w:rPr>
              <w:t xml:space="preserve">Yes </w:t>
            </w:r>
          </w:p>
        </w:tc>
      </w:tr>
      <w:tr w:rsidR="00134941" w:rsidRPr="00CF6BC7" w14:paraId="06F2D432" w14:textId="77777777" w:rsidTr="00223505">
        <w:trPr>
          <w:trHeight w:val="387"/>
        </w:trPr>
        <w:tc>
          <w:tcPr>
            <w:tcW w:w="1413" w:type="dxa"/>
            <w:noWrap/>
            <w:hideMark/>
          </w:tcPr>
          <w:p w14:paraId="18C9667E" w14:textId="77777777" w:rsidR="006C5F57" w:rsidRPr="00223505" w:rsidRDefault="006C5F57" w:rsidP="00223505">
            <w:pPr>
              <w:spacing w:before="0" w:after="0"/>
              <w:rPr>
                <w:sz w:val="20"/>
                <w:szCs w:val="20"/>
              </w:rPr>
            </w:pPr>
            <w:r w:rsidRPr="00223505">
              <w:rPr>
                <w:sz w:val="20"/>
                <w:szCs w:val="20"/>
              </w:rPr>
              <w:t>Urbis</w:t>
            </w:r>
          </w:p>
        </w:tc>
        <w:tc>
          <w:tcPr>
            <w:tcW w:w="1134" w:type="dxa"/>
            <w:hideMark/>
          </w:tcPr>
          <w:p w14:paraId="016DA9FF" w14:textId="77777777" w:rsidR="006C5F57" w:rsidRPr="00223505" w:rsidRDefault="006C5F57" w:rsidP="00223505">
            <w:pPr>
              <w:spacing w:before="0" w:after="0"/>
              <w:rPr>
                <w:sz w:val="20"/>
                <w:szCs w:val="20"/>
              </w:rPr>
            </w:pPr>
            <w:r w:rsidRPr="00223505">
              <w:rPr>
                <w:sz w:val="20"/>
                <w:szCs w:val="20"/>
              </w:rPr>
              <w:t>Yes</w:t>
            </w:r>
          </w:p>
        </w:tc>
        <w:tc>
          <w:tcPr>
            <w:tcW w:w="987" w:type="dxa"/>
            <w:hideMark/>
          </w:tcPr>
          <w:p w14:paraId="671F5448" w14:textId="77777777" w:rsidR="006C5F57" w:rsidRPr="00223505" w:rsidRDefault="006C5F57" w:rsidP="00223505">
            <w:pPr>
              <w:spacing w:before="0" w:after="0"/>
              <w:rPr>
                <w:sz w:val="20"/>
                <w:szCs w:val="20"/>
              </w:rPr>
            </w:pPr>
            <w:r w:rsidRPr="00223505">
              <w:rPr>
                <w:sz w:val="20"/>
                <w:szCs w:val="20"/>
              </w:rPr>
              <w:t>Yes</w:t>
            </w:r>
          </w:p>
        </w:tc>
        <w:tc>
          <w:tcPr>
            <w:tcW w:w="1280" w:type="dxa"/>
            <w:hideMark/>
          </w:tcPr>
          <w:p w14:paraId="37F13449"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3B6FA990" w14:textId="77777777" w:rsidR="006C5F57" w:rsidRPr="00223505" w:rsidRDefault="006C5F57" w:rsidP="00223505">
            <w:pPr>
              <w:spacing w:before="0" w:after="0"/>
              <w:rPr>
                <w:sz w:val="20"/>
                <w:szCs w:val="20"/>
              </w:rPr>
            </w:pPr>
            <w:r w:rsidRPr="00223505">
              <w:rPr>
                <w:sz w:val="20"/>
                <w:szCs w:val="20"/>
              </w:rPr>
              <w:t>None</w:t>
            </w:r>
          </w:p>
        </w:tc>
        <w:tc>
          <w:tcPr>
            <w:tcW w:w="1275" w:type="dxa"/>
            <w:hideMark/>
          </w:tcPr>
          <w:p w14:paraId="45C8D95F"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4547E61B"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7253766B" w14:textId="4DF07D2F" w:rsidR="006C5F57" w:rsidRPr="00223505" w:rsidRDefault="006C5F57" w:rsidP="00223505">
            <w:pPr>
              <w:spacing w:before="0" w:after="0"/>
              <w:rPr>
                <w:sz w:val="20"/>
                <w:szCs w:val="20"/>
              </w:rPr>
            </w:pPr>
            <w:r w:rsidRPr="00223505">
              <w:rPr>
                <w:sz w:val="20"/>
                <w:szCs w:val="20"/>
              </w:rPr>
              <w:t xml:space="preserve">Yes </w:t>
            </w:r>
          </w:p>
        </w:tc>
      </w:tr>
      <w:tr w:rsidR="00134941" w:rsidRPr="00CF6BC7" w14:paraId="0EFD0EF3" w14:textId="77777777" w:rsidTr="00223505">
        <w:trPr>
          <w:trHeight w:val="290"/>
        </w:trPr>
        <w:tc>
          <w:tcPr>
            <w:tcW w:w="1413" w:type="dxa"/>
            <w:noWrap/>
            <w:hideMark/>
          </w:tcPr>
          <w:p w14:paraId="2CC3363E" w14:textId="77777777" w:rsidR="006C5F57" w:rsidRPr="00223505" w:rsidRDefault="006C5F57" w:rsidP="00223505">
            <w:pPr>
              <w:spacing w:before="0" w:after="0"/>
              <w:rPr>
                <w:sz w:val="20"/>
                <w:szCs w:val="20"/>
              </w:rPr>
            </w:pPr>
            <w:r w:rsidRPr="00223505">
              <w:rPr>
                <w:sz w:val="20"/>
                <w:szCs w:val="20"/>
              </w:rPr>
              <w:t>Colliers International</w:t>
            </w:r>
          </w:p>
        </w:tc>
        <w:tc>
          <w:tcPr>
            <w:tcW w:w="1134" w:type="dxa"/>
            <w:hideMark/>
          </w:tcPr>
          <w:p w14:paraId="5804A537" w14:textId="77777777" w:rsidR="006C5F57" w:rsidRPr="00223505" w:rsidRDefault="006C5F57" w:rsidP="00223505">
            <w:pPr>
              <w:spacing w:before="0" w:after="0"/>
              <w:rPr>
                <w:sz w:val="20"/>
                <w:szCs w:val="20"/>
              </w:rPr>
            </w:pPr>
            <w:r w:rsidRPr="00223505">
              <w:rPr>
                <w:sz w:val="20"/>
                <w:szCs w:val="20"/>
              </w:rPr>
              <w:t>None</w:t>
            </w:r>
          </w:p>
        </w:tc>
        <w:tc>
          <w:tcPr>
            <w:tcW w:w="987" w:type="dxa"/>
            <w:hideMark/>
          </w:tcPr>
          <w:p w14:paraId="45430DC4" w14:textId="77777777" w:rsidR="006C5F57" w:rsidRPr="00223505" w:rsidRDefault="006C5F57" w:rsidP="00223505">
            <w:pPr>
              <w:spacing w:before="0" w:after="0"/>
              <w:rPr>
                <w:sz w:val="20"/>
                <w:szCs w:val="20"/>
              </w:rPr>
            </w:pPr>
            <w:r w:rsidRPr="00223505">
              <w:rPr>
                <w:sz w:val="20"/>
                <w:szCs w:val="20"/>
              </w:rPr>
              <w:t>Yes</w:t>
            </w:r>
          </w:p>
        </w:tc>
        <w:tc>
          <w:tcPr>
            <w:tcW w:w="1280" w:type="dxa"/>
            <w:hideMark/>
          </w:tcPr>
          <w:p w14:paraId="3873E96D"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51CED08A" w14:textId="77777777" w:rsidR="006C5F57" w:rsidRPr="00223505" w:rsidRDefault="006C5F57" w:rsidP="00223505">
            <w:pPr>
              <w:spacing w:before="0" w:after="0"/>
              <w:rPr>
                <w:sz w:val="20"/>
                <w:szCs w:val="20"/>
              </w:rPr>
            </w:pPr>
            <w:r w:rsidRPr="00223505">
              <w:rPr>
                <w:sz w:val="20"/>
                <w:szCs w:val="20"/>
              </w:rPr>
              <w:t>None</w:t>
            </w:r>
          </w:p>
        </w:tc>
        <w:tc>
          <w:tcPr>
            <w:tcW w:w="1275" w:type="dxa"/>
            <w:hideMark/>
          </w:tcPr>
          <w:p w14:paraId="06232517"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0D528680"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31FE973F" w14:textId="77777777" w:rsidR="006C5F57" w:rsidRPr="00223505" w:rsidRDefault="006C5F57" w:rsidP="00223505">
            <w:pPr>
              <w:spacing w:before="0" w:after="0"/>
              <w:rPr>
                <w:sz w:val="20"/>
                <w:szCs w:val="20"/>
              </w:rPr>
            </w:pPr>
            <w:r w:rsidRPr="00223505">
              <w:rPr>
                <w:sz w:val="20"/>
                <w:szCs w:val="20"/>
              </w:rPr>
              <w:t>No</w:t>
            </w:r>
          </w:p>
        </w:tc>
      </w:tr>
      <w:tr w:rsidR="00134941" w:rsidRPr="00CF6BC7" w14:paraId="0D9B5FFA" w14:textId="77777777" w:rsidTr="00223505">
        <w:trPr>
          <w:trHeight w:val="290"/>
        </w:trPr>
        <w:tc>
          <w:tcPr>
            <w:tcW w:w="1413" w:type="dxa"/>
            <w:noWrap/>
            <w:hideMark/>
          </w:tcPr>
          <w:p w14:paraId="1D33498F" w14:textId="77777777" w:rsidR="006C5F57" w:rsidRPr="00223505" w:rsidRDefault="006C5F57" w:rsidP="00223505">
            <w:pPr>
              <w:spacing w:before="0" w:after="0"/>
              <w:rPr>
                <w:sz w:val="20"/>
                <w:szCs w:val="20"/>
              </w:rPr>
            </w:pPr>
            <w:r w:rsidRPr="00223505">
              <w:rPr>
                <w:sz w:val="20"/>
                <w:szCs w:val="20"/>
              </w:rPr>
              <w:t>Savills</w:t>
            </w:r>
          </w:p>
        </w:tc>
        <w:tc>
          <w:tcPr>
            <w:tcW w:w="1134" w:type="dxa"/>
            <w:hideMark/>
          </w:tcPr>
          <w:p w14:paraId="5399BF27" w14:textId="77777777" w:rsidR="006C5F57" w:rsidRPr="00223505" w:rsidRDefault="006C5F57" w:rsidP="00223505">
            <w:pPr>
              <w:spacing w:before="0" w:after="0"/>
              <w:rPr>
                <w:sz w:val="20"/>
                <w:szCs w:val="20"/>
              </w:rPr>
            </w:pPr>
            <w:r w:rsidRPr="00223505">
              <w:rPr>
                <w:sz w:val="20"/>
                <w:szCs w:val="20"/>
              </w:rPr>
              <w:t>None</w:t>
            </w:r>
          </w:p>
        </w:tc>
        <w:tc>
          <w:tcPr>
            <w:tcW w:w="987" w:type="dxa"/>
            <w:hideMark/>
          </w:tcPr>
          <w:p w14:paraId="4C470A97" w14:textId="77777777" w:rsidR="006C5F57" w:rsidRPr="00223505" w:rsidRDefault="006C5F57" w:rsidP="00223505">
            <w:pPr>
              <w:spacing w:before="0" w:after="0"/>
              <w:rPr>
                <w:sz w:val="20"/>
                <w:szCs w:val="20"/>
              </w:rPr>
            </w:pPr>
            <w:r w:rsidRPr="00223505">
              <w:rPr>
                <w:sz w:val="20"/>
                <w:szCs w:val="20"/>
              </w:rPr>
              <w:t>Yes</w:t>
            </w:r>
          </w:p>
        </w:tc>
        <w:tc>
          <w:tcPr>
            <w:tcW w:w="1280" w:type="dxa"/>
            <w:hideMark/>
          </w:tcPr>
          <w:p w14:paraId="5C6E3160"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0A6906A5" w14:textId="77777777" w:rsidR="006C5F57" w:rsidRPr="00223505" w:rsidRDefault="006C5F57" w:rsidP="00223505">
            <w:pPr>
              <w:spacing w:before="0" w:after="0"/>
              <w:rPr>
                <w:sz w:val="20"/>
                <w:szCs w:val="20"/>
              </w:rPr>
            </w:pPr>
            <w:r w:rsidRPr="00223505">
              <w:rPr>
                <w:sz w:val="20"/>
                <w:szCs w:val="20"/>
              </w:rPr>
              <w:t>None</w:t>
            </w:r>
          </w:p>
        </w:tc>
        <w:tc>
          <w:tcPr>
            <w:tcW w:w="1275" w:type="dxa"/>
            <w:hideMark/>
          </w:tcPr>
          <w:p w14:paraId="7A30A874"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37BB530B"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286D8BDD" w14:textId="77777777" w:rsidR="006C5F57" w:rsidRPr="00223505" w:rsidRDefault="006C5F57" w:rsidP="00223505">
            <w:pPr>
              <w:spacing w:before="0" w:after="0"/>
              <w:rPr>
                <w:sz w:val="20"/>
                <w:szCs w:val="20"/>
              </w:rPr>
            </w:pPr>
            <w:r w:rsidRPr="00223505">
              <w:rPr>
                <w:sz w:val="20"/>
                <w:szCs w:val="20"/>
              </w:rPr>
              <w:t>No</w:t>
            </w:r>
          </w:p>
        </w:tc>
      </w:tr>
      <w:tr w:rsidR="00134941" w:rsidRPr="00CF6BC7" w14:paraId="6FD4B065" w14:textId="77777777" w:rsidTr="00223505">
        <w:trPr>
          <w:trHeight w:val="560"/>
        </w:trPr>
        <w:tc>
          <w:tcPr>
            <w:tcW w:w="1413" w:type="dxa"/>
            <w:hideMark/>
          </w:tcPr>
          <w:p w14:paraId="1CBDA043" w14:textId="77777777" w:rsidR="006C5F57" w:rsidRPr="00223505" w:rsidRDefault="006C5F57" w:rsidP="00223505">
            <w:pPr>
              <w:spacing w:before="0" w:after="0"/>
              <w:rPr>
                <w:sz w:val="20"/>
                <w:szCs w:val="20"/>
              </w:rPr>
            </w:pPr>
            <w:r w:rsidRPr="00223505">
              <w:rPr>
                <w:sz w:val="20"/>
                <w:szCs w:val="20"/>
              </w:rPr>
              <w:t>BMT Property Valuers and Quantity Surveyors</w:t>
            </w:r>
          </w:p>
        </w:tc>
        <w:tc>
          <w:tcPr>
            <w:tcW w:w="1134" w:type="dxa"/>
            <w:hideMark/>
          </w:tcPr>
          <w:p w14:paraId="31B9E4C9" w14:textId="77777777" w:rsidR="006C5F57" w:rsidRPr="00223505" w:rsidRDefault="006C5F57" w:rsidP="00223505">
            <w:pPr>
              <w:spacing w:before="0" w:after="0"/>
              <w:rPr>
                <w:sz w:val="20"/>
                <w:szCs w:val="20"/>
              </w:rPr>
            </w:pPr>
            <w:r w:rsidRPr="00223505">
              <w:rPr>
                <w:sz w:val="20"/>
                <w:szCs w:val="20"/>
              </w:rPr>
              <w:t>None</w:t>
            </w:r>
          </w:p>
        </w:tc>
        <w:tc>
          <w:tcPr>
            <w:tcW w:w="987" w:type="dxa"/>
            <w:hideMark/>
          </w:tcPr>
          <w:p w14:paraId="438AC092" w14:textId="77777777" w:rsidR="006C5F57" w:rsidRPr="00223505" w:rsidRDefault="006C5F57" w:rsidP="00223505">
            <w:pPr>
              <w:spacing w:before="0" w:after="0"/>
              <w:rPr>
                <w:sz w:val="20"/>
                <w:szCs w:val="20"/>
              </w:rPr>
            </w:pPr>
            <w:r w:rsidRPr="00223505">
              <w:rPr>
                <w:sz w:val="20"/>
                <w:szCs w:val="20"/>
              </w:rPr>
              <w:t>None</w:t>
            </w:r>
          </w:p>
        </w:tc>
        <w:tc>
          <w:tcPr>
            <w:tcW w:w="1280" w:type="dxa"/>
            <w:hideMark/>
          </w:tcPr>
          <w:p w14:paraId="3D0A7ACE"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5615FB8A" w14:textId="77777777" w:rsidR="006C5F57" w:rsidRPr="00223505" w:rsidRDefault="006C5F57" w:rsidP="00223505">
            <w:pPr>
              <w:spacing w:before="0" w:after="0"/>
              <w:rPr>
                <w:sz w:val="20"/>
                <w:szCs w:val="20"/>
              </w:rPr>
            </w:pPr>
            <w:r w:rsidRPr="00223505">
              <w:rPr>
                <w:sz w:val="20"/>
                <w:szCs w:val="20"/>
              </w:rPr>
              <w:t>None</w:t>
            </w:r>
          </w:p>
        </w:tc>
        <w:tc>
          <w:tcPr>
            <w:tcW w:w="1275" w:type="dxa"/>
            <w:hideMark/>
          </w:tcPr>
          <w:p w14:paraId="245FBAA5"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078819CC"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0B525006" w14:textId="77777777" w:rsidR="006C5F57" w:rsidRPr="00223505" w:rsidRDefault="006C5F57" w:rsidP="00223505">
            <w:pPr>
              <w:spacing w:before="0" w:after="0"/>
              <w:rPr>
                <w:sz w:val="20"/>
                <w:szCs w:val="20"/>
              </w:rPr>
            </w:pPr>
            <w:r w:rsidRPr="00223505">
              <w:rPr>
                <w:sz w:val="20"/>
                <w:szCs w:val="20"/>
              </w:rPr>
              <w:t>No</w:t>
            </w:r>
          </w:p>
        </w:tc>
      </w:tr>
      <w:tr w:rsidR="00134941" w:rsidRPr="00CF6BC7" w14:paraId="07753863" w14:textId="77777777" w:rsidTr="00223505">
        <w:trPr>
          <w:trHeight w:val="290"/>
        </w:trPr>
        <w:tc>
          <w:tcPr>
            <w:tcW w:w="1413" w:type="dxa"/>
            <w:noWrap/>
            <w:hideMark/>
          </w:tcPr>
          <w:p w14:paraId="4D801810" w14:textId="77777777" w:rsidR="006C5F57" w:rsidRPr="00223505" w:rsidRDefault="006C5F57" w:rsidP="00223505">
            <w:pPr>
              <w:spacing w:before="0" w:after="0"/>
              <w:rPr>
                <w:sz w:val="20"/>
                <w:szCs w:val="20"/>
              </w:rPr>
            </w:pPr>
            <w:r w:rsidRPr="00223505">
              <w:rPr>
                <w:sz w:val="20"/>
                <w:szCs w:val="20"/>
              </w:rPr>
              <w:t xml:space="preserve"> WBP Group Pty Ltd</w:t>
            </w:r>
          </w:p>
        </w:tc>
        <w:tc>
          <w:tcPr>
            <w:tcW w:w="1134" w:type="dxa"/>
            <w:hideMark/>
          </w:tcPr>
          <w:p w14:paraId="462803F1" w14:textId="77777777" w:rsidR="006C5F57" w:rsidRPr="00223505" w:rsidRDefault="006C5F57" w:rsidP="00223505">
            <w:pPr>
              <w:spacing w:before="0" w:after="0"/>
              <w:rPr>
                <w:sz w:val="20"/>
                <w:szCs w:val="20"/>
              </w:rPr>
            </w:pPr>
            <w:r w:rsidRPr="00223505">
              <w:rPr>
                <w:sz w:val="20"/>
                <w:szCs w:val="20"/>
              </w:rPr>
              <w:t>None</w:t>
            </w:r>
          </w:p>
        </w:tc>
        <w:tc>
          <w:tcPr>
            <w:tcW w:w="987" w:type="dxa"/>
            <w:hideMark/>
          </w:tcPr>
          <w:p w14:paraId="082BFE22" w14:textId="77777777" w:rsidR="006C5F57" w:rsidRPr="00223505" w:rsidRDefault="006C5F57" w:rsidP="00223505">
            <w:pPr>
              <w:spacing w:before="0" w:after="0"/>
              <w:rPr>
                <w:sz w:val="20"/>
                <w:szCs w:val="20"/>
              </w:rPr>
            </w:pPr>
            <w:r w:rsidRPr="00223505">
              <w:rPr>
                <w:sz w:val="20"/>
                <w:szCs w:val="20"/>
              </w:rPr>
              <w:t>None</w:t>
            </w:r>
          </w:p>
        </w:tc>
        <w:tc>
          <w:tcPr>
            <w:tcW w:w="1280" w:type="dxa"/>
            <w:hideMark/>
          </w:tcPr>
          <w:p w14:paraId="1AC12011"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7DF7EB1D" w14:textId="77777777" w:rsidR="006C5F57" w:rsidRPr="00223505" w:rsidRDefault="006C5F57" w:rsidP="00223505">
            <w:pPr>
              <w:spacing w:before="0" w:after="0"/>
              <w:rPr>
                <w:sz w:val="20"/>
                <w:szCs w:val="20"/>
              </w:rPr>
            </w:pPr>
            <w:r w:rsidRPr="00223505">
              <w:rPr>
                <w:sz w:val="20"/>
                <w:szCs w:val="20"/>
              </w:rPr>
              <w:t>None</w:t>
            </w:r>
          </w:p>
        </w:tc>
        <w:tc>
          <w:tcPr>
            <w:tcW w:w="1275" w:type="dxa"/>
            <w:hideMark/>
          </w:tcPr>
          <w:p w14:paraId="2B03A78E"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463FBB57"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1602E0C2" w14:textId="77777777" w:rsidR="006C5F57" w:rsidRPr="00223505" w:rsidRDefault="006C5F57" w:rsidP="00223505">
            <w:pPr>
              <w:spacing w:before="0" w:after="0"/>
              <w:rPr>
                <w:sz w:val="20"/>
                <w:szCs w:val="20"/>
              </w:rPr>
            </w:pPr>
            <w:r w:rsidRPr="00223505">
              <w:rPr>
                <w:sz w:val="20"/>
                <w:szCs w:val="20"/>
              </w:rPr>
              <w:t>No</w:t>
            </w:r>
          </w:p>
        </w:tc>
      </w:tr>
      <w:tr w:rsidR="00134941" w:rsidRPr="00CF6BC7" w14:paraId="428D50C5" w14:textId="77777777" w:rsidTr="00223505">
        <w:trPr>
          <w:trHeight w:val="290"/>
        </w:trPr>
        <w:tc>
          <w:tcPr>
            <w:tcW w:w="1413" w:type="dxa"/>
            <w:hideMark/>
          </w:tcPr>
          <w:p w14:paraId="3700F380" w14:textId="77777777" w:rsidR="006C5F57" w:rsidRPr="00223505" w:rsidRDefault="006C5F57" w:rsidP="00223505">
            <w:pPr>
              <w:spacing w:before="0" w:after="0"/>
              <w:rPr>
                <w:sz w:val="20"/>
                <w:szCs w:val="20"/>
              </w:rPr>
            </w:pPr>
            <w:r w:rsidRPr="00223505">
              <w:rPr>
                <w:sz w:val="20"/>
                <w:szCs w:val="20"/>
              </w:rPr>
              <w:t xml:space="preserve">Valuations Vic </w:t>
            </w:r>
          </w:p>
        </w:tc>
        <w:tc>
          <w:tcPr>
            <w:tcW w:w="1134" w:type="dxa"/>
            <w:hideMark/>
          </w:tcPr>
          <w:p w14:paraId="3A8A3E8E" w14:textId="77777777" w:rsidR="006C5F57" w:rsidRPr="00223505" w:rsidRDefault="006C5F57" w:rsidP="00223505">
            <w:pPr>
              <w:spacing w:before="0" w:after="0"/>
              <w:rPr>
                <w:sz w:val="20"/>
                <w:szCs w:val="20"/>
              </w:rPr>
            </w:pPr>
            <w:r w:rsidRPr="00223505">
              <w:rPr>
                <w:sz w:val="20"/>
                <w:szCs w:val="20"/>
              </w:rPr>
              <w:t>None</w:t>
            </w:r>
          </w:p>
        </w:tc>
        <w:tc>
          <w:tcPr>
            <w:tcW w:w="987" w:type="dxa"/>
            <w:hideMark/>
          </w:tcPr>
          <w:p w14:paraId="648EAB3F" w14:textId="77777777" w:rsidR="006C5F57" w:rsidRPr="00223505" w:rsidRDefault="006C5F57" w:rsidP="00223505">
            <w:pPr>
              <w:spacing w:before="0" w:after="0"/>
              <w:rPr>
                <w:sz w:val="20"/>
                <w:szCs w:val="20"/>
              </w:rPr>
            </w:pPr>
            <w:r w:rsidRPr="00223505">
              <w:rPr>
                <w:sz w:val="20"/>
                <w:szCs w:val="20"/>
              </w:rPr>
              <w:t>None</w:t>
            </w:r>
          </w:p>
        </w:tc>
        <w:tc>
          <w:tcPr>
            <w:tcW w:w="1280" w:type="dxa"/>
            <w:hideMark/>
          </w:tcPr>
          <w:p w14:paraId="504C6BAC"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1ECB92E2" w14:textId="77777777" w:rsidR="006C5F57" w:rsidRPr="00223505" w:rsidRDefault="006C5F57" w:rsidP="00223505">
            <w:pPr>
              <w:spacing w:before="0" w:after="0"/>
              <w:rPr>
                <w:sz w:val="20"/>
                <w:szCs w:val="20"/>
              </w:rPr>
            </w:pPr>
            <w:r w:rsidRPr="00223505">
              <w:rPr>
                <w:sz w:val="20"/>
                <w:szCs w:val="20"/>
              </w:rPr>
              <w:t>None</w:t>
            </w:r>
          </w:p>
        </w:tc>
        <w:tc>
          <w:tcPr>
            <w:tcW w:w="1275" w:type="dxa"/>
            <w:hideMark/>
          </w:tcPr>
          <w:p w14:paraId="02CEA313"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4C52C181"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1DD65526" w14:textId="77777777" w:rsidR="006C5F57" w:rsidRPr="00223505" w:rsidRDefault="006C5F57" w:rsidP="00223505">
            <w:pPr>
              <w:spacing w:before="0" w:after="0"/>
              <w:rPr>
                <w:sz w:val="20"/>
                <w:szCs w:val="20"/>
              </w:rPr>
            </w:pPr>
            <w:r w:rsidRPr="00223505">
              <w:rPr>
                <w:sz w:val="20"/>
                <w:szCs w:val="20"/>
              </w:rPr>
              <w:t>No</w:t>
            </w:r>
          </w:p>
        </w:tc>
      </w:tr>
      <w:tr w:rsidR="00134941" w:rsidRPr="00CF6BC7" w14:paraId="6E203863" w14:textId="77777777" w:rsidTr="00223505">
        <w:trPr>
          <w:trHeight w:val="290"/>
        </w:trPr>
        <w:tc>
          <w:tcPr>
            <w:tcW w:w="1413" w:type="dxa"/>
            <w:noWrap/>
            <w:hideMark/>
          </w:tcPr>
          <w:p w14:paraId="426077B9" w14:textId="77777777" w:rsidR="006C5F57" w:rsidRPr="00223505" w:rsidRDefault="006C5F57" w:rsidP="00223505">
            <w:pPr>
              <w:spacing w:before="0" w:after="0"/>
              <w:rPr>
                <w:sz w:val="20"/>
                <w:szCs w:val="20"/>
              </w:rPr>
            </w:pPr>
            <w:r w:rsidRPr="00223505">
              <w:rPr>
                <w:sz w:val="20"/>
                <w:szCs w:val="20"/>
              </w:rPr>
              <w:t>IPN Valuers</w:t>
            </w:r>
          </w:p>
        </w:tc>
        <w:tc>
          <w:tcPr>
            <w:tcW w:w="1134" w:type="dxa"/>
            <w:hideMark/>
          </w:tcPr>
          <w:p w14:paraId="09DDCC1A" w14:textId="77777777" w:rsidR="006C5F57" w:rsidRPr="00223505" w:rsidRDefault="006C5F57" w:rsidP="00223505">
            <w:pPr>
              <w:spacing w:before="0" w:after="0"/>
              <w:rPr>
                <w:sz w:val="20"/>
                <w:szCs w:val="20"/>
              </w:rPr>
            </w:pPr>
            <w:r w:rsidRPr="00223505">
              <w:rPr>
                <w:sz w:val="20"/>
                <w:szCs w:val="20"/>
              </w:rPr>
              <w:t>None</w:t>
            </w:r>
          </w:p>
        </w:tc>
        <w:tc>
          <w:tcPr>
            <w:tcW w:w="987" w:type="dxa"/>
            <w:hideMark/>
          </w:tcPr>
          <w:p w14:paraId="1CEBB765" w14:textId="77777777" w:rsidR="006C5F57" w:rsidRPr="00223505" w:rsidRDefault="006C5F57" w:rsidP="00223505">
            <w:pPr>
              <w:spacing w:before="0" w:after="0"/>
              <w:rPr>
                <w:sz w:val="20"/>
                <w:szCs w:val="20"/>
              </w:rPr>
            </w:pPr>
            <w:r w:rsidRPr="00223505">
              <w:rPr>
                <w:sz w:val="20"/>
                <w:szCs w:val="20"/>
              </w:rPr>
              <w:t>None</w:t>
            </w:r>
          </w:p>
        </w:tc>
        <w:tc>
          <w:tcPr>
            <w:tcW w:w="1280" w:type="dxa"/>
            <w:hideMark/>
          </w:tcPr>
          <w:p w14:paraId="19E76F24"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5E9F7C90" w14:textId="77777777" w:rsidR="006C5F57" w:rsidRPr="00223505" w:rsidRDefault="006C5F57" w:rsidP="00223505">
            <w:pPr>
              <w:spacing w:before="0" w:after="0"/>
              <w:rPr>
                <w:sz w:val="20"/>
                <w:szCs w:val="20"/>
              </w:rPr>
            </w:pPr>
            <w:r w:rsidRPr="00223505">
              <w:rPr>
                <w:sz w:val="20"/>
                <w:szCs w:val="20"/>
              </w:rPr>
              <w:t>None</w:t>
            </w:r>
          </w:p>
        </w:tc>
        <w:tc>
          <w:tcPr>
            <w:tcW w:w="1275" w:type="dxa"/>
            <w:hideMark/>
          </w:tcPr>
          <w:p w14:paraId="277A7AE7"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20C9BA8C"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76066366" w14:textId="77777777" w:rsidR="006C5F57" w:rsidRPr="00223505" w:rsidRDefault="006C5F57" w:rsidP="00223505">
            <w:pPr>
              <w:spacing w:before="0" w:after="0"/>
              <w:rPr>
                <w:sz w:val="20"/>
                <w:szCs w:val="20"/>
              </w:rPr>
            </w:pPr>
            <w:r w:rsidRPr="00223505">
              <w:rPr>
                <w:sz w:val="20"/>
                <w:szCs w:val="20"/>
              </w:rPr>
              <w:t>No</w:t>
            </w:r>
          </w:p>
        </w:tc>
      </w:tr>
      <w:tr w:rsidR="00134941" w:rsidRPr="00CF6BC7" w14:paraId="06FD7F95" w14:textId="77777777" w:rsidTr="00223505">
        <w:trPr>
          <w:trHeight w:val="290"/>
        </w:trPr>
        <w:tc>
          <w:tcPr>
            <w:tcW w:w="1413" w:type="dxa"/>
            <w:noWrap/>
            <w:hideMark/>
          </w:tcPr>
          <w:p w14:paraId="65202360" w14:textId="77777777" w:rsidR="006C5F57" w:rsidRPr="00223505" w:rsidRDefault="006C5F57" w:rsidP="00223505">
            <w:pPr>
              <w:spacing w:before="0" w:after="0"/>
              <w:rPr>
                <w:sz w:val="20"/>
                <w:szCs w:val="20"/>
              </w:rPr>
            </w:pPr>
            <w:r w:rsidRPr="00223505">
              <w:rPr>
                <w:sz w:val="20"/>
                <w:szCs w:val="20"/>
              </w:rPr>
              <w:t>All Suburb Valuers</w:t>
            </w:r>
          </w:p>
        </w:tc>
        <w:tc>
          <w:tcPr>
            <w:tcW w:w="1134" w:type="dxa"/>
            <w:hideMark/>
          </w:tcPr>
          <w:p w14:paraId="1CFA0BFE" w14:textId="77777777" w:rsidR="006C5F57" w:rsidRPr="00223505" w:rsidRDefault="006C5F57" w:rsidP="00223505">
            <w:pPr>
              <w:spacing w:before="0" w:after="0"/>
              <w:rPr>
                <w:sz w:val="20"/>
                <w:szCs w:val="20"/>
              </w:rPr>
            </w:pPr>
            <w:r w:rsidRPr="00223505">
              <w:rPr>
                <w:sz w:val="20"/>
                <w:szCs w:val="20"/>
              </w:rPr>
              <w:t>None</w:t>
            </w:r>
          </w:p>
        </w:tc>
        <w:tc>
          <w:tcPr>
            <w:tcW w:w="987" w:type="dxa"/>
            <w:hideMark/>
          </w:tcPr>
          <w:p w14:paraId="3FAADB40" w14:textId="77777777" w:rsidR="006C5F57" w:rsidRPr="00223505" w:rsidRDefault="006C5F57" w:rsidP="00223505">
            <w:pPr>
              <w:spacing w:before="0" w:after="0"/>
              <w:rPr>
                <w:sz w:val="20"/>
                <w:szCs w:val="20"/>
              </w:rPr>
            </w:pPr>
            <w:r w:rsidRPr="00223505">
              <w:rPr>
                <w:sz w:val="20"/>
                <w:szCs w:val="20"/>
              </w:rPr>
              <w:t>None</w:t>
            </w:r>
          </w:p>
        </w:tc>
        <w:tc>
          <w:tcPr>
            <w:tcW w:w="1280" w:type="dxa"/>
            <w:hideMark/>
          </w:tcPr>
          <w:p w14:paraId="18AA0723" w14:textId="77777777" w:rsidR="006C5F57" w:rsidRPr="00223505" w:rsidRDefault="006C5F57" w:rsidP="00223505">
            <w:pPr>
              <w:spacing w:before="0" w:after="0"/>
              <w:rPr>
                <w:sz w:val="20"/>
                <w:szCs w:val="20"/>
              </w:rPr>
            </w:pPr>
            <w:r w:rsidRPr="00223505">
              <w:rPr>
                <w:sz w:val="20"/>
                <w:szCs w:val="20"/>
              </w:rPr>
              <w:t>None</w:t>
            </w:r>
          </w:p>
        </w:tc>
        <w:tc>
          <w:tcPr>
            <w:tcW w:w="1277" w:type="dxa"/>
            <w:hideMark/>
          </w:tcPr>
          <w:p w14:paraId="4DE077DF" w14:textId="77777777" w:rsidR="006C5F57" w:rsidRPr="00223505" w:rsidRDefault="006C5F57" w:rsidP="00223505">
            <w:pPr>
              <w:spacing w:before="0" w:after="0"/>
              <w:rPr>
                <w:sz w:val="20"/>
                <w:szCs w:val="20"/>
              </w:rPr>
            </w:pPr>
            <w:r w:rsidRPr="00223505">
              <w:rPr>
                <w:sz w:val="20"/>
                <w:szCs w:val="20"/>
              </w:rPr>
              <w:t>None</w:t>
            </w:r>
          </w:p>
        </w:tc>
        <w:tc>
          <w:tcPr>
            <w:tcW w:w="1275" w:type="dxa"/>
            <w:hideMark/>
          </w:tcPr>
          <w:p w14:paraId="37637BA8" w14:textId="77777777" w:rsidR="006C5F57" w:rsidRPr="00223505" w:rsidRDefault="006C5F57" w:rsidP="00223505">
            <w:pPr>
              <w:spacing w:before="0" w:after="0"/>
              <w:rPr>
                <w:sz w:val="20"/>
                <w:szCs w:val="20"/>
              </w:rPr>
            </w:pPr>
            <w:r w:rsidRPr="00223505">
              <w:rPr>
                <w:sz w:val="20"/>
                <w:szCs w:val="20"/>
              </w:rPr>
              <w:t>None</w:t>
            </w:r>
          </w:p>
        </w:tc>
        <w:tc>
          <w:tcPr>
            <w:tcW w:w="1134" w:type="dxa"/>
            <w:hideMark/>
          </w:tcPr>
          <w:p w14:paraId="7E8BA71B" w14:textId="77777777" w:rsidR="006C5F57" w:rsidRPr="00223505" w:rsidRDefault="006C5F57" w:rsidP="00223505">
            <w:pPr>
              <w:spacing w:before="0" w:after="0"/>
              <w:rPr>
                <w:sz w:val="20"/>
                <w:szCs w:val="20"/>
              </w:rPr>
            </w:pPr>
            <w:r w:rsidRPr="00223505">
              <w:rPr>
                <w:sz w:val="20"/>
                <w:szCs w:val="20"/>
              </w:rPr>
              <w:t>No</w:t>
            </w:r>
          </w:p>
        </w:tc>
        <w:tc>
          <w:tcPr>
            <w:tcW w:w="1128" w:type="dxa"/>
            <w:hideMark/>
          </w:tcPr>
          <w:p w14:paraId="4E96B729" w14:textId="77777777" w:rsidR="006C5F57" w:rsidRPr="00223505" w:rsidRDefault="006C5F57" w:rsidP="00223505">
            <w:pPr>
              <w:spacing w:before="0" w:after="0"/>
              <w:rPr>
                <w:sz w:val="20"/>
                <w:szCs w:val="20"/>
              </w:rPr>
            </w:pPr>
            <w:r w:rsidRPr="00223505">
              <w:rPr>
                <w:sz w:val="20"/>
                <w:szCs w:val="20"/>
              </w:rPr>
              <w:t>No</w:t>
            </w:r>
          </w:p>
        </w:tc>
      </w:tr>
    </w:tbl>
    <w:p w14:paraId="6CC1A19B" w14:textId="468E049D" w:rsidR="006C5F57" w:rsidRPr="007C4901" w:rsidRDefault="00F302D0" w:rsidP="006567BF">
      <w:pPr>
        <w:rPr>
          <w:sz w:val="24"/>
        </w:rPr>
      </w:pPr>
      <w:bookmarkStart w:id="1" w:name="_Hlk145869569"/>
      <w:r w:rsidRPr="007C4901">
        <w:rPr>
          <w:sz w:val="24"/>
        </w:rPr>
        <w:lastRenderedPageBreak/>
        <w:t>(Source: Based on data compiled from the studied companies’ websites)</w:t>
      </w:r>
    </w:p>
    <w:bookmarkEnd w:id="1"/>
    <w:p w14:paraId="7FCEBB6D" w14:textId="77777777" w:rsidR="00F302D0" w:rsidRPr="007C4901" w:rsidRDefault="00F302D0" w:rsidP="006567BF">
      <w:pPr>
        <w:rPr>
          <w:sz w:val="24"/>
        </w:rPr>
      </w:pPr>
    </w:p>
    <w:p w14:paraId="71B61499" w14:textId="6976728B" w:rsidR="001C0E7F" w:rsidRPr="007C4901" w:rsidRDefault="001C0E7F" w:rsidP="00A11DD3">
      <w:pPr>
        <w:pStyle w:val="Heading4"/>
        <w:spacing w:before="0" w:after="0"/>
        <w:rPr>
          <w:sz w:val="24"/>
          <w:szCs w:val="24"/>
        </w:rPr>
      </w:pPr>
      <w:r w:rsidRPr="007C4901">
        <w:rPr>
          <w:sz w:val="24"/>
          <w:szCs w:val="24"/>
        </w:rPr>
        <w:t>The gender composition of the boards and leadership/executive teams of large valuation firms</w:t>
      </w:r>
    </w:p>
    <w:p w14:paraId="389756E3" w14:textId="77777777" w:rsidR="00E74662" w:rsidRPr="007C4901" w:rsidRDefault="00E74662" w:rsidP="00A11DD3">
      <w:pPr>
        <w:spacing w:before="0" w:after="0"/>
        <w:rPr>
          <w:sz w:val="24"/>
        </w:rPr>
      </w:pPr>
    </w:p>
    <w:p w14:paraId="2A153F08" w14:textId="6BCFCA9C" w:rsidR="00CB5CA9" w:rsidRPr="007C4901" w:rsidRDefault="00290DFF" w:rsidP="00A11DD3">
      <w:pPr>
        <w:spacing w:before="0" w:after="0"/>
        <w:rPr>
          <w:sz w:val="24"/>
        </w:rPr>
      </w:pPr>
      <w:r w:rsidRPr="007C4901">
        <w:rPr>
          <w:sz w:val="24"/>
        </w:rPr>
        <w:t xml:space="preserve">Out of the </w:t>
      </w:r>
      <w:r w:rsidR="006F6B09">
        <w:rPr>
          <w:sz w:val="24"/>
        </w:rPr>
        <w:t xml:space="preserve">17 large </w:t>
      </w:r>
      <w:r w:rsidRPr="007C4901">
        <w:rPr>
          <w:sz w:val="24"/>
        </w:rPr>
        <w:t xml:space="preserve">valuation firms examined, three (BMT Property Valuers and Quantity Surveyors, IPN Valuers and Valuations VIC) did not provide any data on the gender makeup of their boards on their websites. The remaining </w:t>
      </w:r>
      <w:r w:rsidR="0035596C">
        <w:rPr>
          <w:sz w:val="24"/>
        </w:rPr>
        <w:t xml:space="preserve">14 </w:t>
      </w:r>
      <w:r w:rsidRPr="007C4901">
        <w:rPr>
          <w:sz w:val="24"/>
        </w:rPr>
        <w:t>firms had Deloitte leading the way with gender equality in its board</w:t>
      </w:r>
      <w:r w:rsidR="00990F2C" w:rsidRPr="007C4901">
        <w:rPr>
          <w:sz w:val="24"/>
        </w:rPr>
        <w:t xml:space="preserve"> of directors</w:t>
      </w:r>
      <w:r w:rsidRPr="007C4901">
        <w:rPr>
          <w:sz w:val="24"/>
        </w:rPr>
        <w:t xml:space="preserve">, boasting an even split (50%) of women and men. Jones Lang LaSalle (JLL) followed closely behind with 41.46% female representation on its board. However, in </w:t>
      </w:r>
      <w:r w:rsidR="00572C23">
        <w:rPr>
          <w:sz w:val="24"/>
        </w:rPr>
        <w:t xml:space="preserve">10 </w:t>
      </w:r>
      <w:r w:rsidRPr="007C4901">
        <w:rPr>
          <w:sz w:val="24"/>
        </w:rPr>
        <w:t xml:space="preserve">out of these </w:t>
      </w:r>
      <w:r w:rsidR="00572C23">
        <w:rPr>
          <w:sz w:val="24"/>
        </w:rPr>
        <w:t xml:space="preserve">14 </w:t>
      </w:r>
      <w:r w:rsidRPr="007C4901">
        <w:rPr>
          <w:sz w:val="24"/>
        </w:rPr>
        <w:t xml:space="preserve">firms, men occupied more than two-thirds of their board seats (refer to Table </w:t>
      </w:r>
      <w:r w:rsidR="00E0545F">
        <w:rPr>
          <w:sz w:val="24"/>
        </w:rPr>
        <w:t>3</w:t>
      </w:r>
      <w:r w:rsidRPr="007C4901">
        <w:rPr>
          <w:sz w:val="24"/>
        </w:rPr>
        <w:t>).</w:t>
      </w:r>
    </w:p>
    <w:p w14:paraId="096113B9" w14:textId="77777777" w:rsidR="006C578B" w:rsidRPr="007C4901" w:rsidRDefault="006C578B" w:rsidP="00A11DD3">
      <w:pPr>
        <w:spacing w:before="0" w:after="0"/>
        <w:rPr>
          <w:sz w:val="24"/>
        </w:rPr>
      </w:pPr>
    </w:p>
    <w:p w14:paraId="68D5AF2B" w14:textId="6397889A" w:rsidR="001C0E7F" w:rsidRPr="007C4901" w:rsidRDefault="001C0E7F" w:rsidP="00A11DD3">
      <w:pPr>
        <w:spacing w:before="0" w:after="0"/>
        <w:rPr>
          <w:i/>
          <w:iCs/>
          <w:sz w:val="24"/>
        </w:rPr>
      </w:pPr>
      <w:r w:rsidRPr="007C4901">
        <w:rPr>
          <w:i/>
          <w:iCs/>
          <w:sz w:val="24"/>
        </w:rPr>
        <w:t xml:space="preserve">Table </w:t>
      </w:r>
      <w:r w:rsidR="00E0545F">
        <w:rPr>
          <w:i/>
          <w:iCs/>
          <w:sz w:val="24"/>
        </w:rPr>
        <w:t>3</w:t>
      </w:r>
      <w:r w:rsidR="00CE5101" w:rsidRPr="007C4901">
        <w:rPr>
          <w:i/>
          <w:iCs/>
          <w:sz w:val="24"/>
        </w:rPr>
        <w:t xml:space="preserve"> – </w:t>
      </w:r>
      <w:r w:rsidRPr="007C4901">
        <w:rPr>
          <w:i/>
          <w:iCs/>
          <w:sz w:val="24"/>
        </w:rPr>
        <w:t>The gender composition of the boards of directors of the large valuation companies</w:t>
      </w:r>
    </w:p>
    <w:p w14:paraId="3D9CA252" w14:textId="77777777" w:rsidR="00CB5CA9" w:rsidRPr="007C4901" w:rsidRDefault="00CB5CA9" w:rsidP="00A11DD3">
      <w:pPr>
        <w:spacing w:before="0" w:after="0"/>
        <w:rPr>
          <w:b/>
          <w:bCs/>
          <w:sz w:val="24"/>
        </w:rPr>
      </w:pPr>
    </w:p>
    <w:tbl>
      <w:tblPr>
        <w:tblStyle w:val="TableGrid"/>
        <w:tblW w:w="9776" w:type="dxa"/>
        <w:tblLook w:val="04A0" w:firstRow="1" w:lastRow="0" w:firstColumn="1" w:lastColumn="0" w:noHBand="0" w:noVBand="1"/>
      </w:tblPr>
      <w:tblGrid>
        <w:gridCol w:w="3539"/>
        <w:gridCol w:w="1701"/>
        <w:gridCol w:w="1701"/>
        <w:gridCol w:w="1418"/>
        <w:gridCol w:w="1417"/>
      </w:tblGrid>
      <w:tr w:rsidR="001C0E7F" w:rsidRPr="00223505" w14:paraId="0883AE60" w14:textId="77777777" w:rsidTr="00D055C5">
        <w:trPr>
          <w:trHeight w:val="677"/>
        </w:trPr>
        <w:tc>
          <w:tcPr>
            <w:tcW w:w="3539" w:type="dxa"/>
          </w:tcPr>
          <w:p w14:paraId="68ADE666" w14:textId="77777777" w:rsidR="001C0E7F" w:rsidRPr="00223505" w:rsidRDefault="001C0E7F" w:rsidP="00A11DD3">
            <w:pPr>
              <w:spacing w:before="0" w:after="0"/>
              <w:rPr>
                <w:b/>
                <w:bCs/>
                <w:sz w:val="20"/>
                <w:szCs w:val="20"/>
              </w:rPr>
            </w:pPr>
            <w:r w:rsidRPr="00223505">
              <w:rPr>
                <w:b/>
                <w:bCs/>
                <w:sz w:val="20"/>
                <w:szCs w:val="20"/>
              </w:rPr>
              <w:t>Valuation company</w:t>
            </w:r>
          </w:p>
        </w:tc>
        <w:tc>
          <w:tcPr>
            <w:tcW w:w="1701" w:type="dxa"/>
          </w:tcPr>
          <w:p w14:paraId="726CD8D4" w14:textId="77777777" w:rsidR="001C0E7F" w:rsidRPr="00223505" w:rsidRDefault="001C0E7F" w:rsidP="00A11DD3">
            <w:pPr>
              <w:spacing w:before="0" w:after="0"/>
              <w:rPr>
                <w:b/>
                <w:bCs/>
                <w:sz w:val="20"/>
                <w:szCs w:val="20"/>
              </w:rPr>
            </w:pPr>
            <w:r w:rsidRPr="00223505">
              <w:rPr>
                <w:b/>
                <w:bCs/>
                <w:sz w:val="20"/>
                <w:szCs w:val="20"/>
              </w:rPr>
              <w:t>No. of men</w:t>
            </w:r>
          </w:p>
        </w:tc>
        <w:tc>
          <w:tcPr>
            <w:tcW w:w="1701" w:type="dxa"/>
          </w:tcPr>
          <w:p w14:paraId="54C72DEE" w14:textId="77777777" w:rsidR="001C0E7F" w:rsidRPr="00223505" w:rsidRDefault="001C0E7F" w:rsidP="00A11DD3">
            <w:pPr>
              <w:spacing w:before="0" w:after="0"/>
              <w:rPr>
                <w:b/>
                <w:bCs/>
                <w:sz w:val="20"/>
                <w:szCs w:val="20"/>
              </w:rPr>
            </w:pPr>
            <w:r w:rsidRPr="00223505">
              <w:rPr>
                <w:b/>
                <w:bCs/>
                <w:sz w:val="20"/>
                <w:szCs w:val="20"/>
              </w:rPr>
              <w:t>No. of women</w:t>
            </w:r>
          </w:p>
        </w:tc>
        <w:tc>
          <w:tcPr>
            <w:tcW w:w="1418" w:type="dxa"/>
          </w:tcPr>
          <w:p w14:paraId="7839F978" w14:textId="77777777" w:rsidR="001C0E7F" w:rsidRPr="00223505" w:rsidRDefault="001C0E7F" w:rsidP="00A11DD3">
            <w:pPr>
              <w:spacing w:before="0" w:after="0"/>
              <w:rPr>
                <w:b/>
                <w:bCs/>
                <w:sz w:val="20"/>
                <w:szCs w:val="20"/>
              </w:rPr>
            </w:pPr>
            <w:r w:rsidRPr="00223505">
              <w:rPr>
                <w:b/>
                <w:bCs/>
                <w:sz w:val="20"/>
                <w:szCs w:val="20"/>
              </w:rPr>
              <w:t>Men%</w:t>
            </w:r>
          </w:p>
        </w:tc>
        <w:tc>
          <w:tcPr>
            <w:tcW w:w="1417" w:type="dxa"/>
          </w:tcPr>
          <w:p w14:paraId="63247404" w14:textId="77777777" w:rsidR="001C0E7F" w:rsidRPr="00223505" w:rsidRDefault="001C0E7F" w:rsidP="00A11DD3">
            <w:pPr>
              <w:spacing w:before="0" w:after="0"/>
              <w:rPr>
                <w:b/>
                <w:bCs/>
                <w:sz w:val="20"/>
                <w:szCs w:val="20"/>
              </w:rPr>
            </w:pPr>
            <w:r w:rsidRPr="00223505">
              <w:rPr>
                <w:b/>
                <w:bCs/>
                <w:sz w:val="20"/>
                <w:szCs w:val="20"/>
              </w:rPr>
              <w:t>Women%</w:t>
            </w:r>
          </w:p>
        </w:tc>
      </w:tr>
      <w:tr w:rsidR="001C0E7F" w:rsidRPr="00223505" w14:paraId="5E8ACE03" w14:textId="77777777" w:rsidTr="00D055C5">
        <w:trPr>
          <w:trHeight w:val="459"/>
        </w:trPr>
        <w:tc>
          <w:tcPr>
            <w:tcW w:w="3539" w:type="dxa"/>
          </w:tcPr>
          <w:p w14:paraId="3EC54216" w14:textId="77777777" w:rsidR="001C0E7F" w:rsidRPr="00223505" w:rsidRDefault="001C0E7F" w:rsidP="00A11DD3">
            <w:pPr>
              <w:spacing w:before="0" w:after="0"/>
              <w:rPr>
                <w:sz w:val="20"/>
                <w:szCs w:val="20"/>
              </w:rPr>
            </w:pPr>
            <w:bookmarkStart w:id="2" w:name="_Hlk145850654"/>
            <w:r w:rsidRPr="00223505">
              <w:rPr>
                <w:sz w:val="20"/>
                <w:szCs w:val="20"/>
              </w:rPr>
              <w:t>Herron Todd White</w:t>
            </w:r>
          </w:p>
        </w:tc>
        <w:tc>
          <w:tcPr>
            <w:tcW w:w="1701" w:type="dxa"/>
          </w:tcPr>
          <w:p w14:paraId="30851C16" w14:textId="77777777" w:rsidR="001C0E7F" w:rsidRPr="00223505" w:rsidRDefault="001C0E7F" w:rsidP="00A11DD3">
            <w:pPr>
              <w:spacing w:before="0" w:after="0"/>
              <w:jc w:val="center"/>
              <w:rPr>
                <w:sz w:val="20"/>
                <w:szCs w:val="20"/>
              </w:rPr>
            </w:pPr>
            <w:r w:rsidRPr="00223505">
              <w:rPr>
                <w:sz w:val="20"/>
                <w:szCs w:val="20"/>
              </w:rPr>
              <w:t>7</w:t>
            </w:r>
          </w:p>
        </w:tc>
        <w:tc>
          <w:tcPr>
            <w:tcW w:w="1701" w:type="dxa"/>
          </w:tcPr>
          <w:p w14:paraId="7D934683" w14:textId="77777777" w:rsidR="001C0E7F" w:rsidRPr="00223505" w:rsidRDefault="001C0E7F" w:rsidP="00A11DD3">
            <w:pPr>
              <w:spacing w:before="0" w:after="0"/>
              <w:jc w:val="center"/>
              <w:rPr>
                <w:sz w:val="20"/>
                <w:szCs w:val="20"/>
              </w:rPr>
            </w:pPr>
            <w:r w:rsidRPr="00223505">
              <w:rPr>
                <w:sz w:val="20"/>
                <w:szCs w:val="20"/>
              </w:rPr>
              <w:t>1</w:t>
            </w:r>
          </w:p>
        </w:tc>
        <w:tc>
          <w:tcPr>
            <w:tcW w:w="1418" w:type="dxa"/>
          </w:tcPr>
          <w:p w14:paraId="16051D95" w14:textId="77777777" w:rsidR="001C0E7F" w:rsidRPr="00223505" w:rsidRDefault="001C0E7F" w:rsidP="00A11DD3">
            <w:pPr>
              <w:spacing w:before="0" w:after="0"/>
              <w:jc w:val="center"/>
              <w:rPr>
                <w:sz w:val="20"/>
                <w:szCs w:val="20"/>
              </w:rPr>
            </w:pPr>
            <w:r w:rsidRPr="00223505">
              <w:rPr>
                <w:sz w:val="20"/>
                <w:szCs w:val="20"/>
              </w:rPr>
              <w:t>87.5</w:t>
            </w:r>
          </w:p>
        </w:tc>
        <w:tc>
          <w:tcPr>
            <w:tcW w:w="1417" w:type="dxa"/>
          </w:tcPr>
          <w:p w14:paraId="5D4C98B2" w14:textId="77777777" w:rsidR="001C0E7F" w:rsidRPr="00223505" w:rsidRDefault="001C0E7F" w:rsidP="00A11DD3">
            <w:pPr>
              <w:spacing w:before="0" w:after="0"/>
              <w:jc w:val="center"/>
              <w:rPr>
                <w:sz w:val="20"/>
                <w:szCs w:val="20"/>
              </w:rPr>
            </w:pPr>
            <w:r w:rsidRPr="00223505">
              <w:rPr>
                <w:sz w:val="20"/>
                <w:szCs w:val="20"/>
              </w:rPr>
              <w:t>12.5</w:t>
            </w:r>
          </w:p>
        </w:tc>
      </w:tr>
      <w:tr w:rsidR="001C0E7F" w:rsidRPr="00223505" w14:paraId="6CF4D2D0" w14:textId="77777777" w:rsidTr="00D055C5">
        <w:trPr>
          <w:trHeight w:val="322"/>
        </w:trPr>
        <w:tc>
          <w:tcPr>
            <w:tcW w:w="3539" w:type="dxa"/>
          </w:tcPr>
          <w:p w14:paraId="0E0E31C5" w14:textId="77777777" w:rsidR="001C0E7F" w:rsidRPr="00223505" w:rsidRDefault="001C0E7F" w:rsidP="00A11DD3">
            <w:pPr>
              <w:spacing w:before="0" w:after="0"/>
              <w:rPr>
                <w:sz w:val="20"/>
                <w:szCs w:val="20"/>
              </w:rPr>
            </w:pPr>
            <w:r w:rsidRPr="00223505">
              <w:rPr>
                <w:sz w:val="20"/>
                <w:szCs w:val="20"/>
              </w:rPr>
              <w:t>Charter Keck Kramer</w:t>
            </w:r>
          </w:p>
        </w:tc>
        <w:tc>
          <w:tcPr>
            <w:tcW w:w="1701" w:type="dxa"/>
          </w:tcPr>
          <w:p w14:paraId="5197FC87" w14:textId="77777777" w:rsidR="001C0E7F" w:rsidRPr="00223505" w:rsidRDefault="001C0E7F" w:rsidP="00A11DD3">
            <w:pPr>
              <w:spacing w:before="0" w:after="0"/>
              <w:jc w:val="center"/>
              <w:rPr>
                <w:sz w:val="20"/>
                <w:szCs w:val="20"/>
              </w:rPr>
            </w:pPr>
            <w:r w:rsidRPr="00223505">
              <w:rPr>
                <w:sz w:val="20"/>
                <w:szCs w:val="20"/>
              </w:rPr>
              <w:t>6</w:t>
            </w:r>
          </w:p>
        </w:tc>
        <w:tc>
          <w:tcPr>
            <w:tcW w:w="1701" w:type="dxa"/>
          </w:tcPr>
          <w:p w14:paraId="4EBF9617" w14:textId="77777777" w:rsidR="001C0E7F" w:rsidRPr="00223505" w:rsidRDefault="001C0E7F" w:rsidP="00A11DD3">
            <w:pPr>
              <w:spacing w:before="0" w:after="0"/>
              <w:jc w:val="center"/>
              <w:rPr>
                <w:sz w:val="20"/>
                <w:szCs w:val="20"/>
              </w:rPr>
            </w:pPr>
            <w:r w:rsidRPr="00223505">
              <w:rPr>
                <w:sz w:val="20"/>
                <w:szCs w:val="20"/>
              </w:rPr>
              <w:t>2</w:t>
            </w:r>
          </w:p>
        </w:tc>
        <w:tc>
          <w:tcPr>
            <w:tcW w:w="1418" w:type="dxa"/>
          </w:tcPr>
          <w:p w14:paraId="26EDE266" w14:textId="77777777" w:rsidR="001C0E7F" w:rsidRPr="00223505" w:rsidRDefault="001C0E7F" w:rsidP="00A11DD3">
            <w:pPr>
              <w:spacing w:before="0" w:after="0"/>
              <w:jc w:val="center"/>
              <w:rPr>
                <w:sz w:val="20"/>
                <w:szCs w:val="20"/>
              </w:rPr>
            </w:pPr>
            <w:r w:rsidRPr="00223505">
              <w:rPr>
                <w:sz w:val="20"/>
                <w:szCs w:val="20"/>
              </w:rPr>
              <w:t>75</w:t>
            </w:r>
          </w:p>
        </w:tc>
        <w:tc>
          <w:tcPr>
            <w:tcW w:w="1417" w:type="dxa"/>
          </w:tcPr>
          <w:p w14:paraId="0F132811" w14:textId="77777777" w:rsidR="001C0E7F" w:rsidRPr="00223505" w:rsidRDefault="001C0E7F" w:rsidP="00A11DD3">
            <w:pPr>
              <w:spacing w:before="0" w:after="0"/>
              <w:jc w:val="center"/>
              <w:rPr>
                <w:sz w:val="20"/>
                <w:szCs w:val="20"/>
              </w:rPr>
            </w:pPr>
            <w:r w:rsidRPr="00223505">
              <w:rPr>
                <w:sz w:val="20"/>
                <w:szCs w:val="20"/>
              </w:rPr>
              <w:t>25</w:t>
            </w:r>
          </w:p>
        </w:tc>
      </w:tr>
      <w:tr w:rsidR="001C0E7F" w:rsidRPr="00223505" w14:paraId="2B230B1F" w14:textId="77777777" w:rsidTr="00D055C5">
        <w:trPr>
          <w:trHeight w:val="338"/>
        </w:trPr>
        <w:tc>
          <w:tcPr>
            <w:tcW w:w="3539" w:type="dxa"/>
          </w:tcPr>
          <w:p w14:paraId="07487013" w14:textId="77777777" w:rsidR="001C0E7F" w:rsidRPr="00223505" w:rsidRDefault="001C0E7F" w:rsidP="00A11DD3">
            <w:pPr>
              <w:spacing w:before="0" w:after="0"/>
              <w:rPr>
                <w:sz w:val="20"/>
                <w:szCs w:val="20"/>
              </w:rPr>
            </w:pPr>
            <w:r w:rsidRPr="00223505">
              <w:rPr>
                <w:sz w:val="20"/>
                <w:szCs w:val="20"/>
              </w:rPr>
              <w:t>M3 Property</w:t>
            </w:r>
          </w:p>
        </w:tc>
        <w:tc>
          <w:tcPr>
            <w:tcW w:w="1701" w:type="dxa"/>
          </w:tcPr>
          <w:p w14:paraId="01003BC8" w14:textId="77777777" w:rsidR="001C0E7F" w:rsidRPr="00223505" w:rsidRDefault="001C0E7F" w:rsidP="00A11DD3">
            <w:pPr>
              <w:spacing w:before="0" w:after="0"/>
              <w:jc w:val="center"/>
              <w:rPr>
                <w:sz w:val="20"/>
                <w:szCs w:val="20"/>
              </w:rPr>
            </w:pPr>
            <w:r w:rsidRPr="00223505">
              <w:rPr>
                <w:sz w:val="20"/>
                <w:szCs w:val="20"/>
              </w:rPr>
              <w:t>4</w:t>
            </w:r>
          </w:p>
        </w:tc>
        <w:tc>
          <w:tcPr>
            <w:tcW w:w="1701" w:type="dxa"/>
          </w:tcPr>
          <w:p w14:paraId="010227F3" w14:textId="77777777" w:rsidR="001C0E7F" w:rsidRPr="00223505" w:rsidRDefault="001C0E7F" w:rsidP="00A11DD3">
            <w:pPr>
              <w:spacing w:before="0" w:after="0"/>
              <w:jc w:val="center"/>
              <w:rPr>
                <w:sz w:val="20"/>
                <w:szCs w:val="20"/>
              </w:rPr>
            </w:pPr>
            <w:r w:rsidRPr="00223505">
              <w:rPr>
                <w:sz w:val="20"/>
                <w:szCs w:val="20"/>
              </w:rPr>
              <w:t>2</w:t>
            </w:r>
          </w:p>
        </w:tc>
        <w:tc>
          <w:tcPr>
            <w:tcW w:w="1418" w:type="dxa"/>
          </w:tcPr>
          <w:p w14:paraId="4AC342E9" w14:textId="77777777" w:rsidR="001C0E7F" w:rsidRPr="00223505" w:rsidRDefault="001C0E7F" w:rsidP="00A11DD3">
            <w:pPr>
              <w:spacing w:before="0" w:after="0"/>
              <w:jc w:val="center"/>
              <w:rPr>
                <w:sz w:val="20"/>
                <w:szCs w:val="20"/>
              </w:rPr>
            </w:pPr>
            <w:r w:rsidRPr="00223505">
              <w:rPr>
                <w:sz w:val="20"/>
                <w:szCs w:val="20"/>
              </w:rPr>
              <w:t>66.67</w:t>
            </w:r>
          </w:p>
        </w:tc>
        <w:tc>
          <w:tcPr>
            <w:tcW w:w="1417" w:type="dxa"/>
          </w:tcPr>
          <w:p w14:paraId="3FEABB5F" w14:textId="77777777" w:rsidR="001C0E7F" w:rsidRPr="00223505" w:rsidRDefault="001C0E7F" w:rsidP="00A11DD3">
            <w:pPr>
              <w:spacing w:before="0" w:after="0"/>
              <w:jc w:val="center"/>
              <w:rPr>
                <w:sz w:val="20"/>
                <w:szCs w:val="20"/>
              </w:rPr>
            </w:pPr>
            <w:r w:rsidRPr="00223505">
              <w:rPr>
                <w:sz w:val="20"/>
                <w:szCs w:val="20"/>
              </w:rPr>
              <w:t>33.33</w:t>
            </w:r>
          </w:p>
        </w:tc>
      </w:tr>
      <w:tr w:rsidR="001C0E7F" w:rsidRPr="00223505" w14:paraId="50768439" w14:textId="77777777" w:rsidTr="00D055C5">
        <w:trPr>
          <w:trHeight w:val="338"/>
        </w:trPr>
        <w:tc>
          <w:tcPr>
            <w:tcW w:w="3539" w:type="dxa"/>
          </w:tcPr>
          <w:p w14:paraId="7A6E7568" w14:textId="77777777" w:rsidR="001C0E7F" w:rsidRPr="00223505" w:rsidRDefault="001C0E7F" w:rsidP="00A11DD3">
            <w:pPr>
              <w:spacing w:before="0" w:after="0"/>
              <w:rPr>
                <w:sz w:val="20"/>
                <w:szCs w:val="20"/>
              </w:rPr>
            </w:pPr>
            <w:r w:rsidRPr="00223505">
              <w:rPr>
                <w:sz w:val="20"/>
                <w:szCs w:val="20"/>
              </w:rPr>
              <w:t>Preston Rowe Paterson (National Directors)</w:t>
            </w:r>
          </w:p>
        </w:tc>
        <w:tc>
          <w:tcPr>
            <w:tcW w:w="1701" w:type="dxa"/>
          </w:tcPr>
          <w:p w14:paraId="7A9B0C1E" w14:textId="77777777" w:rsidR="001C0E7F" w:rsidRPr="00223505" w:rsidRDefault="001C0E7F" w:rsidP="00A11DD3">
            <w:pPr>
              <w:spacing w:before="0" w:after="0"/>
              <w:jc w:val="center"/>
              <w:rPr>
                <w:sz w:val="20"/>
                <w:szCs w:val="20"/>
              </w:rPr>
            </w:pPr>
            <w:r w:rsidRPr="00223505">
              <w:rPr>
                <w:sz w:val="20"/>
                <w:szCs w:val="20"/>
              </w:rPr>
              <w:t>5</w:t>
            </w:r>
          </w:p>
        </w:tc>
        <w:tc>
          <w:tcPr>
            <w:tcW w:w="1701" w:type="dxa"/>
          </w:tcPr>
          <w:p w14:paraId="292CC61F" w14:textId="77777777" w:rsidR="001C0E7F" w:rsidRPr="00223505" w:rsidRDefault="001C0E7F" w:rsidP="00A11DD3">
            <w:pPr>
              <w:spacing w:before="0" w:after="0"/>
              <w:jc w:val="center"/>
              <w:rPr>
                <w:sz w:val="20"/>
                <w:szCs w:val="20"/>
              </w:rPr>
            </w:pPr>
            <w:r w:rsidRPr="00223505">
              <w:rPr>
                <w:sz w:val="20"/>
                <w:szCs w:val="20"/>
              </w:rPr>
              <w:t>0</w:t>
            </w:r>
          </w:p>
        </w:tc>
        <w:tc>
          <w:tcPr>
            <w:tcW w:w="1418" w:type="dxa"/>
          </w:tcPr>
          <w:p w14:paraId="35B96A67" w14:textId="77777777" w:rsidR="001C0E7F" w:rsidRPr="00223505" w:rsidRDefault="001C0E7F" w:rsidP="00A11DD3">
            <w:pPr>
              <w:spacing w:before="0" w:after="0"/>
              <w:jc w:val="center"/>
              <w:rPr>
                <w:sz w:val="20"/>
                <w:szCs w:val="20"/>
              </w:rPr>
            </w:pPr>
            <w:r w:rsidRPr="00223505">
              <w:rPr>
                <w:sz w:val="20"/>
                <w:szCs w:val="20"/>
              </w:rPr>
              <w:t>100</w:t>
            </w:r>
          </w:p>
        </w:tc>
        <w:tc>
          <w:tcPr>
            <w:tcW w:w="1417" w:type="dxa"/>
          </w:tcPr>
          <w:p w14:paraId="2533D4C6" w14:textId="77777777" w:rsidR="001C0E7F" w:rsidRPr="00223505" w:rsidRDefault="001C0E7F" w:rsidP="00A11DD3">
            <w:pPr>
              <w:spacing w:before="0" w:after="0"/>
              <w:jc w:val="center"/>
              <w:rPr>
                <w:sz w:val="20"/>
                <w:szCs w:val="20"/>
              </w:rPr>
            </w:pPr>
            <w:r w:rsidRPr="00223505">
              <w:rPr>
                <w:sz w:val="20"/>
                <w:szCs w:val="20"/>
              </w:rPr>
              <w:t>0</w:t>
            </w:r>
          </w:p>
        </w:tc>
      </w:tr>
      <w:tr w:rsidR="001C0E7F" w:rsidRPr="00223505" w14:paraId="55FC5141" w14:textId="77777777" w:rsidTr="00D055C5">
        <w:trPr>
          <w:trHeight w:val="338"/>
        </w:trPr>
        <w:tc>
          <w:tcPr>
            <w:tcW w:w="3539" w:type="dxa"/>
          </w:tcPr>
          <w:p w14:paraId="6DBB65CE" w14:textId="77777777" w:rsidR="001C0E7F" w:rsidRPr="00223505" w:rsidRDefault="001C0E7F" w:rsidP="00A11DD3">
            <w:pPr>
              <w:spacing w:before="0" w:after="0"/>
              <w:rPr>
                <w:sz w:val="20"/>
                <w:szCs w:val="20"/>
              </w:rPr>
            </w:pPr>
            <w:proofErr w:type="spellStart"/>
            <w:r w:rsidRPr="00223505">
              <w:rPr>
                <w:sz w:val="20"/>
                <w:szCs w:val="20"/>
              </w:rPr>
              <w:t>Opteon</w:t>
            </w:r>
            <w:proofErr w:type="spellEnd"/>
            <w:r w:rsidRPr="00223505">
              <w:rPr>
                <w:sz w:val="20"/>
                <w:szCs w:val="20"/>
              </w:rPr>
              <w:t xml:space="preserve"> Property Group</w:t>
            </w:r>
          </w:p>
        </w:tc>
        <w:tc>
          <w:tcPr>
            <w:tcW w:w="1701" w:type="dxa"/>
          </w:tcPr>
          <w:p w14:paraId="493D8DA4" w14:textId="77777777" w:rsidR="001C0E7F" w:rsidRPr="00223505" w:rsidRDefault="001C0E7F" w:rsidP="00A11DD3">
            <w:pPr>
              <w:spacing w:before="0" w:after="0"/>
              <w:jc w:val="center"/>
              <w:rPr>
                <w:sz w:val="20"/>
                <w:szCs w:val="20"/>
              </w:rPr>
            </w:pPr>
            <w:r w:rsidRPr="00223505">
              <w:rPr>
                <w:sz w:val="20"/>
                <w:szCs w:val="20"/>
              </w:rPr>
              <w:t>7</w:t>
            </w:r>
          </w:p>
        </w:tc>
        <w:tc>
          <w:tcPr>
            <w:tcW w:w="1701" w:type="dxa"/>
          </w:tcPr>
          <w:p w14:paraId="596FA584" w14:textId="77777777" w:rsidR="001C0E7F" w:rsidRPr="00223505" w:rsidRDefault="001C0E7F" w:rsidP="00A11DD3">
            <w:pPr>
              <w:spacing w:before="0" w:after="0"/>
              <w:jc w:val="center"/>
              <w:rPr>
                <w:sz w:val="20"/>
                <w:szCs w:val="20"/>
              </w:rPr>
            </w:pPr>
            <w:r w:rsidRPr="00223505">
              <w:rPr>
                <w:sz w:val="20"/>
                <w:szCs w:val="20"/>
              </w:rPr>
              <w:t>2</w:t>
            </w:r>
          </w:p>
        </w:tc>
        <w:tc>
          <w:tcPr>
            <w:tcW w:w="1418" w:type="dxa"/>
          </w:tcPr>
          <w:p w14:paraId="2B2DAA19" w14:textId="77777777" w:rsidR="001C0E7F" w:rsidRPr="00223505" w:rsidRDefault="001C0E7F" w:rsidP="00A11DD3">
            <w:pPr>
              <w:spacing w:before="0" w:after="0"/>
              <w:jc w:val="center"/>
              <w:rPr>
                <w:sz w:val="20"/>
                <w:szCs w:val="20"/>
              </w:rPr>
            </w:pPr>
            <w:r w:rsidRPr="00223505">
              <w:rPr>
                <w:sz w:val="20"/>
                <w:szCs w:val="20"/>
              </w:rPr>
              <w:t>77.78</w:t>
            </w:r>
          </w:p>
        </w:tc>
        <w:tc>
          <w:tcPr>
            <w:tcW w:w="1417" w:type="dxa"/>
          </w:tcPr>
          <w:p w14:paraId="11E33F33" w14:textId="77777777" w:rsidR="001C0E7F" w:rsidRPr="00223505" w:rsidRDefault="001C0E7F" w:rsidP="00A11DD3">
            <w:pPr>
              <w:spacing w:before="0" w:after="0"/>
              <w:jc w:val="center"/>
              <w:rPr>
                <w:sz w:val="20"/>
                <w:szCs w:val="20"/>
              </w:rPr>
            </w:pPr>
            <w:r w:rsidRPr="00223505">
              <w:rPr>
                <w:sz w:val="20"/>
                <w:szCs w:val="20"/>
              </w:rPr>
              <w:t>22.22</w:t>
            </w:r>
          </w:p>
        </w:tc>
      </w:tr>
      <w:tr w:rsidR="001C0E7F" w:rsidRPr="00223505" w14:paraId="3FFD894B" w14:textId="77777777" w:rsidTr="00D055C5">
        <w:trPr>
          <w:trHeight w:val="338"/>
        </w:trPr>
        <w:tc>
          <w:tcPr>
            <w:tcW w:w="3539" w:type="dxa"/>
          </w:tcPr>
          <w:p w14:paraId="4BC620A0" w14:textId="77777777" w:rsidR="001C0E7F" w:rsidRPr="00223505" w:rsidRDefault="001C0E7F" w:rsidP="00A11DD3">
            <w:pPr>
              <w:spacing w:before="0" w:after="0"/>
              <w:rPr>
                <w:sz w:val="20"/>
                <w:szCs w:val="20"/>
              </w:rPr>
            </w:pPr>
            <w:r w:rsidRPr="00223505">
              <w:rPr>
                <w:sz w:val="20"/>
                <w:szCs w:val="20"/>
              </w:rPr>
              <w:t>Jones Lang LaSalle</w:t>
            </w:r>
          </w:p>
        </w:tc>
        <w:tc>
          <w:tcPr>
            <w:tcW w:w="1701" w:type="dxa"/>
          </w:tcPr>
          <w:p w14:paraId="0ADE7731" w14:textId="77777777" w:rsidR="001C0E7F" w:rsidRPr="00223505" w:rsidRDefault="001C0E7F" w:rsidP="00A11DD3">
            <w:pPr>
              <w:spacing w:before="0" w:after="0"/>
              <w:jc w:val="center"/>
              <w:rPr>
                <w:sz w:val="20"/>
                <w:szCs w:val="20"/>
              </w:rPr>
            </w:pPr>
            <w:r w:rsidRPr="00223505">
              <w:rPr>
                <w:sz w:val="20"/>
                <w:szCs w:val="20"/>
              </w:rPr>
              <w:t>7</w:t>
            </w:r>
          </w:p>
        </w:tc>
        <w:tc>
          <w:tcPr>
            <w:tcW w:w="1701" w:type="dxa"/>
          </w:tcPr>
          <w:p w14:paraId="138F36D8" w14:textId="77777777" w:rsidR="001C0E7F" w:rsidRPr="00223505" w:rsidRDefault="001C0E7F" w:rsidP="00A11DD3">
            <w:pPr>
              <w:spacing w:before="0" w:after="0"/>
              <w:jc w:val="center"/>
              <w:rPr>
                <w:sz w:val="20"/>
                <w:szCs w:val="20"/>
              </w:rPr>
            </w:pPr>
            <w:r w:rsidRPr="00223505">
              <w:rPr>
                <w:sz w:val="20"/>
                <w:szCs w:val="20"/>
              </w:rPr>
              <w:t>5</w:t>
            </w:r>
          </w:p>
        </w:tc>
        <w:tc>
          <w:tcPr>
            <w:tcW w:w="1418" w:type="dxa"/>
          </w:tcPr>
          <w:p w14:paraId="7837BE1A" w14:textId="77777777" w:rsidR="001C0E7F" w:rsidRPr="00223505" w:rsidRDefault="001C0E7F" w:rsidP="00A11DD3">
            <w:pPr>
              <w:spacing w:before="0" w:after="0"/>
              <w:jc w:val="center"/>
              <w:rPr>
                <w:sz w:val="20"/>
                <w:szCs w:val="20"/>
              </w:rPr>
            </w:pPr>
            <w:r w:rsidRPr="00223505">
              <w:rPr>
                <w:sz w:val="20"/>
                <w:szCs w:val="20"/>
              </w:rPr>
              <w:t>58.33</w:t>
            </w:r>
          </w:p>
        </w:tc>
        <w:tc>
          <w:tcPr>
            <w:tcW w:w="1417" w:type="dxa"/>
          </w:tcPr>
          <w:p w14:paraId="0D84F026" w14:textId="77777777" w:rsidR="001C0E7F" w:rsidRPr="00223505" w:rsidRDefault="001C0E7F" w:rsidP="00A11DD3">
            <w:pPr>
              <w:spacing w:before="0" w:after="0"/>
              <w:jc w:val="center"/>
              <w:rPr>
                <w:sz w:val="20"/>
                <w:szCs w:val="20"/>
              </w:rPr>
            </w:pPr>
            <w:r w:rsidRPr="00223505">
              <w:rPr>
                <w:sz w:val="20"/>
                <w:szCs w:val="20"/>
              </w:rPr>
              <w:t>41.67</w:t>
            </w:r>
          </w:p>
        </w:tc>
      </w:tr>
      <w:tr w:rsidR="001C0E7F" w:rsidRPr="00223505" w14:paraId="799D53C3" w14:textId="77777777" w:rsidTr="00D055C5">
        <w:trPr>
          <w:trHeight w:val="338"/>
        </w:trPr>
        <w:tc>
          <w:tcPr>
            <w:tcW w:w="3539" w:type="dxa"/>
          </w:tcPr>
          <w:p w14:paraId="7C88D184" w14:textId="77777777" w:rsidR="001C0E7F" w:rsidRPr="00223505" w:rsidRDefault="001C0E7F" w:rsidP="00A11DD3">
            <w:pPr>
              <w:spacing w:before="0" w:after="0"/>
              <w:rPr>
                <w:sz w:val="20"/>
                <w:szCs w:val="20"/>
              </w:rPr>
            </w:pPr>
            <w:r w:rsidRPr="00223505">
              <w:rPr>
                <w:sz w:val="20"/>
                <w:szCs w:val="20"/>
              </w:rPr>
              <w:t>CBRE</w:t>
            </w:r>
          </w:p>
        </w:tc>
        <w:tc>
          <w:tcPr>
            <w:tcW w:w="1701" w:type="dxa"/>
          </w:tcPr>
          <w:p w14:paraId="27DABBE7" w14:textId="77777777" w:rsidR="001C0E7F" w:rsidRPr="00223505" w:rsidRDefault="001C0E7F" w:rsidP="00A11DD3">
            <w:pPr>
              <w:spacing w:before="0" w:after="0"/>
              <w:jc w:val="center"/>
              <w:rPr>
                <w:sz w:val="20"/>
                <w:szCs w:val="20"/>
              </w:rPr>
            </w:pPr>
            <w:r w:rsidRPr="00223505">
              <w:rPr>
                <w:sz w:val="20"/>
                <w:szCs w:val="20"/>
              </w:rPr>
              <w:t>7</w:t>
            </w:r>
          </w:p>
        </w:tc>
        <w:tc>
          <w:tcPr>
            <w:tcW w:w="1701" w:type="dxa"/>
          </w:tcPr>
          <w:p w14:paraId="0D6745A4" w14:textId="77777777" w:rsidR="001C0E7F" w:rsidRPr="00223505" w:rsidRDefault="001C0E7F" w:rsidP="00A11DD3">
            <w:pPr>
              <w:spacing w:before="0" w:after="0"/>
              <w:jc w:val="center"/>
              <w:rPr>
                <w:sz w:val="20"/>
                <w:szCs w:val="20"/>
              </w:rPr>
            </w:pPr>
            <w:r w:rsidRPr="00223505">
              <w:rPr>
                <w:sz w:val="20"/>
                <w:szCs w:val="20"/>
              </w:rPr>
              <w:t>4</w:t>
            </w:r>
          </w:p>
        </w:tc>
        <w:tc>
          <w:tcPr>
            <w:tcW w:w="1418" w:type="dxa"/>
          </w:tcPr>
          <w:p w14:paraId="4DE76B4F" w14:textId="77777777" w:rsidR="001C0E7F" w:rsidRPr="00223505" w:rsidRDefault="001C0E7F" w:rsidP="00A11DD3">
            <w:pPr>
              <w:spacing w:before="0" w:after="0"/>
              <w:jc w:val="center"/>
              <w:rPr>
                <w:sz w:val="20"/>
                <w:szCs w:val="20"/>
              </w:rPr>
            </w:pPr>
            <w:r w:rsidRPr="00223505">
              <w:rPr>
                <w:sz w:val="20"/>
                <w:szCs w:val="20"/>
              </w:rPr>
              <w:t>63.64</w:t>
            </w:r>
          </w:p>
        </w:tc>
        <w:tc>
          <w:tcPr>
            <w:tcW w:w="1417" w:type="dxa"/>
          </w:tcPr>
          <w:p w14:paraId="420CA185" w14:textId="77777777" w:rsidR="001C0E7F" w:rsidRPr="00223505" w:rsidRDefault="001C0E7F" w:rsidP="00A11DD3">
            <w:pPr>
              <w:spacing w:before="0" w:after="0"/>
              <w:jc w:val="center"/>
              <w:rPr>
                <w:sz w:val="20"/>
                <w:szCs w:val="20"/>
              </w:rPr>
            </w:pPr>
            <w:r w:rsidRPr="00223505">
              <w:rPr>
                <w:sz w:val="20"/>
                <w:szCs w:val="20"/>
              </w:rPr>
              <w:t>36.36</w:t>
            </w:r>
          </w:p>
        </w:tc>
      </w:tr>
      <w:tr w:rsidR="001C0E7F" w:rsidRPr="00223505" w14:paraId="69995E82" w14:textId="77777777" w:rsidTr="00D055C5">
        <w:trPr>
          <w:trHeight w:val="322"/>
        </w:trPr>
        <w:tc>
          <w:tcPr>
            <w:tcW w:w="3539" w:type="dxa"/>
          </w:tcPr>
          <w:p w14:paraId="23A367FD" w14:textId="77777777" w:rsidR="001C0E7F" w:rsidRPr="00223505" w:rsidRDefault="001C0E7F" w:rsidP="00A11DD3">
            <w:pPr>
              <w:spacing w:before="0" w:after="0"/>
              <w:rPr>
                <w:sz w:val="20"/>
                <w:szCs w:val="20"/>
              </w:rPr>
            </w:pPr>
            <w:r w:rsidRPr="00223505">
              <w:rPr>
                <w:sz w:val="20"/>
                <w:szCs w:val="20"/>
              </w:rPr>
              <w:t>Knight Frank</w:t>
            </w:r>
          </w:p>
        </w:tc>
        <w:tc>
          <w:tcPr>
            <w:tcW w:w="1701" w:type="dxa"/>
          </w:tcPr>
          <w:p w14:paraId="4ED90A09" w14:textId="77777777" w:rsidR="001C0E7F" w:rsidRPr="00223505" w:rsidRDefault="001C0E7F" w:rsidP="00A11DD3">
            <w:pPr>
              <w:spacing w:before="0" w:after="0"/>
              <w:jc w:val="center"/>
              <w:rPr>
                <w:sz w:val="20"/>
                <w:szCs w:val="20"/>
              </w:rPr>
            </w:pPr>
            <w:r w:rsidRPr="00223505">
              <w:rPr>
                <w:sz w:val="20"/>
                <w:szCs w:val="20"/>
              </w:rPr>
              <w:t>6</w:t>
            </w:r>
          </w:p>
        </w:tc>
        <w:tc>
          <w:tcPr>
            <w:tcW w:w="1701" w:type="dxa"/>
          </w:tcPr>
          <w:p w14:paraId="7762CCCA" w14:textId="77777777" w:rsidR="001C0E7F" w:rsidRPr="00223505" w:rsidRDefault="001C0E7F" w:rsidP="00A11DD3">
            <w:pPr>
              <w:spacing w:before="0" w:after="0"/>
              <w:jc w:val="center"/>
              <w:rPr>
                <w:sz w:val="20"/>
                <w:szCs w:val="20"/>
              </w:rPr>
            </w:pPr>
            <w:r w:rsidRPr="00223505">
              <w:rPr>
                <w:sz w:val="20"/>
                <w:szCs w:val="20"/>
              </w:rPr>
              <w:t>2</w:t>
            </w:r>
          </w:p>
        </w:tc>
        <w:tc>
          <w:tcPr>
            <w:tcW w:w="1418" w:type="dxa"/>
          </w:tcPr>
          <w:p w14:paraId="24575333" w14:textId="77777777" w:rsidR="001C0E7F" w:rsidRPr="00223505" w:rsidRDefault="001C0E7F" w:rsidP="00A11DD3">
            <w:pPr>
              <w:spacing w:before="0" w:after="0"/>
              <w:jc w:val="center"/>
              <w:rPr>
                <w:sz w:val="20"/>
                <w:szCs w:val="20"/>
              </w:rPr>
            </w:pPr>
            <w:r w:rsidRPr="00223505">
              <w:rPr>
                <w:sz w:val="20"/>
                <w:szCs w:val="20"/>
              </w:rPr>
              <w:t>75</w:t>
            </w:r>
          </w:p>
        </w:tc>
        <w:tc>
          <w:tcPr>
            <w:tcW w:w="1417" w:type="dxa"/>
          </w:tcPr>
          <w:p w14:paraId="451FA212" w14:textId="77777777" w:rsidR="001C0E7F" w:rsidRPr="00223505" w:rsidRDefault="001C0E7F" w:rsidP="00A11DD3">
            <w:pPr>
              <w:spacing w:before="0" w:after="0"/>
              <w:jc w:val="center"/>
              <w:rPr>
                <w:sz w:val="20"/>
                <w:szCs w:val="20"/>
              </w:rPr>
            </w:pPr>
            <w:r w:rsidRPr="00223505">
              <w:rPr>
                <w:sz w:val="20"/>
                <w:szCs w:val="20"/>
              </w:rPr>
              <w:t>25</w:t>
            </w:r>
          </w:p>
        </w:tc>
      </w:tr>
      <w:tr w:rsidR="001C0E7F" w:rsidRPr="00223505" w14:paraId="1FDF0794" w14:textId="77777777" w:rsidTr="00D055C5">
        <w:trPr>
          <w:trHeight w:val="338"/>
        </w:trPr>
        <w:tc>
          <w:tcPr>
            <w:tcW w:w="3539" w:type="dxa"/>
          </w:tcPr>
          <w:p w14:paraId="3BCB967D" w14:textId="77777777" w:rsidR="001C0E7F" w:rsidRPr="00223505" w:rsidRDefault="001C0E7F" w:rsidP="00A11DD3">
            <w:pPr>
              <w:spacing w:before="0" w:after="0"/>
              <w:rPr>
                <w:sz w:val="20"/>
                <w:szCs w:val="20"/>
              </w:rPr>
            </w:pPr>
            <w:r w:rsidRPr="00223505">
              <w:rPr>
                <w:sz w:val="20"/>
                <w:szCs w:val="20"/>
              </w:rPr>
              <w:t>Deloitte</w:t>
            </w:r>
          </w:p>
        </w:tc>
        <w:tc>
          <w:tcPr>
            <w:tcW w:w="1701" w:type="dxa"/>
          </w:tcPr>
          <w:p w14:paraId="0C591D85" w14:textId="77777777" w:rsidR="001C0E7F" w:rsidRPr="00223505" w:rsidRDefault="001C0E7F" w:rsidP="00A11DD3">
            <w:pPr>
              <w:spacing w:before="0" w:after="0"/>
              <w:jc w:val="center"/>
              <w:rPr>
                <w:sz w:val="20"/>
                <w:szCs w:val="20"/>
              </w:rPr>
            </w:pPr>
            <w:r w:rsidRPr="00223505">
              <w:rPr>
                <w:sz w:val="20"/>
                <w:szCs w:val="20"/>
              </w:rPr>
              <w:t>5</w:t>
            </w:r>
          </w:p>
        </w:tc>
        <w:tc>
          <w:tcPr>
            <w:tcW w:w="1701" w:type="dxa"/>
          </w:tcPr>
          <w:p w14:paraId="51CE1E34" w14:textId="77777777" w:rsidR="001C0E7F" w:rsidRPr="00223505" w:rsidRDefault="001C0E7F" w:rsidP="00A11DD3">
            <w:pPr>
              <w:spacing w:before="0" w:after="0"/>
              <w:jc w:val="center"/>
              <w:rPr>
                <w:sz w:val="20"/>
                <w:szCs w:val="20"/>
              </w:rPr>
            </w:pPr>
            <w:r w:rsidRPr="00223505">
              <w:rPr>
                <w:sz w:val="20"/>
                <w:szCs w:val="20"/>
              </w:rPr>
              <w:t>5</w:t>
            </w:r>
          </w:p>
        </w:tc>
        <w:tc>
          <w:tcPr>
            <w:tcW w:w="1418" w:type="dxa"/>
          </w:tcPr>
          <w:p w14:paraId="6B699524" w14:textId="77777777" w:rsidR="001C0E7F" w:rsidRPr="00223505" w:rsidRDefault="001C0E7F" w:rsidP="00A11DD3">
            <w:pPr>
              <w:spacing w:before="0" w:after="0"/>
              <w:jc w:val="center"/>
              <w:rPr>
                <w:sz w:val="20"/>
                <w:szCs w:val="20"/>
              </w:rPr>
            </w:pPr>
            <w:r w:rsidRPr="00223505">
              <w:rPr>
                <w:sz w:val="20"/>
                <w:szCs w:val="20"/>
              </w:rPr>
              <w:t>50</w:t>
            </w:r>
          </w:p>
        </w:tc>
        <w:tc>
          <w:tcPr>
            <w:tcW w:w="1417" w:type="dxa"/>
          </w:tcPr>
          <w:p w14:paraId="4C8B87A1" w14:textId="77777777" w:rsidR="001C0E7F" w:rsidRPr="00223505" w:rsidRDefault="001C0E7F" w:rsidP="00A11DD3">
            <w:pPr>
              <w:spacing w:before="0" w:after="0"/>
              <w:jc w:val="center"/>
              <w:rPr>
                <w:sz w:val="20"/>
                <w:szCs w:val="20"/>
              </w:rPr>
            </w:pPr>
            <w:r w:rsidRPr="00223505">
              <w:rPr>
                <w:sz w:val="20"/>
                <w:szCs w:val="20"/>
              </w:rPr>
              <w:t>50</w:t>
            </w:r>
          </w:p>
        </w:tc>
      </w:tr>
      <w:tr w:rsidR="001C0E7F" w:rsidRPr="00223505" w14:paraId="1E015216" w14:textId="77777777" w:rsidTr="00D055C5">
        <w:trPr>
          <w:trHeight w:val="338"/>
        </w:trPr>
        <w:tc>
          <w:tcPr>
            <w:tcW w:w="3539" w:type="dxa"/>
          </w:tcPr>
          <w:p w14:paraId="4A32754F" w14:textId="77777777" w:rsidR="001C0E7F" w:rsidRPr="00223505" w:rsidRDefault="001C0E7F" w:rsidP="00A11DD3">
            <w:pPr>
              <w:spacing w:before="0" w:after="0"/>
              <w:rPr>
                <w:sz w:val="20"/>
                <w:szCs w:val="20"/>
              </w:rPr>
            </w:pPr>
            <w:r w:rsidRPr="00223505">
              <w:rPr>
                <w:sz w:val="20"/>
                <w:szCs w:val="20"/>
              </w:rPr>
              <w:t>Urbis</w:t>
            </w:r>
          </w:p>
        </w:tc>
        <w:tc>
          <w:tcPr>
            <w:tcW w:w="1701" w:type="dxa"/>
          </w:tcPr>
          <w:p w14:paraId="0CCB288D" w14:textId="77777777" w:rsidR="001C0E7F" w:rsidRPr="00223505" w:rsidRDefault="001C0E7F" w:rsidP="00A11DD3">
            <w:pPr>
              <w:spacing w:before="0" w:after="0"/>
              <w:jc w:val="center"/>
              <w:rPr>
                <w:sz w:val="20"/>
                <w:szCs w:val="20"/>
              </w:rPr>
            </w:pPr>
            <w:r w:rsidRPr="00223505">
              <w:rPr>
                <w:sz w:val="20"/>
                <w:szCs w:val="20"/>
              </w:rPr>
              <w:t>6</w:t>
            </w:r>
          </w:p>
        </w:tc>
        <w:tc>
          <w:tcPr>
            <w:tcW w:w="1701" w:type="dxa"/>
          </w:tcPr>
          <w:p w14:paraId="68DF5C52" w14:textId="77777777" w:rsidR="001C0E7F" w:rsidRPr="00223505" w:rsidRDefault="001C0E7F" w:rsidP="00A11DD3">
            <w:pPr>
              <w:spacing w:before="0" w:after="0"/>
              <w:jc w:val="center"/>
              <w:rPr>
                <w:sz w:val="20"/>
                <w:szCs w:val="20"/>
              </w:rPr>
            </w:pPr>
            <w:r w:rsidRPr="00223505">
              <w:rPr>
                <w:sz w:val="20"/>
                <w:szCs w:val="20"/>
              </w:rPr>
              <w:t>3</w:t>
            </w:r>
          </w:p>
        </w:tc>
        <w:tc>
          <w:tcPr>
            <w:tcW w:w="1418" w:type="dxa"/>
          </w:tcPr>
          <w:p w14:paraId="5BE5B158" w14:textId="77777777" w:rsidR="001C0E7F" w:rsidRPr="00223505" w:rsidRDefault="001C0E7F" w:rsidP="00A11DD3">
            <w:pPr>
              <w:spacing w:before="0" w:after="0"/>
              <w:jc w:val="center"/>
              <w:rPr>
                <w:sz w:val="20"/>
                <w:szCs w:val="20"/>
              </w:rPr>
            </w:pPr>
            <w:r w:rsidRPr="00223505">
              <w:rPr>
                <w:sz w:val="20"/>
                <w:szCs w:val="20"/>
              </w:rPr>
              <w:t>66.67</w:t>
            </w:r>
          </w:p>
        </w:tc>
        <w:tc>
          <w:tcPr>
            <w:tcW w:w="1417" w:type="dxa"/>
          </w:tcPr>
          <w:p w14:paraId="15D16AF7" w14:textId="77777777" w:rsidR="001C0E7F" w:rsidRPr="00223505" w:rsidRDefault="001C0E7F" w:rsidP="00A11DD3">
            <w:pPr>
              <w:spacing w:before="0" w:after="0"/>
              <w:jc w:val="center"/>
              <w:rPr>
                <w:sz w:val="20"/>
                <w:szCs w:val="20"/>
              </w:rPr>
            </w:pPr>
            <w:r w:rsidRPr="00223505">
              <w:rPr>
                <w:sz w:val="20"/>
                <w:szCs w:val="20"/>
              </w:rPr>
              <w:t>33.33</w:t>
            </w:r>
          </w:p>
        </w:tc>
      </w:tr>
      <w:tr w:rsidR="001C0E7F" w:rsidRPr="00223505" w14:paraId="2BDEE1DA" w14:textId="77777777" w:rsidTr="00D055C5">
        <w:trPr>
          <w:trHeight w:val="338"/>
        </w:trPr>
        <w:tc>
          <w:tcPr>
            <w:tcW w:w="3539" w:type="dxa"/>
          </w:tcPr>
          <w:p w14:paraId="33B6CCFE" w14:textId="77777777" w:rsidR="001C0E7F" w:rsidRPr="00223505" w:rsidRDefault="001C0E7F" w:rsidP="00A11DD3">
            <w:pPr>
              <w:spacing w:before="0" w:after="0"/>
              <w:rPr>
                <w:sz w:val="20"/>
                <w:szCs w:val="20"/>
              </w:rPr>
            </w:pPr>
            <w:r w:rsidRPr="00223505">
              <w:rPr>
                <w:sz w:val="20"/>
                <w:szCs w:val="20"/>
              </w:rPr>
              <w:t>Colliers International</w:t>
            </w:r>
          </w:p>
        </w:tc>
        <w:tc>
          <w:tcPr>
            <w:tcW w:w="1701" w:type="dxa"/>
          </w:tcPr>
          <w:p w14:paraId="06E2EC31" w14:textId="77777777" w:rsidR="001C0E7F" w:rsidRPr="00223505" w:rsidRDefault="001C0E7F" w:rsidP="00A11DD3">
            <w:pPr>
              <w:spacing w:before="0" w:after="0"/>
              <w:jc w:val="center"/>
              <w:rPr>
                <w:sz w:val="20"/>
                <w:szCs w:val="20"/>
              </w:rPr>
            </w:pPr>
            <w:r w:rsidRPr="00223505">
              <w:rPr>
                <w:sz w:val="20"/>
                <w:szCs w:val="20"/>
              </w:rPr>
              <w:t>7</w:t>
            </w:r>
          </w:p>
        </w:tc>
        <w:tc>
          <w:tcPr>
            <w:tcW w:w="1701" w:type="dxa"/>
          </w:tcPr>
          <w:p w14:paraId="4A8BC4F4" w14:textId="77777777" w:rsidR="001C0E7F" w:rsidRPr="00223505" w:rsidRDefault="001C0E7F" w:rsidP="00A11DD3">
            <w:pPr>
              <w:spacing w:before="0" w:after="0"/>
              <w:jc w:val="center"/>
              <w:rPr>
                <w:sz w:val="20"/>
                <w:szCs w:val="20"/>
              </w:rPr>
            </w:pPr>
            <w:r w:rsidRPr="00223505">
              <w:rPr>
                <w:sz w:val="20"/>
                <w:szCs w:val="20"/>
              </w:rPr>
              <w:t>3</w:t>
            </w:r>
          </w:p>
        </w:tc>
        <w:tc>
          <w:tcPr>
            <w:tcW w:w="1418" w:type="dxa"/>
          </w:tcPr>
          <w:p w14:paraId="6F0FA479" w14:textId="77777777" w:rsidR="001C0E7F" w:rsidRPr="00223505" w:rsidRDefault="001C0E7F" w:rsidP="00A11DD3">
            <w:pPr>
              <w:spacing w:before="0" w:after="0"/>
              <w:jc w:val="center"/>
              <w:rPr>
                <w:sz w:val="20"/>
                <w:szCs w:val="20"/>
              </w:rPr>
            </w:pPr>
            <w:r w:rsidRPr="00223505">
              <w:rPr>
                <w:sz w:val="20"/>
                <w:szCs w:val="20"/>
              </w:rPr>
              <w:t>70</w:t>
            </w:r>
          </w:p>
        </w:tc>
        <w:tc>
          <w:tcPr>
            <w:tcW w:w="1417" w:type="dxa"/>
          </w:tcPr>
          <w:p w14:paraId="46259C02" w14:textId="77777777" w:rsidR="001C0E7F" w:rsidRPr="00223505" w:rsidRDefault="001C0E7F" w:rsidP="00A11DD3">
            <w:pPr>
              <w:spacing w:before="0" w:after="0"/>
              <w:jc w:val="center"/>
              <w:rPr>
                <w:sz w:val="20"/>
                <w:szCs w:val="20"/>
              </w:rPr>
            </w:pPr>
            <w:r w:rsidRPr="00223505">
              <w:rPr>
                <w:sz w:val="20"/>
                <w:szCs w:val="20"/>
              </w:rPr>
              <w:t>30</w:t>
            </w:r>
          </w:p>
        </w:tc>
      </w:tr>
      <w:tr w:rsidR="001C0E7F" w:rsidRPr="00223505" w14:paraId="058987EB" w14:textId="77777777" w:rsidTr="00D055C5">
        <w:trPr>
          <w:trHeight w:val="338"/>
        </w:trPr>
        <w:tc>
          <w:tcPr>
            <w:tcW w:w="3539" w:type="dxa"/>
          </w:tcPr>
          <w:p w14:paraId="208B3BF8" w14:textId="77777777" w:rsidR="001C0E7F" w:rsidRPr="00223505" w:rsidRDefault="001C0E7F" w:rsidP="00A11DD3">
            <w:pPr>
              <w:spacing w:before="0" w:after="0"/>
              <w:rPr>
                <w:sz w:val="20"/>
                <w:szCs w:val="20"/>
              </w:rPr>
            </w:pPr>
            <w:r w:rsidRPr="00223505">
              <w:rPr>
                <w:sz w:val="20"/>
                <w:szCs w:val="20"/>
              </w:rPr>
              <w:t>Savills</w:t>
            </w:r>
          </w:p>
        </w:tc>
        <w:tc>
          <w:tcPr>
            <w:tcW w:w="1701" w:type="dxa"/>
          </w:tcPr>
          <w:p w14:paraId="18884F6B" w14:textId="77777777" w:rsidR="001C0E7F" w:rsidRPr="00223505" w:rsidRDefault="001C0E7F" w:rsidP="00A11DD3">
            <w:pPr>
              <w:spacing w:before="0" w:after="0"/>
              <w:jc w:val="center"/>
              <w:rPr>
                <w:sz w:val="20"/>
                <w:szCs w:val="20"/>
              </w:rPr>
            </w:pPr>
            <w:r w:rsidRPr="00223505">
              <w:rPr>
                <w:sz w:val="20"/>
                <w:szCs w:val="20"/>
              </w:rPr>
              <w:t>5</w:t>
            </w:r>
          </w:p>
        </w:tc>
        <w:tc>
          <w:tcPr>
            <w:tcW w:w="1701" w:type="dxa"/>
          </w:tcPr>
          <w:p w14:paraId="405B89CC" w14:textId="77777777" w:rsidR="001C0E7F" w:rsidRPr="00223505" w:rsidRDefault="001C0E7F" w:rsidP="00A11DD3">
            <w:pPr>
              <w:spacing w:before="0" w:after="0"/>
              <w:jc w:val="center"/>
              <w:rPr>
                <w:sz w:val="20"/>
                <w:szCs w:val="20"/>
              </w:rPr>
            </w:pPr>
            <w:r w:rsidRPr="00223505">
              <w:rPr>
                <w:sz w:val="20"/>
                <w:szCs w:val="20"/>
              </w:rPr>
              <w:t>3</w:t>
            </w:r>
          </w:p>
        </w:tc>
        <w:tc>
          <w:tcPr>
            <w:tcW w:w="1418" w:type="dxa"/>
          </w:tcPr>
          <w:p w14:paraId="12C22D5B" w14:textId="77777777" w:rsidR="001C0E7F" w:rsidRPr="00223505" w:rsidRDefault="001C0E7F" w:rsidP="00A11DD3">
            <w:pPr>
              <w:spacing w:before="0" w:after="0"/>
              <w:jc w:val="center"/>
              <w:rPr>
                <w:sz w:val="20"/>
                <w:szCs w:val="20"/>
              </w:rPr>
            </w:pPr>
            <w:r w:rsidRPr="00223505">
              <w:rPr>
                <w:sz w:val="20"/>
                <w:szCs w:val="20"/>
              </w:rPr>
              <w:t>62.5</w:t>
            </w:r>
          </w:p>
        </w:tc>
        <w:tc>
          <w:tcPr>
            <w:tcW w:w="1417" w:type="dxa"/>
          </w:tcPr>
          <w:p w14:paraId="3E52B228" w14:textId="77777777" w:rsidR="001C0E7F" w:rsidRPr="00223505" w:rsidRDefault="001C0E7F" w:rsidP="00A11DD3">
            <w:pPr>
              <w:spacing w:before="0" w:after="0"/>
              <w:jc w:val="center"/>
              <w:rPr>
                <w:sz w:val="20"/>
                <w:szCs w:val="20"/>
              </w:rPr>
            </w:pPr>
            <w:r w:rsidRPr="00223505">
              <w:rPr>
                <w:sz w:val="20"/>
                <w:szCs w:val="20"/>
              </w:rPr>
              <w:t>37.5</w:t>
            </w:r>
          </w:p>
        </w:tc>
      </w:tr>
      <w:tr w:rsidR="001C0E7F" w:rsidRPr="00223505" w14:paraId="73887EF3" w14:textId="77777777" w:rsidTr="00D055C5">
        <w:trPr>
          <w:trHeight w:val="338"/>
        </w:trPr>
        <w:tc>
          <w:tcPr>
            <w:tcW w:w="3539" w:type="dxa"/>
          </w:tcPr>
          <w:p w14:paraId="082FFE9E" w14:textId="77777777" w:rsidR="001C0E7F" w:rsidRPr="00223505" w:rsidRDefault="001C0E7F" w:rsidP="00A11DD3">
            <w:pPr>
              <w:spacing w:before="0" w:after="0"/>
              <w:rPr>
                <w:sz w:val="20"/>
                <w:szCs w:val="20"/>
              </w:rPr>
            </w:pPr>
            <w:r w:rsidRPr="00223505">
              <w:rPr>
                <w:sz w:val="20"/>
                <w:szCs w:val="20"/>
              </w:rPr>
              <w:t>BMT Property Valuers and Quantity Surveyors</w:t>
            </w:r>
          </w:p>
        </w:tc>
        <w:tc>
          <w:tcPr>
            <w:tcW w:w="1701" w:type="dxa"/>
          </w:tcPr>
          <w:p w14:paraId="3447A860" w14:textId="77777777" w:rsidR="001C0E7F" w:rsidRPr="00223505" w:rsidRDefault="001C0E7F" w:rsidP="00A11DD3">
            <w:pPr>
              <w:spacing w:before="0" w:after="0"/>
              <w:jc w:val="center"/>
              <w:rPr>
                <w:sz w:val="20"/>
                <w:szCs w:val="20"/>
              </w:rPr>
            </w:pPr>
            <w:r w:rsidRPr="00223505">
              <w:rPr>
                <w:sz w:val="20"/>
                <w:szCs w:val="20"/>
              </w:rPr>
              <w:t>-</w:t>
            </w:r>
          </w:p>
        </w:tc>
        <w:tc>
          <w:tcPr>
            <w:tcW w:w="1701" w:type="dxa"/>
          </w:tcPr>
          <w:p w14:paraId="3C132E76" w14:textId="77777777" w:rsidR="001C0E7F" w:rsidRPr="00223505" w:rsidRDefault="001C0E7F" w:rsidP="00A11DD3">
            <w:pPr>
              <w:spacing w:before="0" w:after="0"/>
              <w:jc w:val="center"/>
              <w:rPr>
                <w:sz w:val="20"/>
                <w:szCs w:val="20"/>
              </w:rPr>
            </w:pPr>
            <w:r w:rsidRPr="00223505">
              <w:rPr>
                <w:sz w:val="20"/>
                <w:szCs w:val="20"/>
              </w:rPr>
              <w:t>-</w:t>
            </w:r>
          </w:p>
        </w:tc>
        <w:tc>
          <w:tcPr>
            <w:tcW w:w="1418" w:type="dxa"/>
          </w:tcPr>
          <w:p w14:paraId="46EA3890" w14:textId="77777777" w:rsidR="001C0E7F" w:rsidRPr="00223505" w:rsidRDefault="001C0E7F" w:rsidP="00A11DD3">
            <w:pPr>
              <w:spacing w:before="0" w:after="0"/>
              <w:jc w:val="center"/>
              <w:rPr>
                <w:sz w:val="20"/>
                <w:szCs w:val="20"/>
              </w:rPr>
            </w:pPr>
            <w:r w:rsidRPr="00223505">
              <w:rPr>
                <w:sz w:val="20"/>
                <w:szCs w:val="20"/>
              </w:rPr>
              <w:t>-</w:t>
            </w:r>
          </w:p>
        </w:tc>
        <w:tc>
          <w:tcPr>
            <w:tcW w:w="1417" w:type="dxa"/>
          </w:tcPr>
          <w:p w14:paraId="2288C208" w14:textId="77777777" w:rsidR="001C0E7F" w:rsidRPr="00223505" w:rsidRDefault="001C0E7F" w:rsidP="00A11DD3">
            <w:pPr>
              <w:spacing w:before="0" w:after="0"/>
              <w:jc w:val="center"/>
              <w:rPr>
                <w:sz w:val="20"/>
                <w:szCs w:val="20"/>
              </w:rPr>
            </w:pPr>
            <w:r w:rsidRPr="00223505">
              <w:rPr>
                <w:sz w:val="20"/>
                <w:szCs w:val="20"/>
              </w:rPr>
              <w:t>-</w:t>
            </w:r>
          </w:p>
        </w:tc>
      </w:tr>
      <w:tr w:rsidR="001C0E7F" w:rsidRPr="00223505" w14:paraId="23B4DF72" w14:textId="77777777" w:rsidTr="00D055C5">
        <w:trPr>
          <w:trHeight w:val="322"/>
        </w:trPr>
        <w:tc>
          <w:tcPr>
            <w:tcW w:w="3539" w:type="dxa"/>
          </w:tcPr>
          <w:p w14:paraId="567B2C82" w14:textId="77777777" w:rsidR="001C0E7F" w:rsidRPr="00223505" w:rsidRDefault="001C0E7F" w:rsidP="00A11DD3">
            <w:pPr>
              <w:spacing w:before="0" w:after="0"/>
              <w:rPr>
                <w:sz w:val="20"/>
                <w:szCs w:val="20"/>
              </w:rPr>
            </w:pPr>
            <w:r w:rsidRPr="00223505">
              <w:rPr>
                <w:sz w:val="20"/>
                <w:szCs w:val="20"/>
              </w:rPr>
              <w:t>WBP Group Pty Ltd</w:t>
            </w:r>
          </w:p>
        </w:tc>
        <w:tc>
          <w:tcPr>
            <w:tcW w:w="1701" w:type="dxa"/>
          </w:tcPr>
          <w:p w14:paraId="4E67575C" w14:textId="77777777" w:rsidR="001C0E7F" w:rsidRPr="00223505" w:rsidRDefault="001C0E7F" w:rsidP="00A11DD3">
            <w:pPr>
              <w:spacing w:before="0" w:after="0"/>
              <w:jc w:val="center"/>
              <w:rPr>
                <w:sz w:val="20"/>
                <w:szCs w:val="20"/>
              </w:rPr>
            </w:pPr>
            <w:r w:rsidRPr="00223505">
              <w:rPr>
                <w:sz w:val="20"/>
                <w:szCs w:val="20"/>
              </w:rPr>
              <w:t>2</w:t>
            </w:r>
          </w:p>
        </w:tc>
        <w:tc>
          <w:tcPr>
            <w:tcW w:w="1701" w:type="dxa"/>
          </w:tcPr>
          <w:p w14:paraId="6D8F3FFB" w14:textId="77777777" w:rsidR="001C0E7F" w:rsidRPr="00223505" w:rsidRDefault="001C0E7F" w:rsidP="00A11DD3">
            <w:pPr>
              <w:spacing w:before="0" w:after="0"/>
              <w:jc w:val="center"/>
              <w:rPr>
                <w:sz w:val="20"/>
                <w:szCs w:val="20"/>
              </w:rPr>
            </w:pPr>
            <w:r w:rsidRPr="00223505">
              <w:rPr>
                <w:sz w:val="20"/>
                <w:szCs w:val="20"/>
              </w:rPr>
              <w:t>0</w:t>
            </w:r>
          </w:p>
        </w:tc>
        <w:tc>
          <w:tcPr>
            <w:tcW w:w="1418" w:type="dxa"/>
          </w:tcPr>
          <w:p w14:paraId="2B967F0A" w14:textId="77777777" w:rsidR="001C0E7F" w:rsidRPr="00223505" w:rsidRDefault="001C0E7F" w:rsidP="00A11DD3">
            <w:pPr>
              <w:spacing w:before="0" w:after="0"/>
              <w:jc w:val="center"/>
              <w:rPr>
                <w:sz w:val="20"/>
                <w:szCs w:val="20"/>
              </w:rPr>
            </w:pPr>
            <w:r w:rsidRPr="00223505">
              <w:rPr>
                <w:sz w:val="20"/>
                <w:szCs w:val="20"/>
              </w:rPr>
              <w:t>100</w:t>
            </w:r>
          </w:p>
        </w:tc>
        <w:tc>
          <w:tcPr>
            <w:tcW w:w="1417" w:type="dxa"/>
          </w:tcPr>
          <w:p w14:paraId="47946A0A" w14:textId="77777777" w:rsidR="001C0E7F" w:rsidRPr="00223505" w:rsidRDefault="001C0E7F" w:rsidP="00A11DD3">
            <w:pPr>
              <w:spacing w:before="0" w:after="0"/>
              <w:jc w:val="center"/>
              <w:rPr>
                <w:sz w:val="20"/>
                <w:szCs w:val="20"/>
              </w:rPr>
            </w:pPr>
            <w:r w:rsidRPr="00223505">
              <w:rPr>
                <w:sz w:val="20"/>
                <w:szCs w:val="20"/>
              </w:rPr>
              <w:t>0</w:t>
            </w:r>
          </w:p>
        </w:tc>
      </w:tr>
      <w:tr w:rsidR="001C0E7F" w:rsidRPr="00223505" w14:paraId="0E902FBB" w14:textId="77777777" w:rsidTr="00D055C5">
        <w:trPr>
          <w:trHeight w:val="122"/>
        </w:trPr>
        <w:tc>
          <w:tcPr>
            <w:tcW w:w="3539" w:type="dxa"/>
          </w:tcPr>
          <w:p w14:paraId="6CECDBC6" w14:textId="77777777" w:rsidR="001C0E7F" w:rsidRPr="00223505" w:rsidRDefault="001C0E7F" w:rsidP="00A11DD3">
            <w:pPr>
              <w:spacing w:before="0" w:after="0"/>
              <w:rPr>
                <w:sz w:val="20"/>
                <w:szCs w:val="20"/>
              </w:rPr>
            </w:pPr>
            <w:r w:rsidRPr="00223505">
              <w:rPr>
                <w:sz w:val="20"/>
                <w:szCs w:val="20"/>
              </w:rPr>
              <w:t>Valuations Vic (including Valuations NSW, QLD, NT, TAS, SA, ACT and West Coast Valuers)</w:t>
            </w:r>
          </w:p>
        </w:tc>
        <w:tc>
          <w:tcPr>
            <w:tcW w:w="1701" w:type="dxa"/>
          </w:tcPr>
          <w:p w14:paraId="55B82015" w14:textId="77777777" w:rsidR="001C0E7F" w:rsidRPr="00223505" w:rsidRDefault="001C0E7F" w:rsidP="00A11DD3">
            <w:pPr>
              <w:spacing w:before="0" w:after="0"/>
              <w:jc w:val="center"/>
              <w:rPr>
                <w:sz w:val="20"/>
                <w:szCs w:val="20"/>
              </w:rPr>
            </w:pPr>
            <w:r w:rsidRPr="00223505">
              <w:rPr>
                <w:sz w:val="20"/>
                <w:szCs w:val="20"/>
              </w:rPr>
              <w:t>-</w:t>
            </w:r>
          </w:p>
        </w:tc>
        <w:tc>
          <w:tcPr>
            <w:tcW w:w="1701" w:type="dxa"/>
          </w:tcPr>
          <w:p w14:paraId="13B3A7DD" w14:textId="77777777" w:rsidR="001C0E7F" w:rsidRPr="00223505" w:rsidRDefault="001C0E7F" w:rsidP="00A11DD3">
            <w:pPr>
              <w:spacing w:before="0" w:after="0"/>
              <w:jc w:val="center"/>
              <w:rPr>
                <w:sz w:val="20"/>
                <w:szCs w:val="20"/>
              </w:rPr>
            </w:pPr>
            <w:r w:rsidRPr="00223505">
              <w:rPr>
                <w:sz w:val="20"/>
                <w:szCs w:val="20"/>
              </w:rPr>
              <w:t>-</w:t>
            </w:r>
          </w:p>
        </w:tc>
        <w:tc>
          <w:tcPr>
            <w:tcW w:w="1418" w:type="dxa"/>
          </w:tcPr>
          <w:p w14:paraId="6E3B81C7" w14:textId="77777777" w:rsidR="001C0E7F" w:rsidRPr="00223505" w:rsidRDefault="001C0E7F" w:rsidP="00A11DD3">
            <w:pPr>
              <w:spacing w:before="0" w:after="0"/>
              <w:jc w:val="center"/>
              <w:rPr>
                <w:sz w:val="20"/>
                <w:szCs w:val="20"/>
              </w:rPr>
            </w:pPr>
            <w:r w:rsidRPr="00223505">
              <w:rPr>
                <w:sz w:val="20"/>
                <w:szCs w:val="20"/>
              </w:rPr>
              <w:t>-</w:t>
            </w:r>
          </w:p>
        </w:tc>
        <w:tc>
          <w:tcPr>
            <w:tcW w:w="1417" w:type="dxa"/>
          </w:tcPr>
          <w:p w14:paraId="7BEEADD8" w14:textId="77777777" w:rsidR="001C0E7F" w:rsidRPr="00223505" w:rsidRDefault="001C0E7F" w:rsidP="00A11DD3">
            <w:pPr>
              <w:spacing w:before="0" w:after="0"/>
              <w:jc w:val="center"/>
              <w:rPr>
                <w:sz w:val="20"/>
                <w:szCs w:val="20"/>
              </w:rPr>
            </w:pPr>
            <w:r w:rsidRPr="00223505">
              <w:rPr>
                <w:sz w:val="20"/>
                <w:szCs w:val="20"/>
              </w:rPr>
              <w:t>-</w:t>
            </w:r>
          </w:p>
        </w:tc>
      </w:tr>
      <w:tr w:rsidR="001C0E7F" w:rsidRPr="00223505" w14:paraId="01955479" w14:textId="77777777" w:rsidTr="00D055C5">
        <w:trPr>
          <w:trHeight w:val="338"/>
        </w:trPr>
        <w:tc>
          <w:tcPr>
            <w:tcW w:w="3539" w:type="dxa"/>
          </w:tcPr>
          <w:p w14:paraId="4C83E0F0" w14:textId="77777777" w:rsidR="001C0E7F" w:rsidRPr="00223505" w:rsidRDefault="001C0E7F" w:rsidP="00A11DD3">
            <w:pPr>
              <w:spacing w:before="0" w:after="0"/>
              <w:rPr>
                <w:sz w:val="20"/>
                <w:szCs w:val="20"/>
              </w:rPr>
            </w:pPr>
            <w:r w:rsidRPr="00223505">
              <w:rPr>
                <w:sz w:val="20"/>
                <w:szCs w:val="20"/>
              </w:rPr>
              <w:t>IPN Valuers</w:t>
            </w:r>
          </w:p>
        </w:tc>
        <w:tc>
          <w:tcPr>
            <w:tcW w:w="1701" w:type="dxa"/>
          </w:tcPr>
          <w:p w14:paraId="7A594661" w14:textId="77777777" w:rsidR="001C0E7F" w:rsidRPr="00223505" w:rsidRDefault="001C0E7F" w:rsidP="00A11DD3">
            <w:pPr>
              <w:spacing w:before="0" w:after="0"/>
              <w:jc w:val="center"/>
              <w:rPr>
                <w:sz w:val="20"/>
                <w:szCs w:val="20"/>
              </w:rPr>
            </w:pPr>
            <w:r w:rsidRPr="00223505">
              <w:rPr>
                <w:sz w:val="20"/>
                <w:szCs w:val="20"/>
              </w:rPr>
              <w:t>-</w:t>
            </w:r>
          </w:p>
        </w:tc>
        <w:tc>
          <w:tcPr>
            <w:tcW w:w="1701" w:type="dxa"/>
          </w:tcPr>
          <w:p w14:paraId="4DEDE65B" w14:textId="77777777" w:rsidR="001C0E7F" w:rsidRPr="00223505" w:rsidRDefault="001C0E7F" w:rsidP="00A11DD3">
            <w:pPr>
              <w:spacing w:before="0" w:after="0"/>
              <w:jc w:val="center"/>
              <w:rPr>
                <w:sz w:val="20"/>
                <w:szCs w:val="20"/>
              </w:rPr>
            </w:pPr>
            <w:r w:rsidRPr="00223505">
              <w:rPr>
                <w:sz w:val="20"/>
                <w:szCs w:val="20"/>
              </w:rPr>
              <w:t>-</w:t>
            </w:r>
          </w:p>
        </w:tc>
        <w:tc>
          <w:tcPr>
            <w:tcW w:w="1418" w:type="dxa"/>
          </w:tcPr>
          <w:p w14:paraId="3AAB1949" w14:textId="77777777" w:rsidR="001C0E7F" w:rsidRPr="00223505" w:rsidRDefault="001C0E7F" w:rsidP="00A11DD3">
            <w:pPr>
              <w:spacing w:before="0" w:after="0"/>
              <w:jc w:val="center"/>
              <w:rPr>
                <w:sz w:val="20"/>
                <w:szCs w:val="20"/>
              </w:rPr>
            </w:pPr>
            <w:r w:rsidRPr="00223505">
              <w:rPr>
                <w:sz w:val="20"/>
                <w:szCs w:val="20"/>
              </w:rPr>
              <w:t>-</w:t>
            </w:r>
          </w:p>
        </w:tc>
        <w:tc>
          <w:tcPr>
            <w:tcW w:w="1417" w:type="dxa"/>
          </w:tcPr>
          <w:p w14:paraId="50F5D265" w14:textId="77777777" w:rsidR="001C0E7F" w:rsidRPr="00223505" w:rsidRDefault="001C0E7F" w:rsidP="00A11DD3">
            <w:pPr>
              <w:spacing w:before="0" w:after="0"/>
              <w:jc w:val="center"/>
              <w:rPr>
                <w:sz w:val="20"/>
                <w:szCs w:val="20"/>
              </w:rPr>
            </w:pPr>
            <w:r w:rsidRPr="00223505">
              <w:rPr>
                <w:sz w:val="20"/>
                <w:szCs w:val="20"/>
              </w:rPr>
              <w:t>-</w:t>
            </w:r>
          </w:p>
        </w:tc>
      </w:tr>
      <w:tr w:rsidR="001C0E7F" w:rsidRPr="00223505" w14:paraId="070CF748" w14:textId="77777777" w:rsidTr="00D055C5">
        <w:trPr>
          <w:trHeight w:val="338"/>
        </w:trPr>
        <w:tc>
          <w:tcPr>
            <w:tcW w:w="3539" w:type="dxa"/>
          </w:tcPr>
          <w:p w14:paraId="58D64906" w14:textId="77777777" w:rsidR="001C0E7F" w:rsidRPr="00223505" w:rsidRDefault="001C0E7F" w:rsidP="00A11DD3">
            <w:pPr>
              <w:spacing w:before="0" w:after="0"/>
              <w:rPr>
                <w:sz w:val="20"/>
                <w:szCs w:val="20"/>
              </w:rPr>
            </w:pPr>
            <w:r w:rsidRPr="00223505">
              <w:rPr>
                <w:sz w:val="20"/>
                <w:szCs w:val="20"/>
              </w:rPr>
              <w:t>All suburb Valuers</w:t>
            </w:r>
          </w:p>
        </w:tc>
        <w:tc>
          <w:tcPr>
            <w:tcW w:w="1701" w:type="dxa"/>
          </w:tcPr>
          <w:p w14:paraId="2FBC4552" w14:textId="77777777" w:rsidR="001C0E7F" w:rsidRPr="00223505" w:rsidRDefault="001C0E7F" w:rsidP="00A11DD3">
            <w:pPr>
              <w:spacing w:before="0" w:after="0"/>
              <w:jc w:val="center"/>
              <w:rPr>
                <w:sz w:val="20"/>
                <w:szCs w:val="20"/>
              </w:rPr>
            </w:pPr>
            <w:r w:rsidRPr="00223505">
              <w:rPr>
                <w:sz w:val="20"/>
                <w:szCs w:val="20"/>
              </w:rPr>
              <w:t>2</w:t>
            </w:r>
          </w:p>
        </w:tc>
        <w:tc>
          <w:tcPr>
            <w:tcW w:w="1701" w:type="dxa"/>
          </w:tcPr>
          <w:p w14:paraId="64BC2D6F" w14:textId="77777777" w:rsidR="001C0E7F" w:rsidRPr="00223505" w:rsidRDefault="001C0E7F" w:rsidP="00A11DD3">
            <w:pPr>
              <w:spacing w:before="0" w:after="0"/>
              <w:jc w:val="center"/>
              <w:rPr>
                <w:sz w:val="20"/>
                <w:szCs w:val="20"/>
              </w:rPr>
            </w:pPr>
            <w:r w:rsidRPr="00223505">
              <w:rPr>
                <w:sz w:val="20"/>
                <w:szCs w:val="20"/>
              </w:rPr>
              <w:t>0</w:t>
            </w:r>
          </w:p>
        </w:tc>
        <w:tc>
          <w:tcPr>
            <w:tcW w:w="1418" w:type="dxa"/>
          </w:tcPr>
          <w:p w14:paraId="2227E294" w14:textId="77777777" w:rsidR="001C0E7F" w:rsidRPr="00223505" w:rsidRDefault="001C0E7F" w:rsidP="00A11DD3">
            <w:pPr>
              <w:spacing w:before="0" w:after="0"/>
              <w:jc w:val="center"/>
              <w:rPr>
                <w:sz w:val="20"/>
                <w:szCs w:val="20"/>
              </w:rPr>
            </w:pPr>
            <w:r w:rsidRPr="00223505">
              <w:rPr>
                <w:sz w:val="20"/>
                <w:szCs w:val="20"/>
              </w:rPr>
              <w:t>100</w:t>
            </w:r>
          </w:p>
        </w:tc>
        <w:tc>
          <w:tcPr>
            <w:tcW w:w="1417" w:type="dxa"/>
          </w:tcPr>
          <w:p w14:paraId="6F2C06C7" w14:textId="77777777" w:rsidR="001C0E7F" w:rsidRPr="00223505" w:rsidRDefault="001C0E7F" w:rsidP="00A11DD3">
            <w:pPr>
              <w:spacing w:before="0" w:after="0"/>
              <w:jc w:val="center"/>
              <w:rPr>
                <w:sz w:val="20"/>
                <w:szCs w:val="20"/>
              </w:rPr>
            </w:pPr>
            <w:r w:rsidRPr="00223505">
              <w:rPr>
                <w:sz w:val="20"/>
                <w:szCs w:val="20"/>
              </w:rPr>
              <w:t>0</w:t>
            </w:r>
          </w:p>
        </w:tc>
      </w:tr>
      <w:bookmarkEnd w:id="2"/>
      <w:tr w:rsidR="001C0E7F" w:rsidRPr="00223505" w14:paraId="3F81F1A6" w14:textId="77777777" w:rsidTr="00D055C5">
        <w:trPr>
          <w:trHeight w:val="338"/>
        </w:trPr>
        <w:tc>
          <w:tcPr>
            <w:tcW w:w="3539" w:type="dxa"/>
          </w:tcPr>
          <w:p w14:paraId="177749B8" w14:textId="77777777" w:rsidR="001C0E7F" w:rsidRPr="00223505" w:rsidRDefault="001C0E7F" w:rsidP="00A11DD3">
            <w:pPr>
              <w:spacing w:before="0" w:after="0"/>
              <w:rPr>
                <w:b/>
                <w:bCs/>
                <w:sz w:val="20"/>
                <w:szCs w:val="20"/>
              </w:rPr>
            </w:pPr>
            <w:r w:rsidRPr="00223505">
              <w:rPr>
                <w:b/>
                <w:bCs/>
                <w:sz w:val="20"/>
                <w:szCs w:val="20"/>
              </w:rPr>
              <w:t>Total</w:t>
            </w:r>
          </w:p>
        </w:tc>
        <w:tc>
          <w:tcPr>
            <w:tcW w:w="1701" w:type="dxa"/>
          </w:tcPr>
          <w:p w14:paraId="5653D309" w14:textId="77777777" w:rsidR="001C0E7F" w:rsidRPr="00223505" w:rsidRDefault="001C0E7F" w:rsidP="00A11DD3">
            <w:pPr>
              <w:spacing w:before="0" w:after="0"/>
              <w:jc w:val="center"/>
              <w:rPr>
                <w:b/>
                <w:bCs/>
                <w:sz w:val="20"/>
                <w:szCs w:val="20"/>
              </w:rPr>
            </w:pPr>
            <w:r w:rsidRPr="00223505">
              <w:rPr>
                <w:b/>
                <w:bCs/>
                <w:sz w:val="20"/>
                <w:szCs w:val="20"/>
              </w:rPr>
              <w:t>76</w:t>
            </w:r>
          </w:p>
        </w:tc>
        <w:tc>
          <w:tcPr>
            <w:tcW w:w="1701" w:type="dxa"/>
          </w:tcPr>
          <w:p w14:paraId="68D3ED23" w14:textId="77777777" w:rsidR="001C0E7F" w:rsidRPr="00223505" w:rsidRDefault="001C0E7F" w:rsidP="00A11DD3">
            <w:pPr>
              <w:spacing w:before="0" w:after="0"/>
              <w:jc w:val="center"/>
              <w:rPr>
                <w:b/>
                <w:bCs/>
                <w:sz w:val="20"/>
                <w:szCs w:val="20"/>
              </w:rPr>
            </w:pPr>
            <w:r w:rsidRPr="00223505">
              <w:rPr>
                <w:b/>
                <w:bCs/>
                <w:sz w:val="20"/>
                <w:szCs w:val="20"/>
              </w:rPr>
              <w:t>32</w:t>
            </w:r>
          </w:p>
        </w:tc>
        <w:tc>
          <w:tcPr>
            <w:tcW w:w="1418" w:type="dxa"/>
          </w:tcPr>
          <w:p w14:paraId="253D54FF" w14:textId="77777777" w:rsidR="001C0E7F" w:rsidRPr="00223505" w:rsidRDefault="001C0E7F" w:rsidP="00A11DD3">
            <w:pPr>
              <w:spacing w:before="0" w:after="0"/>
              <w:jc w:val="center"/>
              <w:rPr>
                <w:b/>
                <w:bCs/>
                <w:sz w:val="20"/>
                <w:szCs w:val="20"/>
              </w:rPr>
            </w:pPr>
            <w:r w:rsidRPr="00223505">
              <w:rPr>
                <w:b/>
                <w:bCs/>
                <w:sz w:val="20"/>
                <w:szCs w:val="20"/>
              </w:rPr>
              <w:t>70.37</w:t>
            </w:r>
          </w:p>
        </w:tc>
        <w:tc>
          <w:tcPr>
            <w:tcW w:w="1417" w:type="dxa"/>
          </w:tcPr>
          <w:p w14:paraId="3CF28916" w14:textId="77777777" w:rsidR="001C0E7F" w:rsidRPr="00223505" w:rsidRDefault="001C0E7F" w:rsidP="00A11DD3">
            <w:pPr>
              <w:spacing w:before="0" w:after="0"/>
              <w:jc w:val="center"/>
              <w:rPr>
                <w:b/>
                <w:bCs/>
                <w:sz w:val="20"/>
                <w:szCs w:val="20"/>
              </w:rPr>
            </w:pPr>
            <w:r w:rsidRPr="00223505">
              <w:rPr>
                <w:b/>
                <w:bCs/>
                <w:sz w:val="20"/>
                <w:szCs w:val="20"/>
              </w:rPr>
              <w:t>29.63</w:t>
            </w:r>
          </w:p>
        </w:tc>
      </w:tr>
    </w:tbl>
    <w:p w14:paraId="77205347" w14:textId="08FF6980" w:rsidR="001C0E7F" w:rsidRPr="007C4901" w:rsidRDefault="004B23E5" w:rsidP="00A11DD3">
      <w:pPr>
        <w:spacing w:before="0" w:after="0"/>
        <w:rPr>
          <w:sz w:val="24"/>
        </w:rPr>
      </w:pPr>
      <w:r w:rsidRPr="007C4901">
        <w:rPr>
          <w:sz w:val="24"/>
        </w:rPr>
        <w:t>(</w:t>
      </w:r>
      <w:r w:rsidR="001C0E7F" w:rsidRPr="007C4901">
        <w:rPr>
          <w:sz w:val="24"/>
        </w:rPr>
        <w:t>Source: Based on data compiled from the studied companies’ websites</w:t>
      </w:r>
      <w:r w:rsidRPr="007C4901">
        <w:rPr>
          <w:sz w:val="24"/>
        </w:rPr>
        <w:t>)</w:t>
      </w:r>
    </w:p>
    <w:p w14:paraId="289F8A73" w14:textId="77777777" w:rsidR="00EF6DBC" w:rsidRPr="007C4901" w:rsidRDefault="00EF6DBC" w:rsidP="00A11DD3">
      <w:pPr>
        <w:spacing w:before="0" w:after="0"/>
        <w:rPr>
          <w:sz w:val="24"/>
        </w:rPr>
      </w:pPr>
    </w:p>
    <w:p w14:paraId="581CC51D" w14:textId="5E6098EC" w:rsidR="00665EC0" w:rsidRPr="007C4901" w:rsidRDefault="00981CE6" w:rsidP="00A11DD3">
      <w:pPr>
        <w:spacing w:before="0" w:after="0"/>
        <w:rPr>
          <w:sz w:val="24"/>
        </w:rPr>
      </w:pPr>
      <w:r w:rsidRPr="007C4901">
        <w:rPr>
          <w:sz w:val="24"/>
        </w:rPr>
        <w:t xml:space="preserve">Several </w:t>
      </w:r>
      <w:r w:rsidR="004D3E55">
        <w:rPr>
          <w:sz w:val="24"/>
        </w:rPr>
        <w:t xml:space="preserve">large valuation </w:t>
      </w:r>
      <w:r w:rsidRPr="007C4901">
        <w:rPr>
          <w:sz w:val="24"/>
        </w:rPr>
        <w:t xml:space="preserve">firms, including M3 Property, CBRE, Urbis, Colliers International, and Savills, have a significant female representation on their boards of directors, ranging from 30% to 38%. However, Charter Keck Kramer, </w:t>
      </w:r>
      <w:proofErr w:type="spellStart"/>
      <w:r w:rsidRPr="007C4901">
        <w:rPr>
          <w:sz w:val="24"/>
        </w:rPr>
        <w:t>Opteon</w:t>
      </w:r>
      <w:proofErr w:type="spellEnd"/>
      <w:r w:rsidRPr="007C4901">
        <w:rPr>
          <w:sz w:val="24"/>
        </w:rPr>
        <w:t xml:space="preserve"> Property Group, and Knight Frank lag behind with only 20% to 25% female representation, while Herron Todd White has a single woman among its eight-person board. WBP Group Pty Limited and Preston Rowe Paterson have no women on their boards of directors, according to their website information. </w:t>
      </w:r>
    </w:p>
    <w:p w14:paraId="78420B68" w14:textId="77777777" w:rsidR="006C578B" w:rsidRPr="007C4901" w:rsidRDefault="006C578B" w:rsidP="00A11DD3">
      <w:pPr>
        <w:spacing w:before="0" w:after="0"/>
        <w:rPr>
          <w:sz w:val="24"/>
        </w:rPr>
      </w:pPr>
    </w:p>
    <w:p w14:paraId="6A66A366" w14:textId="579C5C9C" w:rsidR="00D91EDC" w:rsidRPr="007C4901" w:rsidRDefault="00D91EDC" w:rsidP="00A11DD3">
      <w:pPr>
        <w:spacing w:before="0" w:after="0"/>
        <w:rPr>
          <w:sz w:val="24"/>
        </w:rPr>
      </w:pPr>
      <w:r w:rsidRPr="007C4901">
        <w:rPr>
          <w:sz w:val="24"/>
        </w:rPr>
        <w:lastRenderedPageBreak/>
        <w:t>Next, the gender structure of the leadership/executive teams of the studied companies</w:t>
      </w:r>
      <w:r w:rsidR="0081650D" w:rsidRPr="007C4901">
        <w:rPr>
          <w:sz w:val="24"/>
        </w:rPr>
        <w:t xml:space="preserve"> was analysed (See Table </w:t>
      </w:r>
      <w:r w:rsidR="00E0545F">
        <w:rPr>
          <w:sz w:val="24"/>
        </w:rPr>
        <w:t>4</w:t>
      </w:r>
      <w:r w:rsidR="0081650D" w:rsidRPr="007C4901">
        <w:rPr>
          <w:sz w:val="24"/>
        </w:rPr>
        <w:t>)</w:t>
      </w:r>
      <w:r w:rsidRPr="007C4901">
        <w:rPr>
          <w:sz w:val="24"/>
        </w:rPr>
        <w:t>.</w:t>
      </w:r>
    </w:p>
    <w:p w14:paraId="110704DB" w14:textId="77777777" w:rsidR="00D91EDC" w:rsidRPr="007C4901" w:rsidRDefault="00D91EDC" w:rsidP="00A11DD3">
      <w:pPr>
        <w:spacing w:before="0" w:after="0"/>
        <w:rPr>
          <w:sz w:val="24"/>
        </w:rPr>
      </w:pPr>
    </w:p>
    <w:p w14:paraId="348155B5" w14:textId="77777777" w:rsidR="0070570C" w:rsidRDefault="0070570C" w:rsidP="00A11DD3">
      <w:pPr>
        <w:spacing w:before="0" w:after="0"/>
        <w:rPr>
          <w:i/>
          <w:iCs/>
          <w:sz w:val="24"/>
        </w:rPr>
      </w:pPr>
    </w:p>
    <w:p w14:paraId="48DCBC36" w14:textId="38560194" w:rsidR="001C0E7F" w:rsidRPr="007C4901" w:rsidRDefault="001C0E7F" w:rsidP="00A11DD3">
      <w:pPr>
        <w:spacing w:before="0" w:after="0"/>
        <w:rPr>
          <w:i/>
          <w:iCs/>
          <w:sz w:val="24"/>
        </w:rPr>
      </w:pPr>
      <w:r w:rsidRPr="007C4901">
        <w:rPr>
          <w:i/>
          <w:iCs/>
          <w:sz w:val="24"/>
        </w:rPr>
        <w:t xml:space="preserve">Table </w:t>
      </w:r>
      <w:r w:rsidR="00E0545F">
        <w:rPr>
          <w:i/>
          <w:iCs/>
          <w:sz w:val="24"/>
        </w:rPr>
        <w:t>4</w:t>
      </w:r>
      <w:r w:rsidR="00D67BE9" w:rsidRPr="007C4901">
        <w:rPr>
          <w:i/>
          <w:iCs/>
          <w:sz w:val="24"/>
        </w:rPr>
        <w:t xml:space="preserve"> – </w:t>
      </w:r>
      <w:r w:rsidRPr="007C4901">
        <w:rPr>
          <w:i/>
          <w:iCs/>
          <w:sz w:val="24"/>
        </w:rPr>
        <w:t>The gender composition of the leadership/executive teams of the large valuation companies</w:t>
      </w:r>
    </w:p>
    <w:p w14:paraId="763CC4E7" w14:textId="77777777" w:rsidR="00D67BE9" w:rsidRPr="007C4901" w:rsidRDefault="00D67BE9" w:rsidP="00A11DD3">
      <w:pPr>
        <w:spacing w:before="0" w:after="0"/>
        <w:rPr>
          <w:sz w:val="24"/>
        </w:rPr>
      </w:pPr>
    </w:p>
    <w:tbl>
      <w:tblPr>
        <w:tblStyle w:val="TableGrid"/>
        <w:tblW w:w="9967" w:type="dxa"/>
        <w:tblLook w:val="04A0" w:firstRow="1" w:lastRow="0" w:firstColumn="1" w:lastColumn="0" w:noHBand="0" w:noVBand="1"/>
      </w:tblPr>
      <w:tblGrid>
        <w:gridCol w:w="4128"/>
        <w:gridCol w:w="1568"/>
        <w:gridCol w:w="1713"/>
        <w:gridCol w:w="1287"/>
        <w:gridCol w:w="1271"/>
      </w:tblGrid>
      <w:tr w:rsidR="001C0E7F" w:rsidRPr="00223505" w14:paraId="370805D0" w14:textId="77777777" w:rsidTr="00D055C5">
        <w:trPr>
          <w:trHeight w:val="677"/>
        </w:trPr>
        <w:tc>
          <w:tcPr>
            <w:tcW w:w="4128" w:type="dxa"/>
          </w:tcPr>
          <w:p w14:paraId="572D482B" w14:textId="77777777" w:rsidR="001C0E7F" w:rsidRPr="00223505" w:rsidRDefault="001C0E7F" w:rsidP="00A11DD3">
            <w:pPr>
              <w:spacing w:before="0" w:after="0"/>
              <w:rPr>
                <w:b/>
                <w:bCs/>
                <w:sz w:val="20"/>
                <w:szCs w:val="20"/>
              </w:rPr>
            </w:pPr>
            <w:r w:rsidRPr="00223505">
              <w:rPr>
                <w:b/>
                <w:bCs/>
                <w:sz w:val="20"/>
                <w:szCs w:val="20"/>
              </w:rPr>
              <w:t>Valuation company</w:t>
            </w:r>
          </w:p>
        </w:tc>
        <w:tc>
          <w:tcPr>
            <w:tcW w:w="1568" w:type="dxa"/>
          </w:tcPr>
          <w:p w14:paraId="7F3690AE" w14:textId="77777777" w:rsidR="001C0E7F" w:rsidRPr="00223505" w:rsidRDefault="001C0E7F" w:rsidP="00A11DD3">
            <w:pPr>
              <w:spacing w:before="0" w:after="0"/>
              <w:rPr>
                <w:b/>
                <w:bCs/>
                <w:sz w:val="20"/>
                <w:szCs w:val="20"/>
              </w:rPr>
            </w:pPr>
            <w:r w:rsidRPr="00223505">
              <w:rPr>
                <w:b/>
                <w:bCs/>
                <w:sz w:val="20"/>
                <w:szCs w:val="20"/>
              </w:rPr>
              <w:t>No. of men</w:t>
            </w:r>
          </w:p>
        </w:tc>
        <w:tc>
          <w:tcPr>
            <w:tcW w:w="1713" w:type="dxa"/>
          </w:tcPr>
          <w:p w14:paraId="6B59551A" w14:textId="77777777" w:rsidR="001C0E7F" w:rsidRPr="00223505" w:rsidRDefault="001C0E7F" w:rsidP="00A11DD3">
            <w:pPr>
              <w:spacing w:before="0" w:after="0"/>
              <w:rPr>
                <w:b/>
                <w:bCs/>
                <w:sz w:val="20"/>
                <w:szCs w:val="20"/>
              </w:rPr>
            </w:pPr>
            <w:r w:rsidRPr="00223505">
              <w:rPr>
                <w:b/>
                <w:bCs/>
                <w:sz w:val="20"/>
                <w:szCs w:val="20"/>
              </w:rPr>
              <w:t>No. of women</w:t>
            </w:r>
          </w:p>
        </w:tc>
        <w:tc>
          <w:tcPr>
            <w:tcW w:w="1287" w:type="dxa"/>
          </w:tcPr>
          <w:p w14:paraId="5D22A3E1" w14:textId="77777777" w:rsidR="001C0E7F" w:rsidRPr="00223505" w:rsidRDefault="001C0E7F" w:rsidP="00A11DD3">
            <w:pPr>
              <w:spacing w:before="0" w:after="0"/>
              <w:rPr>
                <w:b/>
                <w:bCs/>
                <w:sz w:val="20"/>
                <w:szCs w:val="20"/>
              </w:rPr>
            </w:pPr>
            <w:r w:rsidRPr="00223505">
              <w:rPr>
                <w:b/>
                <w:bCs/>
                <w:sz w:val="20"/>
                <w:szCs w:val="20"/>
              </w:rPr>
              <w:t>Men%</w:t>
            </w:r>
          </w:p>
        </w:tc>
        <w:tc>
          <w:tcPr>
            <w:tcW w:w="1271" w:type="dxa"/>
          </w:tcPr>
          <w:p w14:paraId="14F5DC10" w14:textId="77777777" w:rsidR="001C0E7F" w:rsidRPr="00223505" w:rsidRDefault="001C0E7F" w:rsidP="00A11DD3">
            <w:pPr>
              <w:spacing w:before="0" w:after="0"/>
              <w:rPr>
                <w:b/>
                <w:bCs/>
                <w:sz w:val="20"/>
                <w:szCs w:val="20"/>
              </w:rPr>
            </w:pPr>
            <w:r w:rsidRPr="00223505">
              <w:rPr>
                <w:b/>
                <w:bCs/>
                <w:sz w:val="20"/>
                <w:szCs w:val="20"/>
              </w:rPr>
              <w:t>Women%</w:t>
            </w:r>
          </w:p>
        </w:tc>
      </w:tr>
      <w:tr w:rsidR="001C0E7F" w:rsidRPr="00223505" w14:paraId="24EAED8E" w14:textId="77777777" w:rsidTr="00EB7730">
        <w:trPr>
          <w:trHeight w:val="317"/>
        </w:trPr>
        <w:tc>
          <w:tcPr>
            <w:tcW w:w="4128" w:type="dxa"/>
          </w:tcPr>
          <w:p w14:paraId="49D3D8A6" w14:textId="77777777" w:rsidR="001C0E7F" w:rsidRPr="00223505" w:rsidRDefault="001C0E7F" w:rsidP="00A11DD3">
            <w:pPr>
              <w:spacing w:before="0" w:after="0"/>
              <w:rPr>
                <w:sz w:val="20"/>
                <w:szCs w:val="20"/>
              </w:rPr>
            </w:pPr>
            <w:r w:rsidRPr="00223505">
              <w:rPr>
                <w:sz w:val="20"/>
                <w:szCs w:val="20"/>
              </w:rPr>
              <w:t>Herron Todd White</w:t>
            </w:r>
          </w:p>
        </w:tc>
        <w:tc>
          <w:tcPr>
            <w:tcW w:w="1568" w:type="dxa"/>
          </w:tcPr>
          <w:p w14:paraId="5F2B3B35" w14:textId="77777777" w:rsidR="001C0E7F" w:rsidRPr="00223505" w:rsidRDefault="001C0E7F" w:rsidP="00A11DD3">
            <w:pPr>
              <w:spacing w:before="0" w:after="0"/>
              <w:jc w:val="center"/>
              <w:rPr>
                <w:sz w:val="20"/>
                <w:szCs w:val="20"/>
              </w:rPr>
            </w:pPr>
            <w:r w:rsidRPr="00223505">
              <w:rPr>
                <w:sz w:val="20"/>
                <w:szCs w:val="20"/>
              </w:rPr>
              <w:t>3</w:t>
            </w:r>
          </w:p>
        </w:tc>
        <w:tc>
          <w:tcPr>
            <w:tcW w:w="1713" w:type="dxa"/>
          </w:tcPr>
          <w:p w14:paraId="188B5778" w14:textId="77777777" w:rsidR="001C0E7F" w:rsidRPr="00223505" w:rsidRDefault="001C0E7F" w:rsidP="00A11DD3">
            <w:pPr>
              <w:spacing w:before="0" w:after="0"/>
              <w:jc w:val="center"/>
              <w:rPr>
                <w:sz w:val="20"/>
                <w:szCs w:val="20"/>
              </w:rPr>
            </w:pPr>
            <w:r w:rsidRPr="00223505">
              <w:rPr>
                <w:sz w:val="20"/>
                <w:szCs w:val="20"/>
              </w:rPr>
              <w:t>4</w:t>
            </w:r>
          </w:p>
        </w:tc>
        <w:tc>
          <w:tcPr>
            <w:tcW w:w="1287" w:type="dxa"/>
          </w:tcPr>
          <w:p w14:paraId="34A749B2" w14:textId="77777777" w:rsidR="001C0E7F" w:rsidRPr="00223505" w:rsidRDefault="001C0E7F" w:rsidP="00A11DD3">
            <w:pPr>
              <w:spacing w:before="0" w:after="0"/>
              <w:jc w:val="center"/>
              <w:rPr>
                <w:sz w:val="20"/>
                <w:szCs w:val="20"/>
              </w:rPr>
            </w:pPr>
            <w:r w:rsidRPr="00223505">
              <w:rPr>
                <w:sz w:val="20"/>
                <w:szCs w:val="20"/>
              </w:rPr>
              <w:t>42.86</w:t>
            </w:r>
          </w:p>
        </w:tc>
        <w:tc>
          <w:tcPr>
            <w:tcW w:w="1271" w:type="dxa"/>
          </w:tcPr>
          <w:p w14:paraId="10C306DC" w14:textId="77777777" w:rsidR="001C0E7F" w:rsidRPr="00223505" w:rsidRDefault="001C0E7F" w:rsidP="00A11DD3">
            <w:pPr>
              <w:spacing w:before="0" w:after="0"/>
              <w:jc w:val="center"/>
              <w:rPr>
                <w:sz w:val="20"/>
                <w:szCs w:val="20"/>
              </w:rPr>
            </w:pPr>
            <w:r w:rsidRPr="00223505">
              <w:rPr>
                <w:sz w:val="20"/>
                <w:szCs w:val="20"/>
              </w:rPr>
              <w:t>57.14</w:t>
            </w:r>
          </w:p>
        </w:tc>
      </w:tr>
      <w:tr w:rsidR="001C0E7F" w:rsidRPr="00223505" w14:paraId="26310CC2" w14:textId="77777777" w:rsidTr="00D055C5">
        <w:trPr>
          <w:trHeight w:val="322"/>
        </w:trPr>
        <w:tc>
          <w:tcPr>
            <w:tcW w:w="4128" w:type="dxa"/>
          </w:tcPr>
          <w:p w14:paraId="63A82CF0" w14:textId="77777777" w:rsidR="001C0E7F" w:rsidRPr="00223505" w:rsidRDefault="001C0E7F" w:rsidP="00A11DD3">
            <w:pPr>
              <w:spacing w:before="0" w:after="0"/>
              <w:rPr>
                <w:sz w:val="20"/>
                <w:szCs w:val="20"/>
              </w:rPr>
            </w:pPr>
            <w:r w:rsidRPr="00223505">
              <w:rPr>
                <w:sz w:val="20"/>
                <w:szCs w:val="20"/>
              </w:rPr>
              <w:t>Charter Keck Kramer</w:t>
            </w:r>
          </w:p>
        </w:tc>
        <w:tc>
          <w:tcPr>
            <w:tcW w:w="1568" w:type="dxa"/>
          </w:tcPr>
          <w:p w14:paraId="45D0D08C" w14:textId="77777777" w:rsidR="001C0E7F" w:rsidRPr="00223505" w:rsidRDefault="001C0E7F" w:rsidP="00A11DD3">
            <w:pPr>
              <w:spacing w:before="0" w:after="0"/>
              <w:jc w:val="center"/>
              <w:rPr>
                <w:sz w:val="20"/>
                <w:szCs w:val="20"/>
              </w:rPr>
            </w:pPr>
            <w:r w:rsidRPr="00223505">
              <w:rPr>
                <w:sz w:val="20"/>
                <w:szCs w:val="20"/>
              </w:rPr>
              <w:t>4</w:t>
            </w:r>
          </w:p>
        </w:tc>
        <w:tc>
          <w:tcPr>
            <w:tcW w:w="1713" w:type="dxa"/>
          </w:tcPr>
          <w:p w14:paraId="76DD7122" w14:textId="77777777" w:rsidR="001C0E7F" w:rsidRPr="00223505" w:rsidRDefault="001C0E7F" w:rsidP="00A11DD3">
            <w:pPr>
              <w:spacing w:before="0" w:after="0"/>
              <w:jc w:val="center"/>
              <w:rPr>
                <w:sz w:val="20"/>
                <w:szCs w:val="20"/>
              </w:rPr>
            </w:pPr>
            <w:r w:rsidRPr="00223505">
              <w:rPr>
                <w:sz w:val="20"/>
                <w:szCs w:val="20"/>
              </w:rPr>
              <w:t>1</w:t>
            </w:r>
          </w:p>
        </w:tc>
        <w:tc>
          <w:tcPr>
            <w:tcW w:w="1287" w:type="dxa"/>
          </w:tcPr>
          <w:p w14:paraId="284A233C" w14:textId="77777777" w:rsidR="001C0E7F" w:rsidRPr="00223505" w:rsidRDefault="001C0E7F" w:rsidP="00A11DD3">
            <w:pPr>
              <w:spacing w:before="0" w:after="0"/>
              <w:jc w:val="center"/>
              <w:rPr>
                <w:sz w:val="20"/>
                <w:szCs w:val="20"/>
              </w:rPr>
            </w:pPr>
            <w:r w:rsidRPr="00223505">
              <w:rPr>
                <w:sz w:val="20"/>
                <w:szCs w:val="20"/>
              </w:rPr>
              <w:t>80</w:t>
            </w:r>
          </w:p>
        </w:tc>
        <w:tc>
          <w:tcPr>
            <w:tcW w:w="1271" w:type="dxa"/>
          </w:tcPr>
          <w:p w14:paraId="3F366E44" w14:textId="77777777" w:rsidR="001C0E7F" w:rsidRPr="00223505" w:rsidRDefault="001C0E7F" w:rsidP="00A11DD3">
            <w:pPr>
              <w:spacing w:before="0" w:after="0"/>
              <w:jc w:val="center"/>
              <w:rPr>
                <w:sz w:val="20"/>
                <w:szCs w:val="20"/>
              </w:rPr>
            </w:pPr>
            <w:r w:rsidRPr="00223505">
              <w:rPr>
                <w:sz w:val="20"/>
                <w:szCs w:val="20"/>
              </w:rPr>
              <w:t>20</w:t>
            </w:r>
          </w:p>
        </w:tc>
      </w:tr>
      <w:tr w:rsidR="001C0E7F" w:rsidRPr="00223505" w14:paraId="21801EBD" w14:textId="77777777" w:rsidTr="00D055C5">
        <w:trPr>
          <w:trHeight w:val="338"/>
        </w:trPr>
        <w:tc>
          <w:tcPr>
            <w:tcW w:w="4128" w:type="dxa"/>
          </w:tcPr>
          <w:p w14:paraId="42C33117" w14:textId="77777777" w:rsidR="001C0E7F" w:rsidRPr="00223505" w:rsidRDefault="001C0E7F" w:rsidP="00A11DD3">
            <w:pPr>
              <w:spacing w:before="0" w:after="0"/>
              <w:rPr>
                <w:sz w:val="20"/>
                <w:szCs w:val="20"/>
              </w:rPr>
            </w:pPr>
            <w:r w:rsidRPr="00223505">
              <w:rPr>
                <w:sz w:val="20"/>
                <w:szCs w:val="20"/>
              </w:rPr>
              <w:t>M3 Property</w:t>
            </w:r>
          </w:p>
        </w:tc>
        <w:tc>
          <w:tcPr>
            <w:tcW w:w="1568" w:type="dxa"/>
          </w:tcPr>
          <w:p w14:paraId="553F0530" w14:textId="77777777" w:rsidR="001C0E7F" w:rsidRPr="00223505" w:rsidRDefault="001C0E7F" w:rsidP="00A11DD3">
            <w:pPr>
              <w:spacing w:before="0" w:after="0"/>
              <w:jc w:val="center"/>
              <w:rPr>
                <w:sz w:val="20"/>
                <w:szCs w:val="20"/>
              </w:rPr>
            </w:pPr>
            <w:r w:rsidRPr="00223505">
              <w:rPr>
                <w:sz w:val="20"/>
                <w:szCs w:val="20"/>
              </w:rPr>
              <w:t>32</w:t>
            </w:r>
          </w:p>
        </w:tc>
        <w:tc>
          <w:tcPr>
            <w:tcW w:w="1713" w:type="dxa"/>
          </w:tcPr>
          <w:p w14:paraId="6DB6E75D" w14:textId="77777777" w:rsidR="001C0E7F" w:rsidRPr="00223505" w:rsidRDefault="001C0E7F" w:rsidP="00A11DD3">
            <w:pPr>
              <w:spacing w:before="0" w:after="0"/>
              <w:jc w:val="center"/>
              <w:rPr>
                <w:sz w:val="20"/>
                <w:szCs w:val="20"/>
              </w:rPr>
            </w:pPr>
            <w:r w:rsidRPr="00223505">
              <w:rPr>
                <w:sz w:val="20"/>
                <w:szCs w:val="20"/>
              </w:rPr>
              <w:t>9</w:t>
            </w:r>
          </w:p>
        </w:tc>
        <w:tc>
          <w:tcPr>
            <w:tcW w:w="1287" w:type="dxa"/>
          </w:tcPr>
          <w:p w14:paraId="1CD6CE54" w14:textId="77777777" w:rsidR="001C0E7F" w:rsidRPr="00223505" w:rsidRDefault="001C0E7F" w:rsidP="00A11DD3">
            <w:pPr>
              <w:spacing w:before="0" w:after="0"/>
              <w:jc w:val="center"/>
              <w:rPr>
                <w:sz w:val="20"/>
                <w:szCs w:val="20"/>
              </w:rPr>
            </w:pPr>
            <w:r w:rsidRPr="00223505">
              <w:rPr>
                <w:sz w:val="20"/>
                <w:szCs w:val="20"/>
              </w:rPr>
              <w:t>78.05</w:t>
            </w:r>
          </w:p>
        </w:tc>
        <w:tc>
          <w:tcPr>
            <w:tcW w:w="1271" w:type="dxa"/>
          </w:tcPr>
          <w:p w14:paraId="77B62396" w14:textId="77777777" w:rsidR="001C0E7F" w:rsidRPr="00223505" w:rsidRDefault="001C0E7F" w:rsidP="00A11DD3">
            <w:pPr>
              <w:spacing w:before="0" w:after="0"/>
              <w:jc w:val="center"/>
              <w:rPr>
                <w:sz w:val="20"/>
                <w:szCs w:val="20"/>
              </w:rPr>
            </w:pPr>
            <w:r w:rsidRPr="00223505">
              <w:rPr>
                <w:sz w:val="20"/>
                <w:szCs w:val="20"/>
              </w:rPr>
              <w:t>21.95</w:t>
            </w:r>
          </w:p>
        </w:tc>
      </w:tr>
      <w:tr w:rsidR="001C0E7F" w:rsidRPr="00223505" w14:paraId="307D215D" w14:textId="77777777" w:rsidTr="00D055C5">
        <w:trPr>
          <w:trHeight w:val="338"/>
        </w:trPr>
        <w:tc>
          <w:tcPr>
            <w:tcW w:w="4128" w:type="dxa"/>
          </w:tcPr>
          <w:p w14:paraId="4B280C34" w14:textId="77777777" w:rsidR="001C0E7F" w:rsidRPr="00223505" w:rsidRDefault="001C0E7F" w:rsidP="00A11DD3">
            <w:pPr>
              <w:spacing w:before="0" w:after="0"/>
              <w:rPr>
                <w:sz w:val="20"/>
                <w:szCs w:val="20"/>
              </w:rPr>
            </w:pPr>
            <w:r w:rsidRPr="00223505">
              <w:rPr>
                <w:sz w:val="20"/>
                <w:szCs w:val="20"/>
              </w:rPr>
              <w:t>Preston Rowe Paterson</w:t>
            </w:r>
          </w:p>
        </w:tc>
        <w:tc>
          <w:tcPr>
            <w:tcW w:w="1568" w:type="dxa"/>
          </w:tcPr>
          <w:p w14:paraId="5A691509" w14:textId="77777777" w:rsidR="001C0E7F" w:rsidRPr="00223505" w:rsidRDefault="001C0E7F" w:rsidP="00A11DD3">
            <w:pPr>
              <w:spacing w:before="0" w:after="0"/>
              <w:jc w:val="center"/>
              <w:rPr>
                <w:sz w:val="20"/>
                <w:szCs w:val="20"/>
              </w:rPr>
            </w:pPr>
            <w:r w:rsidRPr="00223505">
              <w:rPr>
                <w:sz w:val="20"/>
                <w:szCs w:val="20"/>
              </w:rPr>
              <w:t>50</w:t>
            </w:r>
          </w:p>
        </w:tc>
        <w:tc>
          <w:tcPr>
            <w:tcW w:w="1713" w:type="dxa"/>
          </w:tcPr>
          <w:p w14:paraId="0C58D490" w14:textId="77777777" w:rsidR="001C0E7F" w:rsidRPr="00223505" w:rsidRDefault="001C0E7F" w:rsidP="00A11DD3">
            <w:pPr>
              <w:spacing w:before="0" w:after="0"/>
              <w:jc w:val="center"/>
              <w:rPr>
                <w:sz w:val="20"/>
                <w:szCs w:val="20"/>
              </w:rPr>
            </w:pPr>
            <w:r w:rsidRPr="00223505">
              <w:rPr>
                <w:sz w:val="20"/>
                <w:szCs w:val="20"/>
              </w:rPr>
              <w:t>5</w:t>
            </w:r>
          </w:p>
        </w:tc>
        <w:tc>
          <w:tcPr>
            <w:tcW w:w="1287" w:type="dxa"/>
          </w:tcPr>
          <w:p w14:paraId="46DF4711" w14:textId="77777777" w:rsidR="001C0E7F" w:rsidRPr="00223505" w:rsidRDefault="001C0E7F" w:rsidP="00A11DD3">
            <w:pPr>
              <w:spacing w:before="0" w:after="0"/>
              <w:jc w:val="center"/>
              <w:rPr>
                <w:sz w:val="20"/>
                <w:szCs w:val="20"/>
              </w:rPr>
            </w:pPr>
            <w:r w:rsidRPr="00223505">
              <w:rPr>
                <w:sz w:val="20"/>
                <w:szCs w:val="20"/>
              </w:rPr>
              <w:t>90.91</w:t>
            </w:r>
          </w:p>
        </w:tc>
        <w:tc>
          <w:tcPr>
            <w:tcW w:w="1271" w:type="dxa"/>
          </w:tcPr>
          <w:p w14:paraId="7EB63E33" w14:textId="77777777" w:rsidR="001C0E7F" w:rsidRPr="00223505" w:rsidRDefault="001C0E7F" w:rsidP="00A11DD3">
            <w:pPr>
              <w:spacing w:before="0" w:after="0"/>
              <w:jc w:val="center"/>
              <w:rPr>
                <w:sz w:val="20"/>
                <w:szCs w:val="20"/>
              </w:rPr>
            </w:pPr>
            <w:r w:rsidRPr="00223505">
              <w:rPr>
                <w:sz w:val="20"/>
                <w:szCs w:val="20"/>
              </w:rPr>
              <w:t>9.09</w:t>
            </w:r>
          </w:p>
        </w:tc>
      </w:tr>
      <w:tr w:rsidR="001C0E7F" w:rsidRPr="00223505" w14:paraId="4B4DA33A" w14:textId="77777777" w:rsidTr="00D055C5">
        <w:trPr>
          <w:trHeight w:val="338"/>
        </w:trPr>
        <w:tc>
          <w:tcPr>
            <w:tcW w:w="4128" w:type="dxa"/>
          </w:tcPr>
          <w:p w14:paraId="4B75C9EC" w14:textId="77777777" w:rsidR="001C0E7F" w:rsidRPr="00223505" w:rsidRDefault="001C0E7F" w:rsidP="00A11DD3">
            <w:pPr>
              <w:spacing w:before="0" w:after="0"/>
              <w:rPr>
                <w:sz w:val="20"/>
                <w:szCs w:val="20"/>
              </w:rPr>
            </w:pPr>
            <w:proofErr w:type="spellStart"/>
            <w:r w:rsidRPr="00223505">
              <w:rPr>
                <w:sz w:val="20"/>
                <w:szCs w:val="20"/>
              </w:rPr>
              <w:t>Opteon</w:t>
            </w:r>
            <w:proofErr w:type="spellEnd"/>
            <w:r w:rsidRPr="00223505">
              <w:rPr>
                <w:sz w:val="20"/>
                <w:szCs w:val="20"/>
              </w:rPr>
              <w:t xml:space="preserve"> Property Group</w:t>
            </w:r>
          </w:p>
        </w:tc>
        <w:tc>
          <w:tcPr>
            <w:tcW w:w="1568" w:type="dxa"/>
          </w:tcPr>
          <w:p w14:paraId="00D0341C" w14:textId="77777777" w:rsidR="001C0E7F" w:rsidRPr="00223505" w:rsidRDefault="001C0E7F" w:rsidP="00A11DD3">
            <w:pPr>
              <w:spacing w:before="0" w:after="0"/>
              <w:jc w:val="center"/>
              <w:rPr>
                <w:sz w:val="20"/>
                <w:szCs w:val="20"/>
              </w:rPr>
            </w:pPr>
            <w:r w:rsidRPr="00223505">
              <w:rPr>
                <w:sz w:val="20"/>
                <w:szCs w:val="20"/>
              </w:rPr>
              <w:t>7</w:t>
            </w:r>
          </w:p>
        </w:tc>
        <w:tc>
          <w:tcPr>
            <w:tcW w:w="1713" w:type="dxa"/>
          </w:tcPr>
          <w:p w14:paraId="4E6BD3B0" w14:textId="77777777" w:rsidR="001C0E7F" w:rsidRPr="00223505" w:rsidRDefault="001C0E7F" w:rsidP="00A11DD3">
            <w:pPr>
              <w:spacing w:before="0" w:after="0"/>
              <w:jc w:val="center"/>
              <w:rPr>
                <w:sz w:val="20"/>
                <w:szCs w:val="20"/>
              </w:rPr>
            </w:pPr>
            <w:r w:rsidRPr="00223505">
              <w:rPr>
                <w:sz w:val="20"/>
                <w:szCs w:val="20"/>
              </w:rPr>
              <w:t>3</w:t>
            </w:r>
          </w:p>
        </w:tc>
        <w:tc>
          <w:tcPr>
            <w:tcW w:w="1287" w:type="dxa"/>
          </w:tcPr>
          <w:p w14:paraId="19A4E5A7" w14:textId="77777777" w:rsidR="001C0E7F" w:rsidRPr="00223505" w:rsidRDefault="001C0E7F" w:rsidP="00A11DD3">
            <w:pPr>
              <w:spacing w:before="0" w:after="0"/>
              <w:jc w:val="center"/>
              <w:rPr>
                <w:sz w:val="20"/>
                <w:szCs w:val="20"/>
              </w:rPr>
            </w:pPr>
            <w:r w:rsidRPr="00223505">
              <w:rPr>
                <w:sz w:val="20"/>
                <w:szCs w:val="20"/>
              </w:rPr>
              <w:t>70</w:t>
            </w:r>
          </w:p>
        </w:tc>
        <w:tc>
          <w:tcPr>
            <w:tcW w:w="1271" w:type="dxa"/>
          </w:tcPr>
          <w:p w14:paraId="660AE705" w14:textId="77777777" w:rsidR="001C0E7F" w:rsidRPr="00223505" w:rsidRDefault="001C0E7F" w:rsidP="00A11DD3">
            <w:pPr>
              <w:spacing w:before="0" w:after="0"/>
              <w:jc w:val="center"/>
              <w:rPr>
                <w:sz w:val="20"/>
                <w:szCs w:val="20"/>
              </w:rPr>
            </w:pPr>
            <w:r w:rsidRPr="00223505">
              <w:rPr>
                <w:sz w:val="20"/>
                <w:szCs w:val="20"/>
              </w:rPr>
              <w:t>30</w:t>
            </w:r>
          </w:p>
        </w:tc>
      </w:tr>
      <w:tr w:rsidR="001C0E7F" w:rsidRPr="00223505" w14:paraId="79D40BDF" w14:textId="77777777" w:rsidTr="00D055C5">
        <w:trPr>
          <w:trHeight w:val="338"/>
        </w:trPr>
        <w:tc>
          <w:tcPr>
            <w:tcW w:w="4128" w:type="dxa"/>
          </w:tcPr>
          <w:p w14:paraId="7C7BBDEF" w14:textId="77777777" w:rsidR="001C0E7F" w:rsidRPr="00223505" w:rsidRDefault="001C0E7F" w:rsidP="00A11DD3">
            <w:pPr>
              <w:spacing w:before="0" w:after="0"/>
              <w:rPr>
                <w:sz w:val="20"/>
                <w:szCs w:val="20"/>
              </w:rPr>
            </w:pPr>
            <w:r w:rsidRPr="00223505">
              <w:rPr>
                <w:sz w:val="20"/>
                <w:szCs w:val="20"/>
              </w:rPr>
              <w:t>Jones Lang LaSalle</w:t>
            </w:r>
          </w:p>
        </w:tc>
        <w:tc>
          <w:tcPr>
            <w:tcW w:w="1568" w:type="dxa"/>
          </w:tcPr>
          <w:p w14:paraId="3232802C" w14:textId="77777777" w:rsidR="001C0E7F" w:rsidRPr="00223505" w:rsidRDefault="001C0E7F" w:rsidP="00A11DD3">
            <w:pPr>
              <w:spacing w:before="0" w:after="0"/>
              <w:jc w:val="center"/>
              <w:rPr>
                <w:sz w:val="20"/>
                <w:szCs w:val="20"/>
              </w:rPr>
            </w:pPr>
            <w:r w:rsidRPr="00223505">
              <w:rPr>
                <w:sz w:val="20"/>
                <w:szCs w:val="20"/>
              </w:rPr>
              <w:t>10</w:t>
            </w:r>
          </w:p>
        </w:tc>
        <w:tc>
          <w:tcPr>
            <w:tcW w:w="1713" w:type="dxa"/>
          </w:tcPr>
          <w:p w14:paraId="566BE5AF" w14:textId="77777777" w:rsidR="001C0E7F" w:rsidRPr="00223505" w:rsidRDefault="001C0E7F" w:rsidP="00A11DD3">
            <w:pPr>
              <w:spacing w:before="0" w:after="0"/>
              <w:jc w:val="center"/>
              <w:rPr>
                <w:sz w:val="20"/>
                <w:szCs w:val="20"/>
              </w:rPr>
            </w:pPr>
            <w:r w:rsidRPr="00223505">
              <w:rPr>
                <w:sz w:val="20"/>
                <w:szCs w:val="20"/>
              </w:rPr>
              <w:t>4</w:t>
            </w:r>
          </w:p>
        </w:tc>
        <w:tc>
          <w:tcPr>
            <w:tcW w:w="1287" w:type="dxa"/>
          </w:tcPr>
          <w:p w14:paraId="04575247" w14:textId="77777777" w:rsidR="001C0E7F" w:rsidRPr="00223505" w:rsidRDefault="001C0E7F" w:rsidP="00A11DD3">
            <w:pPr>
              <w:spacing w:before="0" w:after="0"/>
              <w:jc w:val="center"/>
              <w:rPr>
                <w:sz w:val="20"/>
                <w:szCs w:val="20"/>
              </w:rPr>
            </w:pPr>
            <w:r w:rsidRPr="00223505">
              <w:rPr>
                <w:sz w:val="20"/>
                <w:szCs w:val="20"/>
              </w:rPr>
              <w:t>71.43</w:t>
            </w:r>
          </w:p>
        </w:tc>
        <w:tc>
          <w:tcPr>
            <w:tcW w:w="1271" w:type="dxa"/>
          </w:tcPr>
          <w:p w14:paraId="24FC3042" w14:textId="77777777" w:rsidR="001C0E7F" w:rsidRPr="00223505" w:rsidRDefault="001C0E7F" w:rsidP="00A11DD3">
            <w:pPr>
              <w:spacing w:before="0" w:after="0"/>
              <w:jc w:val="center"/>
              <w:rPr>
                <w:sz w:val="20"/>
                <w:szCs w:val="20"/>
              </w:rPr>
            </w:pPr>
            <w:r w:rsidRPr="00223505">
              <w:rPr>
                <w:sz w:val="20"/>
                <w:szCs w:val="20"/>
              </w:rPr>
              <w:t>28.57</w:t>
            </w:r>
          </w:p>
        </w:tc>
      </w:tr>
      <w:tr w:rsidR="001C0E7F" w:rsidRPr="00223505" w14:paraId="0B43230F" w14:textId="77777777" w:rsidTr="00D055C5">
        <w:trPr>
          <w:trHeight w:val="338"/>
        </w:trPr>
        <w:tc>
          <w:tcPr>
            <w:tcW w:w="4128" w:type="dxa"/>
          </w:tcPr>
          <w:p w14:paraId="56D8572E" w14:textId="77777777" w:rsidR="001C0E7F" w:rsidRPr="00223505" w:rsidRDefault="001C0E7F" w:rsidP="00A11DD3">
            <w:pPr>
              <w:spacing w:before="0" w:after="0"/>
              <w:rPr>
                <w:sz w:val="20"/>
                <w:szCs w:val="20"/>
              </w:rPr>
            </w:pPr>
            <w:r w:rsidRPr="00223505">
              <w:rPr>
                <w:sz w:val="20"/>
                <w:szCs w:val="20"/>
              </w:rPr>
              <w:t>CBRE (Pacific)</w:t>
            </w:r>
          </w:p>
        </w:tc>
        <w:tc>
          <w:tcPr>
            <w:tcW w:w="1568" w:type="dxa"/>
          </w:tcPr>
          <w:p w14:paraId="44957293" w14:textId="77777777" w:rsidR="001C0E7F" w:rsidRPr="00223505" w:rsidRDefault="001C0E7F" w:rsidP="00A11DD3">
            <w:pPr>
              <w:spacing w:before="0" w:after="0"/>
              <w:jc w:val="center"/>
              <w:rPr>
                <w:sz w:val="20"/>
                <w:szCs w:val="20"/>
              </w:rPr>
            </w:pPr>
            <w:r w:rsidRPr="00223505">
              <w:rPr>
                <w:sz w:val="20"/>
                <w:szCs w:val="20"/>
              </w:rPr>
              <w:t>13</w:t>
            </w:r>
          </w:p>
        </w:tc>
        <w:tc>
          <w:tcPr>
            <w:tcW w:w="1713" w:type="dxa"/>
          </w:tcPr>
          <w:p w14:paraId="34595CB3" w14:textId="77777777" w:rsidR="001C0E7F" w:rsidRPr="00223505" w:rsidRDefault="001C0E7F" w:rsidP="00A11DD3">
            <w:pPr>
              <w:spacing w:before="0" w:after="0"/>
              <w:jc w:val="center"/>
              <w:rPr>
                <w:sz w:val="20"/>
                <w:szCs w:val="20"/>
              </w:rPr>
            </w:pPr>
            <w:r w:rsidRPr="00223505">
              <w:rPr>
                <w:sz w:val="20"/>
                <w:szCs w:val="20"/>
              </w:rPr>
              <w:t>9</w:t>
            </w:r>
          </w:p>
        </w:tc>
        <w:tc>
          <w:tcPr>
            <w:tcW w:w="1287" w:type="dxa"/>
          </w:tcPr>
          <w:p w14:paraId="63461D0F" w14:textId="77777777" w:rsidR="001C0E7F" w:rsidRPr="00223505" w:rsidRDefault="001C0E7F" w:rsidP="00A11DD3">
            <w:pPr>
              <w:spacing w:before="0" w:after="0"/>
              <w:jc w:val="center"/>
              <w:rPr>
                <w:sz w:val="20"/>
                <w:szCs w:val="20"/>
              </w:rPr>
            </w:pPr>
            <w:r w:rsidRPr="00223505">
              <w:rPr>
                <w:sz w:val="20"/>
                <w:szCs w:val="20"/>
              </w:rPr>
              <w:t>59.09</w:t>
            </w:r>
          </w:p>
        </w:tc>
        <w:tc>
          <w:tcPr>
            <w:tcW w:w="1271" w:type="dxa"/>
          </w:tcPr>
          <w:p w14:paraId="13D5C715" w14:textId="77777777" w:rsidR="001C0E7F" w:rsidRPr="00223505" w:rsidRDefault="001C0E7F" w:rsidP="00A11DD3">
            <w:pPr>
              <w:spacing w:before="0" w:after="0"/>
              <w:jc w:val="center"/>
              <w:rPr>
                <w:sz w:val="20"/>
                <w:szCs w:val="20"/>
              </w:rPr>
            </w:pPr>
            <w:r w:rsidRPr="00223505">
              <w:rPr>
                <w:sz w:val="20"/>
                <w:szCs w:val="20"/>
              </w:rPr>
              <w:t>40.91</w:t>
            </w:r>
          </w:p>
        </w:tc>
      </w:tr>
      <w:tr w:rsidR="001C0E7F" w:rsidRPr="00223505" w14:paraId="5D9BFCB8" w14:textId="77777777" w:rsidTr="00D055C5">
        <w:trPr>
          <w:trHeight w:val="322"/>
        </w:trPr>
        <w:tc>
          <w:tcPr>
            <w:tcW w:w="4128" w:type="dxa"/>
          </w:tcPr>
          <w:p w14:paraId="29A4B34B" w14:textId="77777777" w:rsidR="001C0E7F" w:rsidRPr="00223505" w:rsidRDefault="001C0E7F" w:rsidP="00A11DD3">
            <w:pPr>
              <w:spacing w:before="0" w:after="0"/>
              <w:rPr>
                <w:sz w:val="20"/>
                <w:szCs w:val="20"/>
              </w:rPr>
            </w:pPr>
            <w:r w:rsidRPr="00223505">
              <w:rPr>
                <w:sz w:val="20"/>
                <w:szCs w:val="20"/>
              </w:rPr>
              <w:t>Knight Frank (Australia)</w:t>
            </w:r>
          </w:p>
        </w:tc>
        <w:tc>
          <w:tcPr>
            <w:tcW w:w="1568" w:type="dxa"/>
          </w:tcPr>
          <w:p w14:paraId="2E7F0A9B" w14:textId="77777777" w:rsidR="001C0E7F" w:rsidRPr="00223505" w:rsidRDefault="001C0E7F" w:rsidP="00A11DD3">
            <w:pPr>
              <w:spacing w:before="0" w:after="0"/>
              <w:jc w:val="center"/>
              <w:rPr>
                <w:sz w:val="20"/>
                <w:szCs w:val="20"/>
              </w:rPr>
            </w:pPr>
            <w:r w:rsidRPr="00223505">
              <w:rPr>
                <w:sz w:val="20"/>
                <w:szCs w:val="20"/>
              </w:rPr>
              <w:t>5</w:t>
            </w:r>
          </w:p>
        </w:tc>
        <w:tc>
          <w:tcPr>
            <w:tcW w:w="1713" w:type="dxa"/>
          </w:tcPr>
          <w:p w14:paraId="5AC6A54A" w14:textId="77777777" w:rsidR="001C0E7F" w:rsidRPr="00223505" w:rsidRDefault="001C0E7F" w:rsidP="00A11DD3">
            <w:pPr>
              <w:spacing w:before="0" w:after="0"/>
              <w:jc w:val="center"/>
              <w:rPr>
                <w:sz w:val="20"/>
                <w:szCs w:val="20"/>
              </w:rPr>
            </w:pPr>
            <w:r w:rsidRPr="00223505">
              <w:rPr>
                <w:sz w:val="20"/>
                <w:szCs w:val="20"/>
              </w:rPr>
              <w:t>4</w:t>
            </w:r>
          </w:p>
        </w:tc>
        <w:tc>
          <w:tcPr>
            <w:tcW w:w="1287" w:type="dxa"/>
          </w:tcPr>
          <w:p w14:paraId="11BFDE94" w14:textId="77777777" w:rsidR="001C0E7F" w:rsidRPr="00223505" w:rsidRDefault="001C0E7F" w:rsidP="00A11DD3">
            <w:pPr>
              <w:spacing w:before="0" w:after="0"/>
              <w:jc w:val="center"/>
              <w:rPr>
                <w:sz w:val="20"/>
                <w:szCs w:val="20"/>
              </w:rPr>
            </w:pPr>
            <w:r w:rsidRPr="00223505">
              <w:rPr>
                <w:sz w:val="20"/>
                <w:szCs w:val="20"/>
              </w:rPr>
              <w:t>55.56</w:t>
            </w:r>
          </w:p>
        </w:tc>
        <w:tc>
          <w:tcPr>
            <w:tcW w:w="1271" w:type="dxa"/>
          </w:tcPr>
          <w:p w14:paraId="08CA8D50" w14:textId="77777777" w:rsidR="001C0E7F" w:rsidRPr="00223505" w:rsidRDefault="001C0E7F" w:rsidP="00A11DD3">
            <w:pPr>
              <w:spacing w:before="0" w:after="0"/>
              <w:jc w:val="center"/>
              <w:rPr>
                <w:sz w:val="20"/>
                <w:szCs w:val="20"/>
              </w:rPr>
            </w:pPr>
            <w:r w:rsidRPr="00223505">
              <w:rPr>
                <w:sz w:val="20"/>
                <w:szCs w:val="20"/>
              </w:rPr>
              <w:t>44.44</w:t>
            </w:r>
          </w:p>
        </w:tc>
      </w:tr>
      <w:tr w:rsidR="001C0E7F" w:rsidRPr="00223505" w14:paraId="5F3F1E43" w14:textId="77777777" w:rsidTr="00D055C5">
        <w:trPr>
          <w:trHeight w:val="338"/>
        </w:trPr>
        <w:tc>
          <w:tcPr>
            <w:tcW w:w="4128" w:type="dxa"/>
          </w:tcPr>
          <w:p w14:paraId="443B03B3" w14:textId="77777777" w:rsidR="001C0E7F" w:rsidRPr="00223505" w:rsidRDefault="001C0E7F" w:rsidP="00A11DD3">
            <w:pPr>
              <w:spacing w:before="0" w:after="0"/>
              <w:rPr>
                <w:sz w:val="20"/>
                <w:szCs w:val="20"/>
              </w:rPr>
            </w:pPr>
            <w:r w:rsidRPr="00223505">
              <w:rPr>
                <w:sz w:val="20"/>
                <w:szCs w:val="20"/>
              </w:rPr>
              <w:t>Deloitte</w:t>
            </w:r>
          </w:p>
        </w:tc>
        <w:tc>
          <w:tcPr>
            <w:tcW w:w="1568" w:type="dxa"/>
          </w:tcPr>
          <w:p w14:paraId="2709B03D" w14:textId="77777777" w:rsidR="001C0E7F" w:rsidRPr="00223505" w:rsidRDefault="001C0E7F" w:rsidP="00A11DD3">
            <w:pPr>
              <w:spacing w:before="0" w:after="0"/>
              <w:jc w:val="center"/>
              <w:rPr>
                <w:sz w:val="20"/>
                <w:szCs w:val="20"/>
              </w:rPr>
            </w:pPr>
            <w:r w:rsidRPr="00223505">
              <w:rPr>
                <w:sz w:val="20"/>
                <w:szCs w:val="20"/>
              </w:rPr>
              <w:t>8</w:t>
            </w:r>
          </w:p>
        </w:tc>
        <w:tc>
          <w:tcPr>
            <w:tcW w:w="1713" w:type="dxa"/>
          </w:tcPr>
          <w:p w14:paraId="39BACF34" w14:textId="77777777" w:rsidR="001C0E7F" w:rsidRPr="00223505" w:rsidRDefault="001C0E7F" w:rsidP="00A11DD3">
            <w:pPr>
              <w:spacing w:before="0" w:after="0"/>
              <w:jc w:val="center"/>
              <w:rPr>
                <w:sz w:val="20"/>
                <w:szCs w:val="20"/>
              </w:rPr>
            </w:pPr>
            <w:r w:rsidRPr="00223505">
              <w:rPr>
                <w:sz w:val="20"/>
                <w:szCs w:val="20"/>
              </w:rPr>
              <w:t>4</w:t>
            </w:r>
          </w:p>
        </w:tc>
        <w:tc>
          <w:tcPr>
            <w:tcW w:w="1287" w:type="dxa"/>
          </w:tcPr>
          <w:p w14:paraId="4EABDCD3" w14:textId="77777777" w:rsidR="001C0E7F" w:rsidRPr="00223505" w:rsidRDefault="001C0E7F" w:rsidP="00A11DD3">
            <w:pPr>
              <w:spacing w:before="0" w:after="0"/>
              <w:jc w:val="center"/>
              <w:rPr>
                <w:sz w:val="20"/>
                <w:szCs w:val="20"/>
              </w:rPr>
            </w:pPr>
            <w:r w:rsidRPr="00223505">
              <w:rPr>
                <w:sz w:val="20"/>
                <w:szCs w:val="20"/>
              </w:rPr>
              <w:t>66.67</w:t>
            </w:r>
          </w:p>
        </w:tc>
        <w:tc>
          <w:tcPr>
            <w:tcW w:w="1271" w:type="dxa"/>
          </w:tcPr>
          <w:p w14:paraId="324369D0" w14:textId="77777777" w:rsidR="001C0E7F" w:rsidRPr="00223505" w:rsidRDefault="001C0E7F" w:rsidP="00A11DD3">
            <w:pPr>
              <w:spacing w:before="0" w:after="0"/>
              <w:jc w:val="center"/>
              <w:rPr>
                <w:sz w:val="20"/>
                <w:szCs w:val="20"/>
              </w:rPr>
            </w:pPr>
            <w:r w:rsidRPr="00223505">
              <w:rPr>
                <w:sz w:val="20"/>
                <w:szCs w:val="20"/>
              </w:rPr>
              <w:t>33.33</w:t>
            </w:r>
          </w:p>
        </w:tc>
      </w:tr>
      <w:tr w:rsidR="001C0E7F" w:rsidRPr="00223505" w14:paraId="03D34349" w14:textId="77777777" w:rsidTr="00D055C5">
        <w:trPr>
          <w:trHeight w:val="338"/>
        </w:trPr>
        <w:tc>
          <w:tcPr>
            <w:tcW w:w="4128" w:type="dxa"/>
          </w:tcPr>
          <w:p w14:paraId="1378D80B" w14:textId="77777777" w:rsidR="001C0E7F" w:rsidRPr="00223505" w:rsidRDefault="001C0E7F" w:rsidP="00A11DD3">
            <w:pPr>
              <w:spacing w:before="0" w:after="0"/>
              <w:rPr>
                <w:sz w:val="20"/>
                <w:szCs w:val="20"/>
              </w:rPr>
            </w:pPr>
            <w:r w:rsidRPr="00223505">
              <w:rPr>
                <w:sz w:val="20"/>
                <w:szCs w:val="20"/>
              </w:rPr>
              <w:t>Urbis</w:t>
            </w:r>
          </w:p>
        </w:tc>
        <w:tc>
          <w:tcPr>
            <w:tcW w:w="1568" w:type="dxa"/>
          </w:tcPr>
          <w:p w14:paraId="1E04E076" w14:textId="77777777" w:rsidR="001C0E7F" w:rsidRPr="00223505" w:rsidRDefault="001C0E7F" w:rsidP="00A11DD3">
            <w:pPr>
              <w:spacing w:before="0" w:after="0"/>
              <w:jc w:val="center"/>
              <w:rPr>
                <w:sz w:val="20"/>
                <w:szCs w:val="20"/>
              </w:rPr>
            </w:pPr>
            <w:r w:rsidRPr="00223505">
              <w:rPr>
                <w:sz w:val="20"/>
                <w:szCs w:val="20"/>
              </w:rPr>
              <w:t>9</w:t>
            </w:r>
          </w:p>
        </w:tc>
        <w:tc>
          <w:tcPr>
            <w:tcW w:w="1713" w:type="dxa"/>
          </w:tcPr>
          <w:p w14:paraId="3C23C6C4" w14:textId="77777777" w:rsidR="001C0E7F" w:rsidRPr="00223505" w:rsidRDefault="001C0E7F" w:rsidP="00A11DD3">
            <w:pPr>
              <w:spacing w:before="0" w:after="0"/>
              <w:jc w:val="center"/>
              <w:rPr>
                <w:sz w:val="20"/>
                <w:szCs w:val="20"/>
              </w:rPr>
            </w:pPr>
            <w:r w:rsidRPr="00223505">
              <w:rPr>
                <w:sz w:val="20"/>
                <w:szCs w:val="20"/>
              </w:rPr>
              <w:t>5</w:t>
            </w:r>
          </w:p>
        </w:tc>
        <w:tc>
          <w:tcPr>
            <w:tcW w:w="1287" w:type="dxa"/>
          </w:tcPr>
          <w:p w14:paraId="438D1403" w14:textId="77777777" w:rsidR="001C0E7F" w:rsidRPr="00223505" w:rsidRDefault="001C0E7F" w:rsidP="00A11DD3">
            <w:pPr>
              <w:spacing w:before="0" w:after="0"/>
              <w:jc w:val="center"/>
              <w:rPr>
                <w:sz w:val="20"/>
                <w:szCs w:val="20"/>
              </w:rPr>
            </w:pPr>
            <w:r w:rsidRPr="00223505">
              <w:rPr>
                <w:sz w:val="20"/>
                <w:szCs w:val="20"/>
              </w:rPr>
              <w:t>64.29</w:t>
            </w:r>
          </w:p>
        </w:tc>
        <w:tc>
          <w:tcPr>
            <w:tcW w:w="1271" w:type="dxa"/>
          </w:tcPr>
          <w:p w14:paraId="16458385" w14:textId="77777777" w:rsidR="001C0E7F" w:rsidRPr="00223505" w:rsidRDefault="001C0E7F" w:rsidP="00A11DD3">
            <w:pPr>
              <w:spacing w:before="0" w:after="0"/>
              <w:jc w:val="center"/>
              <w:rPr>
                <w:sz w:val="20"/>
                <w:szCs w:val="20"/>
              </w:rPr>
            </w:pPr>
            <w:r w:rsidRPr="00223505">
              <w:rPr>
                <w:sz w:val="20"/>
                <w:szCs w:val="20"/>
              </w:rPr>
              <w:t>35.71</w:t>
            </w:r>
          </w:p>
        </w:tc>
      </w:tr>
      <w:tr w:rsidR="001C0E7F" w:rsidRPr="00223505" w14:paraId="3E6899B2" w14:textId="77777777" w:rsidTr="00D055C5">
        <w:trPr>
          <w:trHeight w:val="338"/>
        </w:trPr>
        <w:tc>
          <w:tcPr>
            <w:tcW w:w="4128" w:type="dxa"/>
          </w:tcPr>
          <w:p w14:paraId="5AC90350" w14:textId="77777777" w:rsidR="001C0E7F" w:rsidRPr="00223505" w:rsidRDefault="001C0E7F" w:rsidP="00A11DD3">
            <w:pPr>
              <w:spacing w:before="0" w:after="0"/>
              <w:rPr>
                <w:sz w:val="20"/>
                <w:szCs w:val="20"/>
              </w:rPr>
            </w:pPr>
            <w:r w:rsidRPr="00223505">
              <w:rPr>
                <w:sz w:val="20"/>
                <w:szCs w:val="20"/>
              </w:rPr>
              <w:t>Colliers International</w:t>
            </w:r>
          </w:p>
        </w:tc>
        <w:tc>
          <w:tcPr>
            <w:tcW w:w="1568" w:type="dxa"/>
          </w:tcPr>
          <w:p w14:paraId="6C90EBF3" w14:textId="77777777" w:rsidR="001C0E7F" w:rsidRPr="00223505" w:rsidRDefault="001C0E7F" w:rsidP="00A11DD3">
            <w:pPr>
              <w:spacing w:before="0" w:after="0"/>
              <w:jc w:val="center"/>
              <w:rPr>
                <w:sz w:val="20"/>
                <w:szCs w:val="20"/>
              </w:rPr>
            </w:pPr>
            <w:r w:rsidRPr="00223505">
              <w:rPr>
                <w:sz w:val="20"/>
                <w:szCs w:val="20"/>
              </w:rPr>
              <w:t>19</w:t>
            </w:r>
          </w:p>
        </w:tc>
        <w:tc>
          <w:tcPr>
            <w:tcW w:w="1713" w:type="dxa"/>
          </w:tcPr>
          <w:p w14:paraId="0EB8CBF5" w14:textId="77777777" w:rsidR="001C0E7F" w:rsidRPr="00223505" w:rsidRDefault="001C0E7F" w:rsidP="00A11DD3">
            <w:pPr>
              <w:spacing w:before="0" w:after="0"/>
              <w:jc w:val="center"/>
              <w:rPr>
                <w:sz w:val="20"/>
                <w:szCs w:val="20"/>
              </w:rPr>
            </w:pPr>
            <w:r w:rsidRPr="00223505">
              <w:rPr>
                <w:sz w:val="20"/>
                <w:szCs w:val="20"/>
              </w:rPr>
              <w:t>2</w:t>
            </w:r>
          </w:p>
        </w:tc>
        <w:tc>
          <w:tcPr>
            <w:tcW w:w="1287" w:type="dxa"/>
          </w:tcPr>
          <w:p w14:paraId="62752116" w14:textId="77777777" w:rsidR="001C0E7F" w:rsidRPr="00223505" w:rsidRDefault="001C0E7F" w:rsidP="00A11DD3">
            <w:pPr>
              <w:spacing w:before="0" w:after="0"/>
              <w:jc w:val="center"/>
              <w:rPr>
                <w:sz w:val="20"/>
                <w:szCs w:val="20"/>
              </w:rPr>
            </w:pPr>
            <w:r w:rsidRPr="00223505">
              <w:rPr>
                <w:sz w:val="20"/>
                <w:szCs w:val="20"/>
              </w:rPr>
              <w:t>90.48</w:t>
            </w:r>
          </w:p>
        </w:tc>
        <w:tc>
          <w:tcPr>
            <w:tcW w:w="1271" w:type="dxa"/>
          </w:tcPr>
          <w:p w14:paraId="428333D7" w14:textId="77777777" w:rsidR="001C0E7F" w:rsidRPr="00223505" w:rsidRDefault="001C0E7F" w:rsidP="00A11DD3">
            <w:pPr>
              <w:spacing w:before="0" w:after="0"/>
              <w:jc w:val="center"/>
              <w:rPr>
                <w:sz w:val="20"/>
                <w:szCs w:val="20"/>
              </w:rPr>
            </w:pPr>
            <w:r w:rsidRPr="00223505">
              <w:rPr>
                <w:sz w:val="20"/>
                <w:szCs w:val="20"/>
              </w:rPr>
              <w:t>9.52</w:t>
            </w:r>
          </w:p>
        </w:tc>
      </w:tr>
      <w:tr w:rsidR="001C0E7F" w:rsidRPr="00223505" w14:paraId="5CD8196C" w14:textId="77777777" w:rsidTr="00D055C5">
        <w:trPr>
          <w:trHeight w:val="338"/>
        </w:trPr>
        <w:tc>
          <w:tcPr>
            <w:tcW w:w="4128" w:type="dxa"/>
          </w:tcPr>
          <w:p w14:paraId="4DDD0C4B" w14:textId="77777777" w:rsidR="001C0E7F" w:rsidRPr="00223505" w:rsidRDefault="001C0E7F" w:rsidP="00A11DD3">
            <w:pPr>
              <w:spacing w:before="0" w:after="0"/>
              <w:rPr>
                <w:sz w:val="20"/>
                <w:szCs w:val="20"/>
              </w:rPr>
            </w:pPr>
            <w:r w:rsidRPr="00223505">
              <w:rPr>
                <w:sz w:val="20"/>
                <w:szCs w:val="20"/>
              </w:rPr>
              <w:t>Savills</w:t>
            </w:r>
          </w:p>
        </w:tc>
        <w:tc>
          <w:tcPr>
            <w:tcW w:w="1568" w:type="dxa"/>
          </w:tcPr>
          <w:p w14:paraId="342D6FCA" w14:textId="77777777" w:rsidR="001C0E7F" w:rsidRPr="00223505" w:rsidRDefault="001C0E7F" w:rsidP="00A11DD3">
            <w:pPr>
              <w:spacing w:before="0" w:after="0"/>
              <w:jc w:val="center"/>
              <w:rPr>
                <w:sz w:val="20"/>
                <w:szCs w:val="20"/>
              </w:rPr>
            </w:pPr>
            <w:r w:rsidRPr="00223505">
              <w:rPr>
                <w:sz w:val="20"/>
                <w:szCs w:val="20"/>
              </w:rPr>
              <w:t>9</w:t>
            </w:r>
          </w:p>
        </w:tc>
        <w:tc>
          <w:tcPr>
            <w:tcW w:w="1713" w:type="dxa"/>
          </w:tcPr>
          <w:p w14:paraId="4E266A5B" w14:textId="77777777" w:rsidR="001C0E7F" w:rsidRPr="00223505" w:rsidRDefault="001C0E7F" w:rsidP="00A11DD3">
            <w:pPr>
              <w:spacing w:before="0" w:after="0"/>
              <w:jc w:val="center"/>
              <w:rPr>
                <w:sz w:val="20"/>
                <w:szCs w:val="20"/>
              </w:rPr>
            </w:pPr>
            <w:r w:rsidRPr="00223505">
              <w:rPr>
                <w:sz w:val="20"/>
                <w:szCs w:val="20"/>
              </w:rPr>
              <w:t>1</w:t>
            </w:r>
          </w:p>
        </w:tc>
        <w:tc>
          <w:tcPr>
            <w:tcW w:w="1287" w:type="dxa"/>
          </w:tcPr>
          <w:p w14:paraId="32CAF3F6" w14:textId="77777777" w:rsidR="001C0E7F" w:rsidRPr="00223505" w:rsidRDefault="001C0E7F" w:rsidP="00A11DD3">
            <w:pPr>
              <w:spacing w:before="0" w:after="0"/>
              <w:jc w:val="center"/>
              <w:rPr>
                <w:sz w:val="20"/>
                <w:szCs w:val="20"/>
              </w:rPr>
            </w:pPr>
            <w:r w:rsidRPr="00223505">
              <w:rPr>
                <w:sz w:val="20"/>
                <w:szCs w:val="20"/>
              </w:rPr>
              <w:t>90</w:t>
            </w:r>
          </w:p>
        </w:tc>
        <w:tc>
          <w:tcPr>
            <w:tcW w:w="1271" w:type="dxa"/>
          </w:tcPr>
          <w:p w14:paraId="2EFDE21C" w14:textId="77777777" w:rsidR="001C0E7F" w:rsidRPr="00223505" w:rsidRDefault="001C0E7F" w:rsidP="00A11DD3">
            <w:pPr>
              <w:spacing w:before="0" w:after="0"/>
              <w:jc w:val="center"/>
              <w:rPr>
                <w:sz w:val="20"/>
                <w:szCs w:val="20"/>
              </w:rPr>
            </w:pPr>
            <w:r w:rsidRPr="00223505">
              <w:rPr>
                <w:sz w:val="20"/>
                <w:szCs w:val="20"/>
              </w:rPr>
              <w:t>10</w:t>
            </w:r>
          </w:p>
        </w:tc>
      </w:tr>
      <w:tr w:rsidR="001C0E7F" w:rsidRPr="00223505" w14:paraId="39C21497" w14:textId="77777777" w:rsidTr="00D055C5">
        <w:trPr>
          <w:trHeight w:val="338"/>
        </w:trPr>
        <w:tc>
          <w:tcPr>
            <w:tcW w:w="4128" w:type="dxa"/>
          </w:tcPr>
          <w:p w14:paraId="6954287C" w14:textId="77777777" w:rsidR="001C0E7F" w:rsidRPr="00223505" w:rsidRDefault="001C0E7F" w:rsidP="00A11DD3">
            <w:pPr>
              <w:spacing w:before="0" w:after="0"/>
              <w:rPr>
                <w:sz w:val="20"/>
                <w:szCs w:val="20"/>
              </w:rPr>
            </w:pPr>
            <w:r w:rsidRPr="00223505">
              <w:rPr>
                <w:sz w:val="20"/>
                <w:szCs w:val="20"/>
              </w:rPr>
              <w:t>BMT Property Valuers and Quantity Surveyors</w:t>
            </w:r>
          </w:p>
        </w:tc>
        <w:tc>
          <w:tcPr>
            <w:tcW w:w="1568" w:type="dxa"/>
          </w:tcPr>
          <w:p w14:paraId="5CA21E99" w14:textId="77777777" w:rsidR="001C0E7F" w:rsidRPr="00223505" w:rsidRDefault="001C0E7F" w:rsidP="00A11DD3">
            <w:pPr>
              <w:spacing w:before="0" w:after="0"/>
              <w:jc w:val="center"/>
              <w:rPr>
                <w:sz w:val="20"/>
                <w:szCs w:val="20"/>
              </w:rPr>
            </w:pPr>
            <w:r w:rsidRPr="00223505">
              <w:rPr>
                <w:sz w:val="20"/>
                <w:szCs w:val="20"/>
              </w:rPr>
              <w:t>2</w:t>
            </w:r>
          </w:p>
        </w:tc>
        <w:tc>
          <w:tcPr>
            <w:tcW w:w="1713" w:type="dxa"/>
          </w:tcPr>
          <w:p w14:paraId="527CAF98" w14:textId="77777777" w:rsidR="001C0E7F" w:rsidRPr="00223505" w:rsidRDefault="001C0E7F" w:rsidP="00A11DD3">
            <w:pPr>
              <w:spacing w:before="0" w:after="0"/>
              <w:jc w:val="center"/>
              <w:rPr>
                <w:sz w:val="20"/>
                <w:szCs w:val="20"/>
              </w:rPr>
            </w:pPr>
            <w:r w:rsidRPr="00223505">
              <w:rPr>
                <w:sz w:val="20"/>
                <w:szCs w:val="20"/>
              </w:rPr>
              <w:t>0</w:t>
            </w:r>
          </w:p>
        </w:tc>
        <w:tc>
          <w:tcPr>
            <w:tcW w:w="1287" w:type="dxa"/>
          </w:tcPr>
          <w:p w14:paraId="14693629" w14:textId="77777777" w:rsidR="001C0E7F" w:rsidRPr="00223505" w:rsidRDefault="001C0E7F" w:rsidP="00A11DD3">
            <w:pPr>
              <w:spacing w:before="0" w:after="0"/>
              <w:jc w:val="center"/>
              <w:rPr>
                <w:sz w:val="20"/>
                <w:szCs w:val="20"/>
              </w:rPr>
            </w:pPr>
            <w:r w:rsidRPr="00223505">
              <w:rPr>
                <w:sz w:val="20"/>
                <w:szCs w:val="20"/>
              </w:rPr>
              <w:t>100</w:t>
            </w:r>
          </w:p>
        </w:tc>
        <w:tc>
          <w:tcPr>
            <w:tcW w:w="1271" w:type="dxa"/>
          </w:tcPr>
          <w:p w14:paraId="234F7181" w14:textId="77777777" w:rsidR="001C0E7F" w:rsidRPr="00223505" w:rsidRDefault="001C0E7F" w:rsidP="00A11DD3">
            <w:pPr>
              <w:spacing w:before="0" w:after="0"/>
              <w:jc w:val="center"/>
              <w:rPr>
                <w:sz w:val="20"/>
                <w:szCs w:val="20"/>
              </w:rPr>
            </w:pPr>
            <w:r w:rsidRPr="00223505">
              <w:rPr>
                <w:sz w:val="20"/>
                <w:szCs w:val="20"/>
              </w:rPr>
              <w:t>0</w:t>
            </w:r>
          </w:p>
        </w:tc>
      </w:tr>
      <w:tr w:rsidR="001C0E7F" w:rsidRPr="00223505" w14:paraId="1C814C33" w14:textId="77777777" w:rsidTr="00D055C5">
        <w:trPr>
          <w:trHeight w:val="322"/>
        </w:trPr>
        <w:tc>
          <w:tcPr>
            <w:tcW w:w="4128" w:type="dxa"/>
          </w:tcPr>
          <w:p w14:paraId="659CBD92" w14:textId="77777777" w:rsidR="001C0E7F" w:rsidRPr="00223505" w:rsidRDefault="001C0E7F" w:rsidP="00A11DD3">
            <w:pPr>
              <w:spacing w:before="0" w:after="0"/>
              <w:rPr>
                <w:sz w:val="20"/>
                <w:szCs w:val="20"/>
              </w:rPr>
            </w:pPr>
            <w:r w:rsidRPr="00223505">
              <w:rPr>
                <w:sz w:val="20"/>
                <w:szCs w:val="20"/>
              </w:rPr>
              <w:t>WBP Group Pty Ltd</w:t>
            </w:r>
          </w:p>
        </w:tc>
        <w:tc>
          <w:tcPr>
            <w:tcW w:w="1568" w:type="dxa"/>
          </w:tcPr>
          <w:p w14:paraId="49216647" w14:textId="77777777" w:rsidR="001C0E7F" w:rsidRPr="00223505" w:rsidRDefault="001C0E7F" w:rsidP="00A11DD3">
            <w:pPr>
              <w:spacing w:before="0" w:after="0"/>
              <w:jc w:val="center"/>
              <w:rPr>
                <w:sz w:val="20"/>
                <w:szCs w:val="20"/>
              </w:rPr>
            </w:pPr>
            <w:r w:rsidRPr="00223505">
              <w:rPr>
                <w:sz w:val="20"/>
                <w:szCs w:val="20"/>
              </w:rPr>
              <w:t>3</w:t>
            </w:r>
          </w:p>
        </w:tc>
        <w:tc>
          <w:tcPr>
            <w:tcW w:w="1713" w:type="dxa"/>
          </w:tcPr>
          <w:p w14:paraId="215D7C46" w14:textId="77777777" w:rsidR="001C0E7F" w:rsidRPr="00223505" w:rsidRDefault="001C0E7F" w:rsidP="00A11DD3">
            <w:pPr>
              <w:spacing w:before="0" w:after="0"/>
              <w:jc w:val="center"/>
              <w:rPr>
                <w:sz w:val="20"/>
                <w:szCs w:val="20"/>
              </w:rPr>
            </w:pPr>
            <w:r w:rsidRPr="00223505">
              <w:rPr>
                <w:sz w:val="20"/>
                <w:szCs w:val="20"/>
              </w:rPr>
              <w:t>3</w:t>
            </w:r>
          </w:p>
        </w:tc>
        <w:tc>
          <w:tcPr>
            <w:tcW w:w="1287" w:type="dxa"/>
          </w:tcPr>
          <w:p w14:paraId="1A75520A" w14:textId="77777777" w:rsidR="001C0E7F" w:rsidRPr="00223505" w:rsidRDefault="001C0E7F" w:rsidP="00A11DD3">
            <w:pPr>
              <w:spacing w:before="0" w:after="0"/>
              <w:jc w:val="center"/>
              <w:rPr>
                <w:sz w:val="20"/>
                <w:szCs w:val="20"/>
              </w:rPr>
            </w:pPr>
            <w:r w:rsidRPr="00223505">
              <w:rPr>
                <w:sz w:val="20"/>
                <w:szCs w:val="20"/>
              </w:rPr>
              <w:t>50</w:t>
            </w:r>
          </w:p>
        </w:tc>
        <w:tc>
          <w:tcPr>
            <w:tcW w:w="1271" w:type="dxa"/>
          </w:tcPr>
          <w:p w14:paraId="21D8FD7C" w14:textId="77777777" w:rsidR="001C0E7F" w:rsidRPr="00223505" w:rsidRDefault="001C0E7F" w:rsidP="00A11DD3">
            <w:pPr>
              <w:spacing w:before="0" w:after="0"/>
              <w:jc w:val="center"/>
              <w:rPr>
                <w:sz w:val="20"/>
                <w:szCs w:val="20"/>
              </w:rPr>
            </w:pPr>
            <w:r w:rsidRPr="00223505">
              <w:rPr>
                <w:sz w:val="20"/>
                <w:szCs w:val="20"/>
              </w:rPr>
              <w:t>50</w:t>
            </w:r>
          </w:p>
        </w:tc>
      </w:tr>
      <w:tr w:rsidR="001C0E7F" w:rsidRPr="00223505" w14:paraId="18270C53" w14:textId="77777777" w:rsidTr="00D055C5">
        <w:trPr>
          <w:trHeight w:val="122"/>
        </w:trPr>
        <w:tc>
          <w:tcPr>
            <w:tcW w:w="4128" w:type="dxa"/>
          </w:tcPr>
          <w:p w14:paraId="27550550" w14:textId="77777777" w:rsidR="001C0E7F" w:rsidRPr="00223505" w:rsidRDefault="001C0E7F" w:rsidP="00A11DD3">
            <w:pPr>
              <w:spacing w:before="0" w:after="0"/>
              <w:rPr>
                <w:sz w:val="20"/>
                <w:szCs w:val="20"/>
              </w:rPr>
            </w:pPr>
            <w:r w:rsidRPr="00223505">
              <w:rPr>
                <w:sz w:val="20"/>
                <w:szCs w:val="20"/>
              </w:rPr>
              <w:t>Valuations Vic (including Valuations NSW, QLD, NT, TAS, SA, ACT and West Coast Valuers)</w:t>
            </w:r>
          </w:p>
        </w:tc>
        <w:tc>
          <w:tcPr>
            <w:tcW w:w="1568" w:type="dxa"/>
          </w:tcPr>
          <w:p w14:paraId="03B99E2A" w14:textId="77777777" w:rsidR="001C0E7F" w:rsidRPr="00223505" w:rsidRDefault="001C0E7F" w:rsidP="00A11DD3">
            <w:pPr>
              <w:spacing w:before="0" w:after="0"/>
              <w:jc w:val="center"/>
              <w:rPr>
                <w:sz w:val="20"/>
                <w:szCs w:val="20"/>
              </w:rPr>
            </w:pPr>
            <w:r w:rsidRPr="00223505">
              <w:rPr>
                <w:sz w:val="20"/>
                <w:szCs w:val="20"/>
              </w:rPr>
              <w:t>-</w:t>
            </w:r>
          </w:p>
        </w:tc>
        <w:tc>
          <w:tcPr>
            <w:tcW w:w="1713" w:type="dxa"/>
          </w:tcPr>
          <w:p w14:paraId="02F56B68" w14:textId="77777777" w:rsidR="001C0E7F" w:rsidRPr="00223505" w:rsidRDefault="001C0E7F" w:rsidP="00A11DD3">
            <w:pPr>
              <w:spacing w:before="0" w:after="0"/>
              <w:jc w:val="center"/>
              <w:rPr>
                <w:sz w:val="20"/>
                <w:szCs w:val="20"/>
              </w:rPr>
            </w:pPr>
            <w:r w:rsidRPr="00223505">
              <w:rPr>
                <w:sz w:val="20"/>
                <w:szCs w:val="20"/>
              </w:rPr>
              <w:t>-</w:t>
            </w:r>
          </w:p>
        </w:tc>
        <w:tc>
          <w:tcPr>
            <w:tcW w:w="1287" w:type="dxa"/>
          </w:tcPr>
          <w:p w14:paraId="1C262676" w14:textId="77777777" w:rsidR="001C0E7F" w:rsidRPr="00223505" w:rsidRDefault="001C0E7F" w:rsidP="00A11DD3">
            <w:pPr>
              <w:spacing w:before="0" w:after="0"/>
              <w:jc w:val="center"/>
              <w:rPr>
                <w:sz w:val="20"/>
                <w:szCs w:val="20"/>
              </w:rPr>
            </w:pPr>
            <w:r w:rsidRPr="00223505">
              <w:rPr>
                <w:sz w:val="20"/>
                <w:szCs w:val="20"/>
              </w:rPr>
              <w:t>-</w:t>
            </w:r>
          </w:p>
        </w:tc>
        <w:tc>
          <w:tcPr>
            <w:tcW w:w="1271" w:type="dxa"/>
          </w:tcPr>
          <w:p w14:paraId="7E9E40C0" w14:textId="77777777" w:rsidR="001C0E7F" w:rsidRPr="00223505" w:rsidRDefault="001C0E7F" w:rsidP="00A11DD3">
            <w:pPr>
              <w:spacing w:before="0" w:after="0"/>
              <w:jc w:val="center"/>
              <w:rPr>
                <w:sz w:val="20"/>
                <w:szCs w:val="20"/>
              </w:rPr>
            </w:pPr>
            <w:r w:rsidRPr="00223505">
              <w:rPr>
                <w:sz w:val="20"/>
                <w:szCs w:val="20"/>
              </w:rPr>
              <w:t>-</w:t>
            </w:r>
          </w:p>
        </w:tc>
      </w:tr>
      <w:tr w:rsidR="001C0E7F" w:rsidRPr="00223505" w14:paraId="10671419" w14:textId="77777777" w:rsidTr="00D055C5">
        <w:trPr>
          <w:trHeight w:val="338"/>
        </w:trPr>
        <w:tc>
          <w:tcPr>
            <w:tcW w:w="4128" w:type="dxa"/>
          </w:tcPr>
          <w:p w14:paraId="2D108852" w14:textId="77777777" w:rsidR="001C0E7F" w:rsidRPr="00223505" w:rsidRDefault="001C0E7F" w:rsidP="00A11DD3">
            <w:pPr>
              <w:spacing w:before="0" w:after="0"/>
              <w:rPr>
                <w:sz w:val="20"/>
                <w:szCs w:val="20"/>
              </w:rPr>
            </w:pPr>
            <w:r w:rsidRPr="00223505">
              <w:rPr>
                <w:sz w:val="20"/>
                <w:szCs w:val="20"/>
              </w:rPr>
              <w:t>IPN Valuers</w:t>
            </w:r>
          </w:p>
        </w:tc>
        <w:tc>
          <w:tcPr>
            <w:tcW w:w="1568" w:type="dxa"/>
          </w:tcPr>
          <w:p w14:paraId="6E4A8628" w14:textId="77777777" w:rsidR="001C0E7F" w:rsidRPr="00223505" w:rsidRDefault="001C0E7F" w:rsidP="00A11DD3">
            <w:pPr>
              <w:spacing w:before="0" w:after="0"/>
              <w:jc w:val="center"/>
              <w:rPr>
                <w:sz w:val="20"/>
                <w:szCs w:val="20"/>
              </w:rPr>
            </w:pPr>
            <w:r w:rsidRPr="00223505">
              <w:rPr>
                <w:sz w:val="20"/>
                <w:szCs w:val="20"/>
              </w:rPr>
              <w:t>-</w:t>
            </w:r>
          </w:p>
        </w:tc>
        <w:tc>
          <w:tcPr>
            <w:tcW w:w="1713" w:type="dxa"/>
          </w:tcPr>
          <w:p w14:paraId="3C099A9A" w14:textId="77777777" w:rsidR="001C0E7F" w:rsidRPr="00223505" w:rsidRDefault="001C0E7F" w:rsidP="00A11DD3">
            <w:pPr>
              <w:spacing w:before="0" w:after="0"/>
              <w:jc w:val="center"/>
              <w:rPr>
                <w:sz w:val="20"/>
                <w:szCs w:val="20"/>
              </w:rPr>
            </w:pPr>
            <w:r w:rsidRPr="00223505">
              <w:rPr>
                <w:sz w:val="20"/>
                <w:szCs w:val="20"/>
              </w:rPr>
              <w:t>-</w:t>
            </w:r>
          </w:p>
        </w:tc>
        <w:tc>
          <w:tcPr>
            <w:tcW w:w="1287" w:type="dxa"/>
          </w:tcPr>
          <w:p w14:paraId="577CD957" w14:textId="77777777" w:rsidR="001C0E7F" w:rsidRPr="00223505" w:rsidRDefault="001C0E7F" w:rsidP="00A11DD3">
            <w:pPr>
              <w:spacing w:before="0" w:after="0"/>
              <w:jc w:val="center"/>
              <w:rPr>
                <w:sz w:val="20"/>
                <w:szCs w:val="20"/>
              </w:rPr>
            </w:pPr>
            <w:r w:rsidRPr="00223505">
              <w:rPr>
                <w:sz w:val="20"/>
                <w:szCs w:val="20"/>
              </w:rPr>
              <w:t>-</w:t>
            </w:r>
          </w:p>
        </w:tc>
        <w:tc>
          <w:tcPr>
            <w:tcW w:w="1271" w:type="dxa"/>
          </w:tcPr>
          <w:p w14:paraId="6BAABED0" w14:textId="77777777" w:rsidR="001C0E7F" w:rsidRPr="00223505" w:rsidRDefault="001C0E7F" w:rsidP="00A11DD3">
            <w:pPr>
              <w:spacing w:before="0" w:after="0"/>
              <w:jc w:val="center"/>
              <w:rPr>
                <w:sz w:val="20"/>
                <w:szCs w:val="20"/>
              </w:rPr>
            </w:pPr>
            <w:r w:rsidRPr="00223505">
              <w:rPr>
                <w:sz w:val="20"/>
                <w:szCs w:val="20"/>
              </w:rPr>
              <w:t>-</w:t>
            </w:r>
          </w:p>
        </w:tc>
      </w:tr>
      <w:tr w:rsidR="001C0E7F" w:rsidRPr="00223505" w14:paraId="0D772A22" w14:textId="77777777" w:rsidTr="00D055C5">
        <w:trPr>
          <w:trHeight w:val="338"/>
        </w:trPr>
        <w:tc>
          <w:tcPr>
            <w:tcW w:w="4128" w:type="dxa"/>
          </w:tcPr>
          <w:p w14:paraId="5D7AB129" w14:textId="77777777" w:rsidR="001C0E7F" w:rsidRPr="00223505" w:rsidRDefault="001C0E7F" w:rsidP="00A11DD3">
            <w:pPr>
              <w:spacing w:before="0" w:after="0"/>
              <w:rPr>
                <w:sz w:val="20"/>
                <w:szCs w:val="20"/>
              </w:rPr>
            </w:pPr>
            <w:r w:rsidRPr="00223505">
              <w:rPr>
                <w:sz w:val="20"/>
                <w:szCs w:val="20"/>
              </w:rPr>
              <w:t>All suburb Valuers</w:t>
            </w:r>
          </w:p>
        </w:tc>
        <w:tc>
          <w:tcPr>
            <w:tcW w:w="1568" w:type="dxa"/>
          </w:tcPr>
          <w:p w14:paraId="46EB66EF" w14:textId="77777777" w:rsidR="001C0E7F" w:rsidRPr="00223505" w:rsidRDefault="001C0E7F" w:rsidP="00A11DD3">
            <w:pPr>
              <w:spacing w:before="0" w:after="0"/>
              <w:jc w:val="center"/>
              <w:rPr>
                <w:sz w:val="20"/>
                <w:szCs w:val="20"/>
              </w:rPr>
            </w:pPr>
            <w:r w:rsidRPr="00223505">
              <w:rPr>
                <w:sz w:val="20"/>
                <w:szCs w:val="20"/>
              </w:rPr>
              <w:t>-</w:t>
            </w:r>
          </w:p>
        </w:tc>
        <w:tc>
          <w:tcPr>
            <w:tcW w:w="1713" w:type="dxa"/>
          </w:tcPr>
          <w:p w14:paraId="4FD8AE06" w14:textId="77777777" w:rsidR="001C0E7F" w:rsidRPr="00223505" w:rsidRDefault="001C0E7F" w:rsidP="00A11DD3">
            <w:pPr>
              <w:spacing w:before="0" w:after="0"/>
              <w:jc w:val="center"/>
              <w:rPr>
                <w:sz w:val="20"/>
                <w:szCs w:val="20"/>
              </w:rPr>
            </w:pPr>
            <w:r w:rsidRPr="00223505">
              <w:rPr>
                <w:sz w:val="20"/>
                <w:szCs w:val="20"/>
              </w:rPr>
              <w:t>-</w:t>
            </w:r>
          </w:p>
        </w:tc>
        <w:tc>
          <w:tcPr>
            <w:tcW w:w="1287" w:type="dxa"/>
          </w:tcPr>
          <w:p w14:paraId="4698F5CB" w14:textId="77777777" w:rsidR="001C0E7F" w:rsidRPr="00223505" w:rsidRDefault="001C0E7F" w:rsidP="00A11DD3">
            <w:pPr>
              <w:spacing w:before="0" w:after="0"/>
              <w:jc w:val="center"/>
              <w:rPr>
                <w:sz w:val="20"/>
                <w:szCs w:val="20"/>
              </w:rPr>
            </w:pPr>
            <w:r w:rsidRPr="00223505">
              <w:rPr>
                <w:sz w:val="20"/>
                <w:szCs w:val="20"/>
              </w:rPr>
              <w:t>-</w:t>
            </w:r>
          </w:p>
        </w:tc>
        <w:tc>
          <w:tcPr>
            <w:tcW w:w="1271" w:type="dxa"/>
          </w:tcPr>
          <w:p w14:paraId="751A4FE0" w14:textId="77777777" w:rsidR="001C0E7F" w:rsidRPr="00223505" w:rsidRDefault="001C0E7F" w:rsidP="00A11DD3">
            <w:pPr>
              <w:spacing w:before="0" w:after="0"/>
              <w:jc w:val="center"/>
              <w:rPr>
                <w:sz w:val="20"/>
                <w:szCs w:val="20"/>
              </w:rPr>
            </w:pPr>
            <w:r w:rsidRPr="00223505">
              <w:rPr>
                <w:sz w:val="20"/>
                <w:szCs w:val="20"/>
              </w:rPr>
              <w:t>-</w:t>
            </w:r>
          </w:p>
        </w:tc>
      </w:tr>
      <w:tr w:rsidR="001C0E7F" w:rsidRPr="00223505" w14:paraId="3C8AF3E1" w14:textId="77777777" w:rsidTr="00D055C5">
        <w:trPr>
          <w:trHeight w:val="338"/>
        </w:trPr>
        <w:tc>
          <w:tcPr>
            <w:tcW w:w="4128" w:type="dxa"/>
          </w:tcPr>
          <w:p w14:paraId="2F98013E" w14:textId="77777777" w:rsidR="001C0E7F" w:rsidRPr="00223505" w:rsidRDefault="001C0E7F" w:rsidP="00A11DD3">
            <w:pPr>
              <w:spacing w:before="0" w:after="0"/>
              <w:rPr>
                <w:b/>
                <w:bCs/>
                <w:sz w:val="20"/>
                <w:szCs w:val="20"/>
              </w:rPr>
            </w:pPr>
            <w:r w:rsidRPr="00223505">
              <w:rPr>
                <w:b/>
                <w:bCs/>
                <w:sz w:val="20"/>
                <w:szCs w:val="20"/>
              </w:rPr>
              <w:t>Total</w:t>
            </w:r>
          </w:p>
        </w:tc>
        <w:tc>
          <w:tcPr>
            <w:tcW w:w="1568" w:type="dxa"/>
          </w:tcPr>
          <w:p w14:paraId="75746569" w14:textId="77777777" w:rsidR="001C0E7F" w:rsidRPr="00223505" w:rsidRDefault="001C0E7F" w:rsidP="00A11DD3">
            <w:pPr>
              <w:spacing w:before="0" w:after="0"/>
              <w:jc w:val="center"/>
              <w:rPr>
                <w:b/>
                <w:bCs/>
                <w:sz w:val="20"/>
                <w:szCs w:val="20"/>
              </w:rPr>
            </w:pPr>
            <w:r w:rsidRPr="00223505">
              <w:rPr>
                <w:b/>
                <w:bCs/>
                <w:sz w:val="20"/>
                <w:szCs w:val="20"/>
              </w:rPr>
              <w:t>174</w:t>
            </w:r>
          </w:p>
        </w:tc>
        <w:tc>
          <w:tcPr>
            <w:tcW w:w="1713" w:type="dxa"/>
          </w:tcPr>
          <w:p w14:paraId="0D636EB3" w14:textId="77777777" w:rsidR="001C0E7F" w:rsidRPr="00223505" w:rsidRDefault="001C0E7F" w:rsidP="00A11DD3">
            <w:pPr>
              <w:spacing w:before="0" w:after="0"/>
              <w:jc w:val="center"/>
              <w:rPr>
                <w:b/>
                <w:bCs/>
                <w:sz w:val="20"/>
                <w:szCs w:val="20"/>
              </w:rPr>
            </w:pPr>
            <w:r w:rsidRPr="00223505">
              <w:rPr>
                <w:b/>
                <w:bCs/>
                <w:sz w:val="20"/>
                <w:szCs w:val="20"/>
              </w:rPr>
              <w:t>54</w:t>
            </w:r>
          </w:p>
        </w:tc>
        <w:tc>
          <w:tcPr>
            <w:tcW w:w="1287" w:type="dxa"/>
          </w:tcPr>
          <w:p w14:paraId="3A9A7EC0" w14:textId="77777777" w:rsidR="001C0E7F" w:rsidRPr="00223505" w:rsidRDefault="001C0E7F" w:rsidP="00A11DD3">
            <w:pPr>
              <w:spacing w:before="0" w:after="0"/>
              <w:jc w:val="center"/>
              <w:rPr>
                <w:b/>
                <w:bCs/>
                <w:sz w:val="20"/>
                <w:szCs w:val="20"/>
              </w:rPr>
            </w:pPr>
            <w:r w:rsidRPr="00223505">
              <w:rPr>
                <w:b/>
                <w:bCs/>
                <w:sz w:val="20"/>
                <w:szCs w:val="20"/>
              </w:rPr>
              <w:t>77.68</w:t>
            </w:r>
          </w:p>
        </w:tc>
        <w:tc>
          <w:tcPr>
            <w:tcW w:w="1271" w:type="dxa"/>
          </w:tcPr>
          <w:p w14:paraId="53FD6EA8" w14:textId="77777777" w:rsidR="001C0E7F" w:rsidRPr="00223505" w:rsidRDefault="001C0E7F" w:rsidP="00A11DD3">
            <w:pPr>
              <w:spacing w:before="0" w:after="0"/>
              <w:jc w:val="center"/>
              <w:rPr>
                <w:b/>
                <w:bCs/>
                <w:sz w:val="20"/>
                <w:szCs w:val="20"/>
              </w:rPr>
            </w:pPr>
            <w:r w:rsidRPr="00223505">
              <w:rPr>
                <w:b/>
                <w:bCs/>
                <w:sz w:val="20"/>
                <w:szCs w:val="20"/>
              </w:rPr>
              <w:t>22.32</w:t>
            </w:r>
          </w:p>
        </w:tc>
      </w:tr>
    </w:tbl>
    <w:p w14:paraId="39BAD834" w14:textId="37861D28" w:rsidR="001C0E7F" w:rsidRPr="007C4901" w:rsidRDefault="00E15FA1" w:rsidP="00A11DD3">
      <w:pPr>
        <w:spacing w:before="0" w:after="0"/>
        <w:rPr>
          <w:sz w:val="24"/>
        </w:rPr>
      </w:pPr>
      <w:r w:rsidRPr="007C4901">
        <w:rPr>
          <w:sz w:val="24"/>
        </w:rPr>
        <w:t>(</w:t>
      </w:r>
      <w:r w:rsidR="001C0E7F" w:rsidRPr="007C4901">
        <w:rPr>
          <w:sz w:val="24"/>
        </w:rPr>
        <w:t>Source: Based on data compiled from the studied companies’ websites</w:t>
      </w:r>
      <w:r w:rsidRPr="007C4901">
        <w:rPr>
          <w:sz w:val="24"/>
        </w:rPr>
        <w:t>)</w:t>
      </w:r>
    </w:p>
    <w:p w14:paraId="77D4C81E" w14:textId="77777777" w:rsidR="00D67BE9" w:rsidRPr="007C4901" w:rsidRDefault="00D67BE9" w:rsidP="00A11DD3">
      <w:pPr>
        <w:spacing w:before="0" w:after="0"/>
        <w:rPr>
          <w:sz w:val="24"/>
        </w:rPr>
      </w:pPr>
    </w:p>
    <w:p w14:paraId="7842118B" w14:textId="4369378A" w:rsidR="003D26C6" w:rsidRPr="007C4901" w:rsidRDefault="00BF65FB" w:rsidP="00A11DD3">
      <w:pPr>
        <w:spacing w:before="0" w:after="0"/>
        <w:rPr>
          <w:sz w:val="24"/>
        </w:rPr>
      </w:pPr>
      <w:r w:rsidRPr="007C4901">
        <w:rPr>
          <w:sz w:val="24"/>
        </w:rPr>
        <w:t xml:space="preserve">Herron Todd White and WBP Group Pty Limited have the most gender diverse executive teams, with women participation at 57.14% and 50%, respectively, in terms of their leadership/executive teams. </w:t>
      </w:r>
      <w:r w:rsidR="00DD508E">
        <w:rPr>
          <w:sz w:val="24"/>
        </w:rPr>
        <w:t>However, m</w:t>
      </w:r>
      <w:r w:rsidRPr="007C4901">
        <w:rPr>
          <w:sz w:val="24"/>
        </w:rPr>
        <w:t xml:space="preserve">en comprised more than two thirds of the leadership/executive team composition in nine out of </w:t>
      </w:r>
      <w:r w:rsidR="00ED08C2">
        <w:rPr>
          <w:sz w:val="24"/>
        </w:rPr>
        <w:t xml:space="preserve">14 </w:t>
      </w:r>
      <w:r w:rsidRPr="007C4901">
        <w:rPr>
          <w:sz w:val="24"/>
        </w:rPr>
        <w:t xml:space="preserve">firms. Savills, Colliers International, Preston Rowe Paterson and BMT Property Valuers and Quantity Surveyors had the lowest representation of women in their leadership/executive teams, with women representing 10%, 9.52%, 9.09% and 0%, respectively, in successive order. </w:t>
      </w:r>
      <w:r w:rsidR="002455AA">
        <w:rPr>
          <w:sz w:val="24"/>
        </w:rPr>
        <w:t>Overall, t</w:t>
      </w:r>
      <w:r w:rsidRPr="007C4901">
        <w:rPr>
          <w:sz w:val="24"/>
        </w:rPr>
        <w:t>he boards of directors of large valuation companies show higher female representation in the boardrooms than in the leadership/executive teams as a whole.</w:t>
      </w:r>
    </w:p>
    <w:p w14:paraId="4F109DC7" w14:textId="77777777" w:rsidR="003A1F7A" w:rsidRPr="007C4901" w:rsidRDefault="003A1F7A" w:rsidP="00A11DD3">
      <w:pPr>
        <w:spacing w:before="0" w:after="0"/>
        <w:rPr>
          <w:sz w:val="24"/>
        </w:rPr>
      </w:pPr>
    </w:p>
    <w:p w14:paraId="2CD075A6" w14:textId="70D93AFF" w:rsidR="003D26C6" w:rsidRPr="007C4901" w:rsidRDefault="003D26C6" w:rsidP="003D26C6">
      <w:pPr>
        <w:pStyle w:val="Heading4"/>
        <w:spacing w:before="0" w:after="0"/>
        <w:rPr>
          <w:sz w:val="24"/>
          <w:szCs w:val="24"/>
        </w:rPr>
      </w:pPr>
      <w:r w:rsidRPr="007C4901">
        <w:rPr>
          <w:sz w:val="24"/>
          <w:szCs w:val="24"/>
        </w:rPr>
        <w:t xml:space="preserve">Diversity positions, groups/programs and quotes relating to gender diversity in small valuation firms’ policies and </w:t>
      </w:r>
      <w:proofErr w:type="gramStart"/>
      <w:r w:rsidRPr="007C4901">
        <w:rPr>
          <w:sz w:val="24"/>
          <w:szCs w:val="24"/>
        </w:rPr>
        <w:t>websites</w:t>
      </w:r>
      <w:proofErr w:type="gramEnd"/>
      <w:r w:rsidRPr="007C4901">
        <w:rPr>
          <w:sz w:val="24"/>
          <w:szCs w:val="24"/>
        </w:rPr>
        <w:t xml:space="preserve"> </w:t>
      </w:r>
    </w:p>
    <w:p w14:paraId="543E3B38" w14:textId="77777777" w:rsidR="003D26C6" w:rsidRPr="007C4901" w:rsidRDefault="003D26C6" w:rsidP="003D26C6">
      <w:pPr>
        <w:spacing w:before="0" w:after="0"/>
        <w:rPr>
          <w:sz w:val="24"/>
        </w:rPr>
      </w:pPr>
    </w:p>
    <w:p w14:paraId="5BB254A8" w14:textId="214595D7" w:rsidR="003D26C6" w:rsidRPr="007C4901" w:rsidRDefault="00BF65FB" w:rsidP="00A11DD3">
      <w:pPr>
        <w:spacing w:before="0" w:after="0"/>
        <w:rPr>
          <w:color w:val="000000" w:themeColor="text1"/>
          <w:sz w:val="24"/>
        </w:rPr>
      </w:pPr>
      <w:r w:rsidRPr="007C4901">
        <w:rPr>
          <w:color w:val="000000" w:themeColor="text1"/>
          <w:sz w:val="24"/>
        </w:rPr>
        <w:t xml:space="preserve">According to </w:t>
      </w:r>
      <w:r w:rsidR="00912D46">
        <w:rPr>
          <w:color w:val="000000" w:themeColor="text1"/>
          <w:sz w:val="24"/>
        </w:rPr>
        <w:t>pub</w:t>
      </w:r>
      <w:r w:rsidR="00391944">
        <w:rPr>
          <w:color w:val="000000" w:themeColor="text1"/>
          <w:sz w:val="24"/>
        </w:rPr>
        <w:t>l</w:t>
      </w:r>
      <w:r w:rsidR="00912D46">
        <w:rPr>
          <w:color w:val="000000" w:themeColor="text1"/>
          <w:sz w:val="24"/>
        </w:rPr>
        <w:t xml:space="preserve">ic </w:t>
      </w:r>
      <w:r w:rsidRPr="007C4901">
        <w:rPr>
          <w:color w:val="000000" w:themeColor="text1"/>
          <w:sz w:val="24"/>
        </w:rPr>
        <w:t xml:space="preserve">data gathered from the websites of small valuation firms, none of the companies have any initiatives or programs in place to promote female participation in their industry. </w:t>
      </w:r>
      <w:r w:rsidR="00912D46">
        <w:rPr>
          <w:color w:val="000000" w:themeColor="text1"/>
          <w:sz w:val="24"/>
        </w:rPr>
        <w:t xml:space="preserve">Interestingly, </w:t>
      </w:r>
      <w:r w:rsidRPr="007C4901">
        <w:rPr>
          <w:color w:val="000000" w:themeColor="text1"/>
          <w:sz w:val="24"/>
        </w:rPr>
        <w:t>there is no indication that these firms believe that the low representation of women in the profession requires urgent attention. Additionally, there is no evidence that gender is a factor that is taken into account during the recruitment and promotion processes of these firms</w:t>
      </w:r>
      <w:r w:rsidR="003F0488" w:rsidRPr="007C4901">
        <w:rPr>
          <w:color w:val="000000" w:themeColor="text1"/>
          <w:sz w:val="24"/>
        </w:rPr>
        <w:t xml:space="preserve"> (See Table </w:t>
      </w:r>
      <w:r w:rsidR="00E0545F">
        <w:rPr>
          <w:color w:val="000000" w:themeColor="text1"/>
          <w:sz w:val="24"/>
        </w:rPr>
        <w:t>5</w:t>
      </w:r>
      <w:r w:rsidR="003F0488" w:rsidRPr="007C4901">
        <w:rPr>
          <w:color w:val="000000" w:themeColor="text1"/>
          <w:sz w:val="24"/>
        </w:rPr>
        <w:t>)</w:t>
      </w:r>
      <w:r w:rsidRPr="007C4901">
        <w:rPr>
          <w:color w:val="000000" w:themeColor="text1"/>
          <w:sz w:val="24"/>
        </w:rPr>
        <w:t>.</w:t>
      </w:r>
    </w:p>
    <w:p w14:paraId="318DACD1" w14:textId="77777777" w:rsidR="003F0488" w:rsidRPr="007C4901" w:rsidRDefault="003F0488" w:rsidP="00A11DD3">
      <w:pPr>
        <w:spacing w:before="0" w:after="0"/>
        <w:rPr>
          <w:color w:val="000000" w:themeColor="text1"/>
          <w:sz w:val="24"/>
        </w:rPr>
      </w:pPr>
    </w:p>
    <w:p w14:paraId="4783C056" w14:textId="77777777" w:rsidR="006C3A74" w:rsidRDefault="006C3A74" w:rsidP="00A11DD3">
      <w:pPr>
        <w:spacing w:before="0" w:after="0"/>
        <w:rPr>
          <w:color w:val="000000" w:themeColor="text1"/>
          <w:sz w:val="24"/>
        </w:rPr>
      </w:pPr>
    </w:p>
    <w:p w14:paraId="708401FB" w14:textId="77777777" w:rsidR="006C3A74" w:rsidRDefault="006C3A74" w:rsidP="00A11DD3">
      <w:pPr>
        <w:spacing w:before="0" w:after="0"/>
        <w:rPr>
          <w:color w:val="000000" w:themeColor="text1"/>
          <w:sz w:val="24"/>
        </w:rPr>
      </w:pPr>
    </w:p>
    <w:p w14:paraId="07A50261" w14:textId="77777777" w:rsidR="006C3A74" w:rsidRDefault="006C3A74" w:rsidP="00A11DD3">
      <w:pPr>
        <w:spacing w:before="0" w:after="0"/>
        <w:rPr>
          <w:color w:val="000000" w:themeColor="text1"/>
          <w:sz w:val="24"/>
        </w:rPr>
      </w:pPr>
    </w:p>
    <w:p w14:paraId="4F2CBB2E" w14:textId="4FCB585C" w:rsidR="003F0488" w:rsidRPr="00E0545F" w:rsidRDefault="003F0488" w:rsidP="00A11DD3">
      <w:pPr>
        <w:spacing w:before="0" w:after="0"/>
        <w:rPr>
          <w:i/>
          <w:iCs/>
          <w:color w:val="000000" w:themeColor="text1"/>
          <w:sz w:val="24"/>
        </w:rPr>
      </w:pPr>
      <w:r w:rsidRPr="00E0545F">
        <w:rPr>
          <w:i/>
          <w:iCs/>
          <w:color w:val="000000" w:themeColor="text1"/>
          <w:sz w:val="24"/>
        </w:rPr>
        <w:t xml:space="preserve">Table </w:t>
      </w:r>
      <w:r w:rsidR="00E0545F" w:rsidRPr="00E0545F">
        <w:rPr>
          <w:i/>
          <w:iCs/>
          <w:color w:val="000000" w:themeColor="text1"/>
          <w:sz w:val="24"/>
        </w:rPr>
        <w:t>5</w:t>
      </w:r>
      <w:r w:rsidRPr="00E0545F">
        <w:rPr>
          <w:i/>
          <w:iCs/>
          <w:color w:val="000000" w:themeColor="text1"/>
          <w:sz w:val="24"/>
        </w:rPr>
        <w:t>: Diversity related policies on small valuation firms’ websites</w:t>
      </w:r>
    </w:p>
    <w:p w14:paraId="6B155057" w14:textId="77777777" w:rsidR="00F31D8D" w:rsidRPr="007C4901" w:rsidRDefault="00F31D8D" w:rsidP="00A11DD3">
      <w:pPr>
        <w:spacing w:before="0" w:after="0"/>
        <w:rPr>
          <w:color w:val="000000" w:themeColor="text1"/>
          <w:sz w:val="24"/>
        </w:rPr>
      </w:pPr>
    </w:p>
    <w:tbl>
      <w:tblPr>
        <w:tblStyle w:val="TableGrid"/>
        <w:tblW w:w="0" w:type="auto"/>
        <w:tblLayout w:type="fixed"/>
        <w:tblLook w:val="04A0" w:firstRow="1" w:lastRow="0" w:firstColumn="1" w:lastColumn="0" w:noHBand="0" w:noVBand="1"/>
      </w:tblPr>
      <w:tblGrid>
        <w:gridCol w:w="1838"/>
        <w:gridCol w:w="1134"/>
        <w:gridCol w:w="1134"/>
        <w:gridCol w:w="1134"/>
        <w:gridCol w:w="1134"/>
        <w:gridCol w:w="1134"/>
        <w:gridCol w:w="992"/>
        <w:gridCol w:w="1128"/>
      </w:tblGrid>
      <w:tr w:rsidR="00F31D8D" w:rsidRPr="00F31D8D" w14:paraId="43B5281E" w14:textId="77777777" w:rsidTr="00223505">
        <w:trPr>
          <w:trHeight w:val="1860"/>
        </w:trPr>
        <w:tc>
          <w:tcPr>
            <w:tcW w:w="1838" w:type="dxa"/>
            <w:hideMark/>
          </w:tcPr>
          <w:p w14:paraId="1D64B0B5" w14:textId="77777777" w:rsidR="00F31D8D" w:rsidRPr="00223505" w:rsidRDefault="00F31D8D" w:rsidP="00F31D8D">
            <w:pPr>
              <w:spacing w:before="0" w:after="0"/>
              <w:rPr>
                <w:b/>
                <w:bCs/>
                <w:sz w:val="20"/>
                <w:szCs w:val="20"/>
              </w:rPr>
            </w:pPr>
            <w:r w:rsidRPr="00223505">
              <w:rPr>
                <w:b/>
                <w:bCs/>
                <w:sz w:val="20"/>
                <w:szCs w:val="20"/>
              </w:rPr>
              <w:t>Name of the valuation firm</w:t>
            </w:r>
          </w:p>
        </w:tc>
        <w:tc>
          <w:tcPr>
            <w:tcW w:w="1134" w:type="dxa"/>
            <w:hideMark/>
          </w:tcPr>
          <w:p w14:paraId="3ADBDBF5" w14:textId="68D292A4" w:rsidR="00F31D8D" w:rsidRPr="00223505" w:rsidRDefault="00F31D8D" w:rsidP="00F31D8D">
            <w:pPr>
              <w:spacing w:before="0" w:after="0"/>
              <w:rPr>
                <w:b/>
                <w:bCs/>
                <w:sz w:val="20"/>
                <w:szCs w:val="20"/>
              </w:rPr>
            </w:pPr>
            <w:r w:rsidRPr="00F31D8D">
              <w:rPr>
                <w:b/>
                <w:bCs/>
                <w:sz w:val="20"/>
                <w:szCs w:val="20"/>
              </w:rPr>
              <w:t xml:space="preserve">Quotes relating to diversity in "about us" or similar </w:t>
            </w:r>
          </w:p>
        </w:tc>
        <w:tc>
          <w:tcPr>
            <w:tcW w:w="1134" w:type="dxa"/>
            <w:hideMark/>
          </w:tcPr>
          <w:p w14:paraId="1F92156E" w14:textId="59C47F7A" w:rsidR="00F31D8D" w:rsidRPr="00223505" w:rsidRDefault="00F31D8D" w:rsidP="00F31D8D">
            <w:pPr>
              <w:spacing w:before="0" w:after="0"/>
              <w:rPr>
                <w:b/>
                <w:bCs/>
                <w:sz w:val="20"/>
                <w:szCs w:val="20"/>
              </w:rPr>
            </w:pPr>
            <w:r w:rsidRPr="00F31D8D">
              <w:rPr>
                <w:b/>
                <w:bCs/>
                <w:sz w:val="20"/>
                <w:szCs w:val="20"/>
              </w:rPr>
              <w:t xml:space="preserve">Quotes relating to diversity in hiring process </w:t>
            </w:r>
          </w:p>
        </w:tc>
        <w:tc>
          <w:tcPr>
            <w:tcW w:w="1134" w:type="dxa"/>
            <w:hideMark/>
          </w:tcPr>
          <w:p w14:paraId="424CE51E" w14:textId="77777777" w:rsidR="00F31D8D" w:rsidRPr="00223505" w:rsidRDefault="00F31D8D" w:rsidP="00F31D8D">
            <w:pPr>
              <w:spacing w:before="0" w:after="0"/>
              <w:rPr>
                <w:b/>
                <w:bCs/>
                <w:sz w:val="20"/>
                <w:szCs w:val="20"/>
              </w:rPr>
            </w:pPr>
            <w:r w:rsidRPr="00223505">
              <w:rPr>
                <w:b/>
                <w:bCs/>
                <w:sz w:val="20"/>
                <w:szCs w:val="20"/>
              </w:rPr>
              <w:t>Quotes relating to diversity in promotion process</w:t>
            </w:r>
          </w:p>
        </w:tc>
        <w:tc>
          <w:tcPr>
            <w:tcW w:w="1134" w:type="dxa"/>
            <w:hideMark/>
          </w:tcPr>
          <w:p w14:paraId="1AFE86AB" w14:textId="0141E1AF" w:rsidR="00F31D8D" w:rsidRPr="00223505" w:rsidRDefault="00F31D8D" w:rsidP="00F31D8D">
            <w:pPr>
              <w:spacing w:before="0" w:after="0"/>
              <w:rPr>
                <w:b/>
                <w:bCs/>
                <w:sz w:val="20"/>
                <w:szCs w:val="20"/>
              </w:rPr>
            </w:pPr>
            <w:r w:rsidRPr="00223505">
              <w:rPr>
                <w:b/>
                <w:bCs/>
                <w:sz w:val="20"/>
                <w:szCs w:val="20"/>
              </w:rPr>
              <w:t>Quotes relating to diversity in core values</w:t>
            </w:r>
          </w:p>
        </w:tc>
        <w:tc>
          <w:tcPr>
            <w:tcW w:w="1134" w:type="dxa"/>
            <w:hideMark/>
          </w:tcPr>
          <w:p w14:paraId="31810EA3" w14:textId="7A1E6277" w:rsidR="00F31D8D" w:rsidRPr="00223505" w:rsidRDefault="00F31D8D" w:rsidP="00F31D8D">
            <w:pPr>
              <w:spacing w:before="0" w:after="0"/>
              <w:rPr>
                <w:b/>
                <w:bCs/>
                <w:sz w:val="20"/>
                <w:szCs w:val="20"/>
              </w:rPr>
            </w:pPr>
            <w:r w:rsidRPr="00223505">
              <w:rPr>
                <w:b/>
                <w:bCs/>
                <w:sz w:val="20"/>
                <w:szCs w:val="20"/>
              </w:rPr>
              <w:t>Quotes relating to diversity in mission statement</w:t>
            </w:r>
          </w:p>
        </w:tc>
        <w:tc>
          <w:tcPr>
            <w:tcW w:w="992" w:type="dxa"/>
            <w:hideMark/>
          </w:tcPr>
          <w:p w14:paraId="3F1B45C0" w14:textId="6C16C537" w:rsidR="00F31D8D" w:rsidRPr="00223505" w:rsidRDefault="00F31D8D" w:rsidP="00F31D8D">
            <w:pPr>
              <w:spacing w:before="0" w:after="0"/>
              <w:rPr>
                <w:b/>
                <w:bCs/>
                <w:sz w:val="20"/>
                <w:szCs w:val="20"/>
              </w:rPr>
            </w:pPr>
            <w:r>
              <w:rPr>
                <w:b/>
                <w:bCs/>
                <w:sz w:val="20"/>
                <w:szCs w:val="20"/>
              </w:rPr>
              <w:t>P</w:t>
            </w:r>
            <w:r w:rsidRPr="00223505">
              <w:rPr>
                <w:b/>
                <w:bCs/>
                <w:sz w:val="20"/>
                <w:szCs w:val="20"/>
              </w:rPr>
              <w:t>erson / position on diversity</w:t>
            </w:r>
            <w:r>
              <w:rPr>
                <w:b/>
                <w:bCs/>
                <w:sz w:val="20"/>
                <w:szCs w:val="20"/>
              </w:rPr>
              <w:t>?</w:t>
            </w:r>
          </w:p>
        </w:tc>
        <w:tc>
          <w:tcPr>
            <w:tcW w:w="1128" w:type="dxa"/>
            <w:hideMark/>
          </w:tcPr>
          <w:p w14:paraId="144FBBFB" w14:textId="67FF2AD9" w:rsidR="00F31D8D" w:rsidRPr="00223505" w:rsidRDefault="00F31D8D" w:rsidP="00F31D8D">
            <w:pPr>
              <w:spacing w:before="0" w:after="0"/>
              <w:rPr>
                <w:b/>
                <w:bCs/>
                <w:sz w:val="20"/>
                <w:szCs w:val="20"/>
              </w:rPr>
            </w:pPr>
            <w:r>
              <w:rPr>
                <w:b/>
                <w:bCs/>
                <w:sz w:val="20"/>
                <w:szCs w:val="20"/>
              </w:rPr>
              <w:t>G</w:t>
            </w:r>
            <w:r w:rsidRPr="00223505">
              <w:rPr>
                <w:b/>
                <w:bCs/>
                <w:sz w:val="20"/>
                <w:szCs w:val="20"/>
              </w:rPr>
              <w:t>roup/program on diversity</w:t>
            </w:r>
            <w:r>
              <w:rPr>
                <w:b/>
                <w:bCs/>
                <w:sz w:val="20"/>
                <w:szCs w:val="20"/>
              </w:rPr>
              <w:t>?</w:t>
            </w:r>
          </w:p>
        </w:tc>
      </w:tr>
      <w:tr w:rsidR="00F31D8D" w:rsidRPr="00F31D8D" w14:paraId="0FDE7826" w14:textId="77777777" w:rsidTr="00223505">
        <w:trPr>
          <w:trHeight w:val="560"/>
        </w:trPr>
        <w:tc>
          <w:tcPr>
            <w:tcW w:w="1838" w:type="dxa"/>
            <w:hideMark/>
          </w:tcPr>
          <w:p w14:paraId="749D6666" w14:textId="77777777" w:rsidR="00F31D8D" w:rsidRPr="00223505" w:rsidRDefault="00F31D8D" w:rsidP="00F31D8D">
            <w:pPr>
              <w:spacing w:before="0" w:after="0"/>
              <w:rPr>
                <w:sz w:val="20"/>
                <w:szCs w:val="20"/>
              </w:rPr>
            </w:pPr>
            <w:r w:rsidRPr="00223505">
              <w:rPr>
                <w:sz w:val="20"/>
                <w:szCs w:val="20"/>
              </w:rPr>
              <w:t>Matheson Stephen Valuations</w:t>
            </w:r>
          </w:p>
        </w:tc>
        <w:tc>
          <w:tcPr>
            <w:tcW w:w="1134" w:type="dxa"/>
            <w:hideMark/>
          </w:tcPr>
          <w:p w14:paraId="556E3D2E"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012DFDBC"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5C6BB79D"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2B6FE338"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7E6CB0D5"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2AC8E540"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780F841D" w14:textId="77777777" w:rsidR="00F31D8D" w:rsidRPr="00223505" w:rsidRDefault="00F31D8D" w:rsidP="00F31D8D">
            <w:pPr>
              <w:spacing w:before="0" w:after="0"/>
              <w:rPr>
                <w:sz w:val="20"/>
                <w:szCs w:val="20"/>
              </w:rPr>
            </w:pPr>
            <w:r w:rsidRPr="00223505">
              <w:rPr>
                <w:sz w:val="20"/>
                <w:szCs w:val="20"/>
              </w:rPr>
              <w:t>No</w:t>
            </w:r>
          </w:p>
        </w:tc>
      </w:tr>
      <w:tr w:rsidR="00F31D8D" w:rsidRPr="00F31D8D" w14:paraId="18D70D0A" w14:textId="77777777" w:rsidTr="00223505">
        <w:trPr>
          <w:trHeight w:val="290"/>
        </w:trPr>
        <w:tc>
          <w:tcPr>
            <w:tcW w:w="1838" w:type="dxa"/>
            <w:noWrap/>
            <w:hideMark/>
          </w:tcPr>
          <w:p w14:paraId="38E957D1" w14:textId="77777777" w:rsidR="00F31D8D" w:rsidRPr="00223505" w:rsidRDefault="00F31D8D" w:rsidP="00F31D8D">
            <w:pPr>
              <w:spacing w:before="0" w:after="0"/>
              <w:rPr>
                <w:sz w:val="20"/>
                <w:szCs w:val="20"/>
              </w:rPr>
            </w:pPr>
            <w:r w:rsidRPr="00223505">
              <w:rPr>
                <w:sz w:val="20"/>
                <w:szCs w:val="20"/>
              </w:rPr>
              <w:t>Imperial Valuations</w:t>
            </w:r>
          </w:p>
        </w:tc>
        <w:tc>
          <w:tcPr>
            <w:tcW w:w="1134" w:type="dxa"/>
            <w:hideMark/>
          </w:tcPr>
          <w:p w14:paraId="6ADACCAF"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66EB34A8"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684FFE33"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5FD7DD51"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775250C0"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2BF0DE45"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528BD51B" w14:textId="77777777" w:rsidR="00F31D8D" w:rsidRPr="00223505" w:rsidRDefault="00F31D8D" w:rsidP="00F31D8D">
            <w:pPr>
              <w:spacing w:before="0" w:after="0"/>
              <w:rPr>
                <w:sz w:val="20"/>
                <w:szCs w:val="20"/>
              </w:rPr>
            </w:pPr>
            <w:r w:rsidRPr="00223505">
              <w:rPr>
                <w:sz w:val="20"/>
                <w:szCs w:val="20"/>
              </w:rPr>
              <w:t>No</w:t>
            </w:r>
          </w:p>
        </w:tc>
      </w:tr>
      <w:tr w:rsidR="00F31D8D" w:rsidRPr="00F31D8D" w14:paraId="1C8BCED4" w14:textId="77777777" w:rsidTr="00223505">
        <w:trPr>
          <w:trHeight w:val="560"/>
        </w:trPr>
        <w:tc>
          <w:tcPr>
            <w:tcW w:w="1838" w:type="dxa"/>
            <w:hideMark/>
          </w:tcPr>
          <w:p w14:paraId="6BC7A3A7" w14:textId="77777777" w:rsidR="00F31D8D" w:rsidRPr="00223505" w:rsidRDefault="00F31D8D" w:rsidP="00F31D8D">
            <w:pPr>
              <w:spacing w:before="0" w:after="0"/>
              <w:rPr>
                <w:sz w:val="20"/>
                <w:szCs w:val="20"/>
              </w:rPr>
            </w:pPr>
            <w:r w:rsidRPr="00223505">
              <w:rPr>
                <w:sz w:val="20"/>
                <w:szCs w:val="20"/>
              </w:rPr>
              <w:t xml:space="preserve"> Bertacco Ferrier Property Consultants</w:t>
            </w:r>
          </w:p>
        </w:tc>
        <w:tc>
          <w:tcPr>
            <w:tcW w:w="1134" w:type="dxa"/>
            <w:hideMark/>
          </w:tcPr>
          <w:p w14:paraId="64DE2943"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39E1E940"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2ABE0408"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56AD8132"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59423048"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5B43212E"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395CD88C" w14:textId="77777777" w:rsidR="00F31D8D" w:rsidRPr="00223505" w:rsidRDefault="00F31D8D" w:rsidP="00F31D8D">
            <w:pPr>
              <w:spacing w:before="0" w:after="0"/>
              <w:rPr>
                <w:sz w:val="20"/>
                <w:szCs w:val="20"/>
              </w:rPr>
            </w:pPr>
            <w:r w:rsidRPr="00223505">
              <w:rPr>
                <w:sz w:val="20"/>
                <w:szCs w:val="20"/>
              </w:rPr>
              <w:t>No</w:t>
            </w:r>
          </w:p>
        </w:tc>
      </w:tr>
      <w:tr w:rsidR="00F31D8D" w:rsidRPr="00F31D8D" w14:paraId="24B0BF3A" w14:textId="77777777" w:rsidTr="00223505">
        <w:trPr>
          <w:trHeight w:val="290"/>
        </w:trPr>
        <w:tc>
          <w:tcPr>
            <w:tcW w:w="1838" w:type="dxa"/>
            <w:noWrap/>
            <w:hideMark/>
          </w:tcPr>
          <w:p w14:paraId="39BFFB45" w14:textId="77777777" w:rsidR="00F31D8D" w:rsidRPr="00223505" w:rsidRDefault="00F31D8D" w:rsidP="00F31D8D">
            <w:pPr>
              <w:spacing w:before="0" w:after="0"/>
              <w:rPr>
                <w:sz w:val="20"/>
                <w:szCs w:val="20"/>
              </w:rPr>
            </w:pPr>
            <w:r w:rsidRPr="00223505">
              <w:rPr>
                <w:sz w:val="20"/>
                <w:szCs w:val="20"/>
              </w:rPr>
              <w:t>Sovereign Valuations</w:t>
            </w:r>
          </w:p>
        </w:tc>
        <w:tc>
          <w:tcPr>
            <w:tcW w:w="1134" w:type="dxa"/>
            <w:hideMark/>
          </w:tcPr>
          <w:p w14:paraId="15174BD4"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39C4BB9D"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4B5E4755"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7AE364C9"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009E7C38"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5B1013EF"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12D99C62" w14:textId="77777777" w:rsidR="00F31D8D" w:rsidRPr="00223505" w:rsidRDefault="00F31D8D" w:rsidP="00F31D8D">
            <w:pPr>
              <w:spacing w:before="0" w:after="0"/>
              <w:rPr>
                <w:sz w:val="20"/>
                <w:szCs w:val="20"/>
              </w:rPr>
            </w:pPr>
            <w:r w:rsidRPr="00223505">
              <w:rPr>
                <w:sz w:val="20"/>
                <w:szCs w:val="20"/>
              </w:rPr>
              <w:t>No</w:t>
            </w:r>
          </w:p>
        </w:tc>
      </w:tr>
      <w:tr w:rsidR="00F31D8D" w:rsidRPr="00F31D8D" w14:paraId="4803D4C3" w14:textId="77777777" w:rsidTr="00223505">
        <w:trPr>
          <w:trHeight w:val="560"/>
        </w:trPr>
        <w:tc>
          <w:tcPr>
            <w:tcW w:w="1838" w:type="dxa"/>
            <w:hideMark/>
          </w:tcPr>
          <w:p w14:paraId="5E155FED" w14:textId="77777777" w:rsidR="00F31D8D" w:rsidRPr="00223505" w:rsidRDefault="00F31D8D" w:rsidP="00F31D8D">
            <w:pPr>
              <w:spacing w:before="0" w:after="0"/>
              <w:rPr>
                <w:sz w:val="20"/>
                <w:szCs w:val="20"/>
              </w:rPr>
            </w:pPr>
            <w:proofErr w:type="spellStart"/>
            <w:r w:rsidRPr="00223505">
              <w:rPr>
                <w:sz w:val="20"/>
                <w:szCs w:val="20"/>
              </w:rPr>
              <w:t>Hendrey</w:t>
            </w:r>
            <w:proofErr w:type="spellEnd"/>
            <w:r w:rsidRPr="00223505">
              <w:rPr>
                <w:sz w:val="20"/>
                <w:szCs w:val="20"/>
              </w:rPr>
              <w:t xml:space="preserve"> Consulting Pty Limited</w:t>
            </w:r>
          </w:p>
        </w:tc>
        <w:tc>
          <w:tcPr>
            <w:tcW w:w="1134" w:type="dxa"/>
            <w:hideMark/>
          </w:tcPr>
          <w:p w14:paraId="750DFA2F"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3443DD47"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2A8CBE8B"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7476947D"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042B6FE2"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116FD6F2"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0A95AAFA" w14:textId="77777777" w:rsidR="00F31D8D" w:rsidRPr="00223505" w:rsidRDefault="00F31D8D" w:rsidP="00F31D8D">
            <w:pPr>
              <w:spacing w:before="0" w:after="0"/>
              <w:rPr>
                <w:sz w:val="20"/>
                <w:szCs w:val="20"/>
              </w:rPr>
            </w:pPr>
            <w:r w:rsidRPr="00223505">
              <w:rPr>
                <w:sz w:val="20"/>
                <w:szCs w:val="20"/>
              </w:rPr>
              <w:t>No</w:t>
            </w:r>
          </w:p>
        </w:tc>
      </w:tr>
      <w:tr w:rsidR="00F31D8D" w:rsidRPr="00F31D8D" w14:paraId="785FE77A" w14:textId="77777777" w:rsidTr="00223505">
        <w:trPr>
          <w:trHeight w:val="290"/>
        </w:trPr>
        <w:tc>
          <w:tcPr>
            <w:tcW w:w="1838" w:type="dxa"/>
            <w:noWrap/>
            <w:hideMark/>
          </w:tcPr>
          <w:p w14:paraId="15AB4D97" w14:textId="77777777" w:rsidR="00F31D8D" w:rsidRPr="00223505" w:rsidRDefault="00F31D8D" w:rsidP="00F31D8D">
            <w:pPr>
              <w:spacing w:before="0" w:after="0"/>
              <w:rPr>
                <w:sz w:val="20"/>
                <w:szCs w:val="20"/>
              </w:rPr>
            </w:pPr>
            <w:r w:rsidRPr="00223505">
              <w:rPr>
                <w:sz w:val="20"/>
                <w:szCs w:val="20"/>
              </w:rPr>
              <w:t xml:space="preserve"> </w:t>
            </w:r>
            <w:proofErr w:type="spellStart"/>
            <w:r w:rsidRPr="00223505">
              <w:rPr>
                <w:sz w:val="20"/>
                <w:szCs w:val="20"/>
              </w:rPr>
              <w:t>ValueIt</w:t>
            </w:r>
            <w:proofErr w:type="spellEnd"/>
            <w:r w:rsidRPr="00223505">
              <w:rPr>
                <w:sz w:val="20"/>
                <w:szCs w:val="20"/>
              </w:rPr>
              <w:t xml:space="preserve"> Pty Ltd</w:t>
            </w:r>
          </w:p>
        </w:tc>
        <w:tc>
          <w:tcPr>
            <w:tcW w:w="1134" w:type="dxa"/>
            <w:hideMark/>
          </w:tcPr>
          <w:p w14:paraId="67CC5A5E"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25B3B10D"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799BFE96"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7082A98A"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5FAF0672"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5897323B"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3B6EF413" w14:textId="77777777" w:rsidR="00F31D8D" w:rsidRPr="00223505" w:rsidRDefault="00F31D8D" w:rsidP="00F31D8D">
            <w:pPr>
              <w:spacing w:before="0" w:after="0"/>
              <w:rPr>
                <w:sz w:val="20"/>
                <w:szCs w:val="20"/>
              </w:rPr>
            </w:pPr>
            <w:r w:rsidRPr="00223505">
              <w:rPr>
                <w:sz w:val="20"/>
                <w:szCs w:val="20"/>
              </w:rPr>
              <w:t>No</w:t>
            </w:r>
          </w:p>
        </w:tc>
      </w:tr>
      <w:tr w:rsidR="00F31D8D" w:rsidRPr="00F31D8D" w14:paraId="5051CF86" w14:textId="77777777" w:rsidTr="00223505">
        <w:trPr>
          <w:trHeight w:val="290"/>
        </w:trPr>
        <w:tc>
          <w:tcPr>
            <w:tcW w:w="1838" w:type="dxa"/>
            <w:noWrap/>
            <w:hideMark/>
          </w:tcPr>
          <w:p w14:paraId="64064EA4" w14:textId="77777777" w:rsidR="00F31D8D" w:rsidRPr="00223505" w:rsidRDefault="00F31D8D" w:rsidP="00F31D8D">
            <w:pPr>
              <w:spacing w:before="0" w:after="0"/>
              <w:rPr>
                <w:sz w:val="20"/>
                <w:szCs w:val="20"/>
              </w:rPr>
            </w:pPr>
            <w:r w:rsidRPr="00223505">
              <w:rPr>
                <w:sz w:val="20"/>
                <w:szCs w:val="20"/>
              </w:rPr>
              <w:t>Ham C J &amp; Murray Pty Ltd</w:t>
            </w:r>
          </w:p>
        </w:tc>
        <w:tc>
          <w:tcPr>
            <w:tcW w:w="1134" w:type="dxa"/>
            <w:hideMark/>
          </w:tcPr>
          <w:p w14:paraId="6103E715"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6DC4F3FB"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37D0DED8"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6301C548"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55FA3991"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7B7F446B"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5C70A76B" w14:textId="77777777" w:rsidR="00F31D8D" w:rsidRPr="00223505" w:rsidRDefault="00F31D8D" w:rsidP="00F31D8D">
            <w:pPr>
              <w:spacing w:before="0" w:after="0"/>
              <w:rPr>
                <w:sz w:val="20"/>
                <w:szCs w:val="20"/>
              </w:rPr>
            </w:pPr>
            <w:r w:rsidRPr="00223505">
              <w:rPr>
                <w:sz w:val="20"/>
                <w:szCs w:val="20"/>
              </w:rPr>
              <w:t>No</w:t>
            </w:r>
          </w:p>
        </w:tc>
      </w:tr>
      <w:tr w:rsidR="00F31D8D" w:rsidRPr="00F31D8D" w14:paraId="03841470" w14:textId="77777777" w:rsidTr="00223505">
        <w:trPr>
          <w:trHeight w:val="290"/>
        </w:trPr>
        <w:tc>
          <w:tcPr>
            <w:tcW w:w="1838" w:type="dxa"/>
            <w:noWrap/>
            <w:hideMark/>
          </w:tcPr>
          <w:p w14:paraId="18A53D22" w14:textId="77777777" w:rsidR="00F31D8D" w:rsidRPr="00223505" w:rsidRDefault="00F31D8D" w:rsidP="00F31D8D">
            <w:pPr>
              <w:spacing w:before="0" w:after="0"/>
              <w:rPr>
                <w:sz w:val="20"/>
                <w:szCs w:val="20"/>
              </w:rPr>
            </w:pPr>
            <w:proofErr w:type="spellStart"/>
            <w:r w:rsidRPr="00223505">
              <w:rPr>
                <w:sz w:val="20"/>
                <w:szCs w:val="20"/>
              </w:rPr>
              <w:t>Fastnet</w:t>
            </w:r>
            <w:proofErr w:type="spellEnd"/>
            <w:r w:rsidRPr="00223505">
              <w:rPr>
                <w:sz w:val="20"/>
                <w:szCs w:val="20"/>
              </w:rPr>
              <w:t xml:space="preserve"> Consulting</w:t>
            </w:r>
          </w:p>
        </w:tc>
        <w:tc>
          <w:tcPr>
            <w:tcW w:w="1134" w:type="dxa"/>
            <w:hideMark/>
          </w:tcPr>
          <w:p w14:paraId="16270E28"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7356CEF9"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644F1A5F"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49B3885A"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0782B65F"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3C9B0D8A"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2363355C" w14:textId="77777777" w:rsidR="00F31D8D" w:rsidRPr="00223505" w:rsidRDefault="00F31D8D" w:rsidP="00F31D8D">
            <w:pPr>
              <w:spacing w:before="0" w:after="0"/>
              <w:rPr>
                <w:sz w:val="20"/>
                <w:szCs w:val="20"/>
              </w:rPr>
            </w:pPr>
            <w:r w:rsidRPr="00223505">
              <w:rPr>
                <w:sz w:val="20"/>
                <w:szCs w:val="20"/>
              </w:rPr>
              <w:t>No</w:t>
            </w:r>
          </w:p>
        </w:tc>
      </w:tr>
      <w:tr w:rsidR="00F31D8D" w:rsidRPr="00F31D8D" w14:paraId="1A8C200B" w14:textId="77777777" w:rsidTr="00223505">
        <w:trPr>
          <w:trHeight w:val="560"/>
        </w:trPr>
        <w:tc>
          <w:tcPr>
            <w:tcW w:w="1838" w:type="dxa"/>
            <w:hideMark/>
          </w:tcPr>
          <w:p w14:paraId="77DF4852" w14:textId="77777777" w:rsidR="00F31D8D" w:rsidRPr="00223505" w:rsidRDefault="00F31D8D" w:rsidP="00F31D8D">
            <w:pPr>
              <w:spacing w:before="0" w:after="0"/>
              <w:rPr>
                <w:sz w:val="20"/>
                <w:szCs w:val="20"/>
              </w:rPr>
            </w:pPr>
            <w:r w:rsidRPr="00223505">
              <w:rPr>
                <w:sz w:val="20"/>
                <w:szCs w:val="20"/>
              </w:rPr>
              <w:t>Vision Valuation Services Pty. Ltd</w:t>
            </w:r>
          </w:p>
        </w:tc>
        <w:tc>
          <w:tcPr>
            <w:tcW w:w="1134" w:type="dxa"/>
            <w:hideMark/>
          </w:tcPr>
          <w:p w14:paraId="4BE67909"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63BE22DD"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104C54E6"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5B61C283"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506FF5F4"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723B6DBA"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6CED5B79" w14:textId="77777777" w:rsidR="00F31D8D" w:rsidRPr="00223505" w:rsidRDefault="00F31D8D" w:rsidP="00F31D8D">
            <w:pPr>
              <w:spacing w:before="0" w:after="0"/>
              <w:rPr>
                <w:sz w:val="20"/>
                <w:szCs w:val="20"/>
              </w:rPr>
            </w:pPr>
            <w:r w:rsidRPr="00223505">
              <w:rPr>
                <w:sz w:val="20"/>
                <w:szCs w:val="20"/>
              </w:rPr>
              <w:t>No</w:t>
            </w:r>
          </w:p>
        </w:tc>
      </w:tr>
      <w:tr w:rsidR="00F31D8D" w:rsidRPr="00F31D8D" w14:paraId="77F95093" w14:textId="77777777" w:rsidTr="00223505">
        <w:trPr>
          <w:trHeight w:val="560"/>
        </w:trPr>
        <w:tc>
          <w:tcPr>
            <w:tcW w:w="1838" w:type="dxa"/>
            <w:hideMark/>
          </w:tcPr>
          <w:p w14:paraId="3AA0D329" w14:textId="77777777" w:rsidR="00F31D8D" w:rsidRPr="00223505" w:rsidRDefault="00F31D8D" w:rsidP="00F31D8D">
            <w:pPr>
              <w:spacing w:before="0" w:after="0"/>
              <w:rPr>
                <w:sz w:val="20"/>
                <w:szCs w:val="20"/>
              </w:rPr>
            </w:pPr>
            <w:r w:rsidRPr="00223505">
              <w:rPr>
                <w:sz w:val="20"/>
                <w:szCs w:val="20"/>
              </w:rPr>
              <w:t>Melbourne Property Valuers Metro</w:t>
            </w:r>
          </w:p>
        </w:tc>
        <w:tc>
          <w:tcPr>
            <w:tcW w:w="1134" w:type="dxa"/>
            <w:hideMark/>
          </w:tcPr>
          <w:p w14:paraId="46D1A80E"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74290AF5"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65964C17"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51F20E8F" w14:textId="77777777" w:rsidR="00F31D8D" w:rsidRPr="00223505" w:rsidRDefault="00F31D8D" w:rsidP="00F31D8D">
            <w:pPr>
              <w:spacing w:before="0" w:after="0"/>
              <w:rPr>
                <w:sz w:val="20"/>
                <w:szCs w:val="20"/>
              </w:rPr>
            </w:pPr>
            <w:r w:rsidRPr="00223505">
              <w:rPr>
                <w:sz w:val="20"/>
                <w:szCs w:val="20"/>
              </w:rPr>
              <w:t xml:space="preserve">None </w:t>
            </w:r>
          </w:p>
        </w:tc>
        <w:tc>
          <w:tcPr>
            <w:tcW w:w="1134" w:type="dxa"/>
            <w:hideMark/>
          </w:tcPr>
          <w:p w14:paraId="4E25559F"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09528E28"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3F243C65" w14:textId="77777777" w:rsidR="00F31D8D" w:rsidRPr="00223505" w:rsidRDefault="00F31D8D" w:rsidP="00F31D8D">
            <w:pPr>
              <w:spacing w:before="0" w:after="0"/>
              <w:rPr>
                <w:sz w:val="20"/>
                <w:szCs w:val="20"/>
              </w:rPr>
            </w:pPr>
            <w:r w:rsidRPr="00223505">
              <w:rPr>
                <w:sz w:val="20"/>
                <w:szCs w:val="20"/>
              </w:rPr>
              <w:t>No</w:t>
            </w:r>
          </w:p>
        </w:tc>
      </w:tr>
      <w:tr w:rsidR="00F31D8D" w:rsidRPr="00F31D8D" w14:paraId="03F3A860" w14:textId="77777777" w:rsidTr="00223505">
        <w:trPr>
          <w:trHeight w:val="290"/>
        </w:trPr>
        <w:tc>
          <w:tcPr>
            <w:tcW w:w="1838" w:type="dxa"/>
            <w:noWrap/>
            <w:hideMark/>
          </w:tcPr>
          <w:p w14:paraId="31567365" w14:textId="77777777" w:rsidR="00F31D8D" w:rsidRPr="00223505" w:rsidRDefault="00F31D8D" w:rsidP="00F31D8D">
            <w:pPr>
              <w:spacing w:before="0" w:after="0"/>
              <w:rPr>
                <w:sz w:val="20"/>
                <w:szCs w:val="20"/>
              </w:rPr>
            </w:pPr>
            <w:r w:rsidRPr="00223505">
              <w:rPr>
                <w:sz w:val="20"/>
                <w:szCs w:val="20"/>
              </w:rPr>
              <w:t>Brad Prescott Valuations</w:t>
            </w:r>
          </w:p>
        </w:tc>
        <w:tc>
          <w:tcPr>
            <w:tcW w:w="1134" w:type="dxa"/>
            <w:hideMark/>
          </w:tcPr>
          <w:p w14:paraId="5C95A45C"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73CF3FE0"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70D26823"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52F1F8FB"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27E98F2D"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46266A98"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4AD41A5E" w14:textId="77777777" w:rsidR="00F31D8D" w:rsidRPr="00223505" w:rsidRDefault="00F31D8D" w:rsidP="00F31D8D">
            <w:pPr>
              <w:spacing w:before="0" w:after="0"/>
              <w:rPr>
                <w:sz w:val="20"/>
                <w:szCs w:val="20"/>
              </w:rPr>
            </w:pPr>
            <w:r w:rsidRPr="00223505">
              <w:rPr>
                <w:sz w:val="20"/>
                <w:szCs w:val="20"/>
              </w:rPr>
              <w:t>No</w:t>
            </w:r>
          </w:p>
        </w:tc>
      </w:tr>
      <w:tr w:rsidR="00F31D8D" w:rsidRPr="00F31D8D" w14:paraId="2E5A51F2" w14:textId="77777777" w:rsidTr="00223505">
        <w:trPr>
          <w:trHeight w:val="290"/>
        </w:trPr>
        <w:tc>
          <w:tcPr>
            <w:tcW w:w="1838" w:type="dxa"/>
            <w:noWrap/>
            <w:hideMark/>
          </w:tcPr>
          <w:p w14:paraId="2F8F2B56" w14:textId="77777777" w:rsidR="00F31D8D" w:rsidRPr="00223505" w:rsidRDefault="00F31D8D" w:rsidP="00F31D8D">
            <w:pPr>
              <w:spacing w:before="0" w:after="0"/>
              <w:rPr>
                <w:sz w:val="20"/>
                <w:szCs w:val="20"/>
              </w:rPr>
            </w:pPr>
            <w:r w:rsidRPr="00223505">
              <w:rPr>
                <w:sz w:val="20"/>
                <w:szCs w:val="20"/>
              </w:rPr>
              <w:t>Park Valley Valuations</w:t>
            </w:r>
          </w:p>
        </w:tc>
        <w:tc>
          <w:tcPr>
            <w:tcW w:w="1134" w:type="dxa"/>
            <w:hideMark/>
          </w:tcPr>
          <w:p w14:paraId="227E4B60"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621E6023"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425B1CBF"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3C6A92CB"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5F8E538E"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7228584F"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10D0B3DB" w14:textId="77777777" w:rsidR="00F31D8D" w:rsidRPr="00223505" w:rsidRDefault="00F31D8D" w:rsidP="00F31D8D">
            <w:pPr>
              <w:spacing w:before="0" w:after="0"/>
              <w:rPr>
                <w:sz w:val="20"/>
                <w:szCs w:val="20"/>
              </w:rPr>
            </w:pPr>
            <w:r w:rsidRPr="00223505">
              <w:rPr>
                <w:sz w:val="20"/>
                <w:szCs w:val="20"/>
              </w:rPr>
              <w:t>No</w:t>
            </w:r>
          </w:p>
        </w:tc>
      </w:tr>
      <w:tr w:rsidR="00F31D8D" w:rsidRPr="00F31D8D" w14:paraId="7BBAA8A2" w14:textId="77777777" w:rsidTr="00223505">
        <w:trPr>
          <w:trHeight w:val="300"/>
        </w:trPr>
        <w:tc>
          <w:tcPr>
            <w:tcW w:w="1838" w:type="dxa"/>
            <w:noWrap/>
            <w:hideMark/>
          </w:tcPr>
          <w:p w14:paraId="129AF876" w14:textId="77777777" w:rsidR="00F31D8D" w:rsidRPr="00223505" w:rsidRDefault="00F31D8D" w:rsidP="00F31D8D">
            <w:pPr>
              <w:spacing w:before="0" w:after="0"/>
              <w:rPr>
                <w:sz w:val="20"/>
                <w:szCs w:val="20"/>
              </w:rPr>
            </w:pPr>
            <w:r w:rsidRPr="00223505">
              <w:rPr>
                <w:sz w:val="20"/>
                <w:szCs w:val="20"/>
              </w:rPr>
              <w:t>AMC Property Valuations</w:t>
            </w:r>
          </w:p>
        </w:tc>
        <w:tc>
          <w:tcPr>
            <w:tcW w:w="1134" w:type="dxa"/>
            <w:hideMark/>
          </w:tcPr>
          <w:p w14:paraId="5E3A78B1"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0435167D"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03AC7A61"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0ADF7ADD" w14:textId="77777777" w:rsidR="00F31D8D" w:rsidRPr="00223505" w:rsidRDefault="00F31D8D" w:rsidP="00F31D8D">
            <w:pPr>
              <w:spacing w:before="0" w:after="0"/>
              <w:rPr>
                <w:sz w:val="20"/>
                <w:szCs w:val="20"/>
              </w:rPr>
            </w:pPr>
            <w:r w:rsidRPr="00223505">
              <w:rPr>
                <w:sz w:val="20"/>
                <w:szCs w:val="20"/>
              </w:rPr>
              <w:t>None</w:t>
            </w:r>
          </w:p>
        </w:tc>
        <w:tc>
          <w:tcPr>
            <w:tcW w:w="1134" w:type="dxa"/>
            <w:hideMark/>
          </w:tcPr>
          <w:p w14:paraId="3A79166D" w14:textId="77777777" w:rsidR="00F31D8D" w:rsidRPr="00223505" w:rsidRDefault="00F31D8D" w:rsidP="00F31D8D">
            <w:pPr>
              <w:spacing w:before="0" w:after="0"/>
              <w:rPr>
                <w:sz w:val="20"/>
                <w:szCs w:val="20"/>
              </w:rPr>
            </w:pPr>
            <w:r w:rsidRPr="00223505">
              <w:rPr>
                <w:sz w:val="20"/>
                <w:szCs w:val="20"/>
              </w:rPr>
              <w:t>None</w:t>
            </w:r>
          </w:p>
        </w:tc>
        <w:tc>
          <w:tcPr>
            <w:tcW w:w="992" w:type="dxa"/>
            <w:hideMark/>
          </w:tcPr>
          <w:p w14:paraId="525E1888" w14:textId="77777777" w:rsidR="00F31D8D" w:rsidRPr="00223505" w:rsidRDefault="00F31D8D" w:rsidP="00F31D8D">
            <w:pPr>
              <w:spacing w:before="0" w:after="0"/>
              <w:rPr>
                <w:sz w:val="20"/>
                <w:szCs w:val="20"/>
              </w:rPr>
            </w:pPr>
            <w:r w:rsidRPr="00223505">
              <w:rPr>
                <w:sz w:val="20"/>
                <w:szCs w:val="20"/>
              </w:rPr>
              <w:t>No</w:t>
            </w:r>
          </w:p>
        </w:tc>
        <w:tc>
          <w:tcPr>
            <w:tcW w:w="1128" w:type="dxa"/>
            <w:hideMark/>
          </w:tcPr>
          <w:p w14:paraId="7EDFF770" w14:textId="77777777" w:rsidR="00F31D8D" w:rsidRPr="00223505" w:rsidRDefault="00F31D8D" w:rsidP="00F31D8D">
            <w:pPr>
              <w:spacing w:before="0" w:after="0"/>
              <w:rPr>
                <w:sz w:val="20"/>
                <w:szCs w:val="20"/>
              </w:rPr>
            </w:pPr>
            <w:r w:rsidRPr="00223505">
              <w:rPr>
                <w:sz w:val="20"/>
                <w:szCs w:val="20"/>
              </w:rPr>
              <w:t>No</w:t>
            </w:r>
          </w:p>
        </w:tc>
      </w:tr>
    </w:tbl>
    <w:p w14:paraId="51B4F9E4" w14:textId="77777777" w:rsidR="00F31D8D" w:rsidRPr="007C4901" w:rsidRDefault="00F31D8D" w:rsidP="00F31D8D">
      <w:pPr>
        <w:rPr>
          <w:sz w:val="24"/>
        </w:rPr>
      </w:pPr>
      <w:r w:rsidRPr="007C4901">
        <w:rPr>
          <w:sz w:val="24"/>
        </w:rPr>
        <w:t>(Source: Based on data compiled from the studied companies’ websites)</w:t>
      </w:r>
    </w:p>
    <w:p w14:paraId="6BE435ED" w14:textId="77777777" w:rsidR="00D50A36" w:rsidRPr="007C4901" w:rsidRDefault="00D50A36" w:rsidP="00A11DD3">
      <w:pPr>
        <w:pStyle w:val="Heading4"/>
        <w:spacing w:before="0" w:after="0"/>
        <w:rPr>
          <w:sz w:val="24"/>
          <w:szCs w:val="24"/>
        </w:rPr>
      </w:pPr>
    </w:p>
    <w:p w14:paraId="0A5E76C2" w14:textId="67DCAD87" w:rsidR="001C0E7F" w:rsidRPr="007C4901" w:rsidRDefault="001C0E7F" w:rsidP="00A11DD3">
      <w:pPr>
        <w:pStyle w:val="Heading4"/>
        <w:spacing w:before="0" w:after="0"/>
        <w:rPr>
          <w:sz w:val="24"/>
          <w:szCs w:val="24"/>
        </w:rPr>
      </w:pPr>
      <w:r w:rsidRPr="007C4901">
        <w:rPr>
          <w:sz w:val="24"/>
          <w:szCs w:val="24"/>
        </w:rPr>
        <w:t>The gender structure of the boards and leadership/executive teams of small valuation companies</w:t>
      </w:r>
    </w:p>
    <w:p w14:paraId="15DA81BA" w14:textId="77777777" w:rsidR="00764F86" w:rsidRPr="007C4901" w:rsidRDefault="00764F86" w:rsidP="00A11DD3">
      <w:pPr>
        <w:spacing w:before="0" w:after="0"/>
        <w:rPr>
          <w:sz w:val="24"/>
        </w:rPr>
      </w:pPr>
    </w:p>
    <w:p w14:paraId="0CA3F9E5" w14:textId="1C84D433" w:rsidR="00B6148D" w:rsidRPr="007C4901" w:rsidRDefault="00850DE9" w:rsidP="00A11DD3">
      <w:pPr>
        <w:spacing w:before="0" w:after="0"/>
        <w:rPr>
          <w:sz w:val="24"/>
        </w:rPr>
      </w:pPr>
      <w:r w:rsidRPr="007C4901">
        <w:rPr>
          <w:sz w:val="24"/>
        </w:rPr>
        <w:t xml:space="preserve">Out of the small valuation firms examined, only Matheson Stephen Valuations and Sovereign Valuations have a female director/leader. This means that the overwhelming majority (84.62%) of the studied companies do not have any female directors or leadership. Although these are small valuation companies, the low female participation in leadership positions highlights the need for a more concerted effort to attract and retain women in the Australian valuation profession. Table </w:t>
      </w:r>
      <w:r w:rsidR="00E0545F">
        <w:rPr>
          <w:sz w:val="24"/>
        </w:rPr>
        <w:t>6</w:t>
      </w:r>
      <w:r w:rsidRPr="007C4901">
        <w:rPr>
          <w:sz w:val="24"/>
        </w:rPr>
        <w:t xml:space="preserve"> provides a summary of the gender composition of the directors/leadership of the small valuation companies.</w:t>
      </w:r>
    </w:p>
    <w:p w14:paraId="369C1900" w14:textId="77777777" w:rsidR="003A1F7A" w:rsidRPr="007C4901" w:rsidRDefault="003A1F7A" w:rsidP="00A11DD3">
      <w:pPr>
        <w:spacing w:before="0" w:after="0"/>
        <w:rPr>
          <w:sz w:val="24"/>
        </w:rPr>
      </w:pPr>
    </w:p>
    <w:p w14:paraId="6D2F4043" w14:textId="77777777" w:rsidR="00562583" w:rsidRDefault="00562583" w:rsidP="00A11DD3">
      <w:pPr>
        <w:spacing w:before="0" w:after="0"/>
        <w:rPr>
          <w:i/>
          <w:iCs/>
          <w:sz w:val="24"/>
        </w:rPr>
      </w:pPr>
    </w:p>
    <w:p w14:paraId="35A6DE3F" w14:textId="77777777" w:rsidR="00562583" w:rsidRDefault="00562583" w:rsidP="00A11DD3">
      <w:pPr>
        <w:spacing w:before="0" w:after="0"/>
        <w:rPr>
          <w:i/>
          <w:iCs/>
          <w:sz w:val="24"/>
        </w:rPr>
      </w:pPr>
    </w:p>
    <w:p w14:paraId="35FF778B" w14:textId="77777777" w:rsidR="00562583" w:rsidRDefault="00562583" w:rsidP="00A11DD3">
      <w:pPr>
        <w:spacing w:before="0" w:after="0"/>
        <w:rPr>
          <w:i/>
          <w:iCs/>
          <w:sz w:val="24"/>
        </w:rPr>
      </w:pPr>
    </w:p>
    <w:p w14:paraId="3F34BE71" w14:textId="77777777" w:rsidR="00562583" w:rsidRDefault="00562583" w:rsidP="00A11DD3">
      <w:pPr>
        <w:spacing w:before="0" w:after="0"/>
        <w:rPr>
          <w:i/>
          <w:iCs/>
          <w:sz w:val="24"/>
        </w:rPr>
      </w:pPr>
    </w:p>
    <w:p w14:paraId="75E8B1FD" w14:textId="77777777" w:rsidR="00EB703A" w:rsidRDefault="00EB703A" w:rsidP="00A11DD3">
      <w:pPr>
        <w:spacing w:before="0" w:after="0"/>
        <w:rPr>
          <w:i/>
          <w:iCs/>
          <w:sz w:val="24"/>
        </w:rPr>
      </w:pPr>
    </w:p>
    <w:p w14:paraId="1ACD17D2" w14:textId="3070E407" w:rsidR="001C0E7F" w:rsidRPr="007C4901" w:rsidRDefault="001C0E7F" w:rsidP="00A11DD3">
      <w:pPr>
        <w:spacing w:before="0" w:after="0"/>
        <w:rPr>
          <w:i/>
          <w:iCs/>
          <w:sz w:val="24"/>
        </w:rPr>
      </w:pPr>
      <w:r w:rsidRPr="007C4901">
        <w:rPr>
          <w:i/>
          <w:iCs/>
          <w:sz w:val="24"/>
        </w:rPr>
        <w:t xml:space="preserve">Table </w:t>
      </w:r>
      <w:r w:rsidR="00E0545F">
        <w:rPr>
          <w:i/>
          <w:iCs/>
          <w:sz w:val="24"/>
        </w:rPr>
        <w:t>6</w:t>
      </w:r>
      <w:r w:rsidR="00474755" w:rsidRPr="007C4901">
        <w:rPr>
          <w:i/>
          <w:iCs/>
          <w:sz w:val="24"/>
        </w:rPr>
        <w:t xml:space="preserve"> </w:t>
      </w:r>
      <w:r w:rsidR="00B6148D" w:rsidRPr="007C4901">
        <w:rPr>
          <w:i/>
          <w:iCs/>
          <w:sz w:val="24"/>
        </w:rPr>
        <w:t xml:space="preserve">– </w:t>
      </w:r>
      <w:r w:rsidRPr="007C4901">
        <w:rPr>
          <w:i/>
          <w:iCs/>
          <w:sz w:val="24"/>
        </w:rPr>
        <w:t>The gender composition of the directors/leadership of the small valuation companies</w:t>
      </w:r>
    </w:p>
    <w:p w14:paraId="3A495111" w14:textId="77777777" w:rsidR="00B6148D" w:rsidRPr="007C4901" w:rsidRDefault="00B6148D" w:rsidP="00A11DD3">
      <w:pPr>
        <w:spacing w:before="0" w:after="0"/>
        <w:rPr>
          <w:b/>
          <w:bCs/>
          <w:sz w:val="24"/>
        </w:rPr>
      </w:pPr>
    </w:p>
    <w:tbl>
      <w:tblPr>
        <w:tblStyle w:val="TableGrid"/>
        <w:tblW w:w="9405" w:type="dxa"/>
        <w:jc w:val="center"/>
        <w:tblLook w:val="04A0" w:firstRow="1" w:lastRow="0" w:firstColumn="1" w:lastColumn="0" w:noHBand="0" w:noVBand="1"/>
      </w:tblPr>
      <w:tblGrid>
        <w:gridCol w:w="3566"/>
        <w:gridCol w:w="1568"/>
        <w:gridCol w:w="1713"/>
        <w:gridCol w:w="1287"/>
        <w:gridCol w:w="1271"/>
      </w:tblGrid>
      <w:tr w:rsidR="001C0E7F" w:rsidRPr="00223505" w14:paraId="3647DF82" w14:textId="77777777" w:rsidTr="00D055C5">
        <w:trPr>
          <w:trHeight w:val="677"/>
          <w:jc w:val="center"/>
        </w:trPr>
        <w:tc>
          <w:tcPr>
            <w:tcW w:w="3566" w:type="dxa"/>
          </w:tcPr>
          <w:p w14:paraId="49178D22" w14:textId="77777777" w:rsidR="001C0E7F" w:rsidRPr="00223505" w:rsidRDefault="001C0E7F" w:rsidP="00A11DD3">
            <w:pPr>
              <w:spacing w:before="0" w:after="0"/>
              <w:rPr>
                <w:b/>
                <w:bCs/>
                <w:sz w:val="20"/>
                <w:szCs w:val="20"/>
              </w:rPr>
            </w:pPr>
            <w:r w:rsidRPr="00223505">
              <w:rPr>
                <w:b/>
                <w:bCs/>
                <w:sz w:val="20"/>
                <w:szCs w:val="20"/>
              </w:rPr>
              <w:t>Valuation company</w:t>
            </w:r>
          </w:p>
        </w:tc>
        <w:tc>
          <w:tcPr>
            <w:tcW w:w="1568" w:type="dxa"/>
          </w:tcPr>
          <w:p w14:paraId="278E33E2" w14:textId="77777777" w:rsidR="001C0E7F" w:rsidRPr="00223505" w:rsidRDefault="001C0E7F" w:rsidP="00A11DD3">
            <w:pPr>
              <w:spacing w:before="0" w:after="0"/>
              <w:jc w:val="center"/>
              <w:rPr>
                <w:b/>
                <w:bCs/>
                <w:sz w:val="20"/>
                <w:szCs w:val="20"/>
              </w:rPr>
            </w:pPr>
            <w:r w:rsidRPr="00223505">
              <w:rPr>
                <w:b/>
                <w:bCs/>
                <w:sz w:val="20"/>
                <w:szCs w:val="20"/>
              </w:rPr>
              <w:t>No. of men</w:t>
            </w:r>
          </w:p>
        </w:tc>
        <w:tc>
          <w:tcPr>
            <w:tcW w:w="1713" w:type="dxa"/>
          </w:tcPr>
          <w:p w14:paraId="15693979" w14:textId="77777777" w:rsidR="001C0E7F" w:rsidRPr="00223505" w:rsidRDefault="001C0E7F" w:rsidP="00A11DD3">
            <w:pPr>
              <w:spacing w:before="0" w:after="0"/>
              <w:jc w:val="center"/>
              <w:rPr>
                <w:b/>
                <w:bCs/>
                <w:sz w:val="20"/>
                <w:szCs w:val="20"/>
              </w:rPr>
            </w:pPr>
            <w:r w:rsidRPr="00223505">
              <w:rPr>
                <w:b/>
                <w:bCs/>
                <w:sz w:val="20"/>
                <w:szCs w:val="20"/>
              </w:rPr>
              <w:t>No. of women</w:t>
            </w:r>
          </w:p>
        </w:tc>
        <w:tc>
          <w:tcPr>
            <w:tcW w:w="1287" w:type="dxa"/>
          </w:tcPr>
          <w:p w14:paraId="00CE9EAB" w14:textId="77777777" w:rsidR="001C0E7F" w:rsidRPr="00223505" w:rsidRDefault="001C0E7F" w:rsidP="00A11DD3">
            <w:pPr>
              <w:spacing w:before="0" w:after="0"/>
              <w:jc w:val="center"/>
              <w:rPr>
                <w:b/>
                <w:bCs/>
                <w:sz w:val="20"/>
                <w:szCs w:val="20"/>
              </w:rPr>
            </w:pPr>
            <w:r w:rsidRPr="00223505">
              <w:rPr>
                <w:b/>
                <w:bCs/>
                <w:sz w:val="20"/>
                <w:szCs w:val="20"/>
              </w:rPr>
              <w:t>Men%</w:t>
            </w:r>
          </w:p>
        </w:tc>
        <w:tc>
          <w:tcPr>
            <w:tcW w:w="1271" w:type="dxa"/>
          </w:tcPr>
          <w:p w14:paraId="11A9B315" w14:textId="77777777" w:rsidR="001C0E7F" w:rsidRPr="00223505" w:rsidRDefault="001C0E7F" w:rsidP="00A11DD3">
            <w:pPr>
              <w:spacing w:before="0" w:after="0"/>
              <w:jc w:val="center"/>
              <w:rPr>
                <w:b/>
                <w:bCs/>
                <w:sz w:val="20"/>
                <w:szCs w:val="20"/>
              </w:rPr>
            </w:pPr>
            <w:r w:rsidRPr="00223505">
              <w:rPr>
                <w:b/>
                <w:bCs/>
                <w:sz w:val="20"/>
                <w:szCs w:val="20"/>
              </w:rPr>
              <w:t>Women%</w:t>
            </w:r>
          </w:p>
        </w:tc>
      </w:tr>
      <w:tr w:rsidR="001C0E7F" w:rsidRPr="00223505" w14:paraId="5E4F8C19" w14:textId="77777777" w:rsidTr="00EB7730">
        <w:trPr>
          <w:trHeight w:val="370"/>
          <w:jc w:val="center"/>
        </w:trPr>
        <w:tc>
          <w:tcPr>
            <w:tcW w:w="3566" w:type="dxa"/>
          </w:tcPr>
          <w:p w14:paraId="7E564A03" w14:textId="77777777" w:rsidR="001C0E7F" w:rsidRPr="00223505" w:rsidRDefault="001C0E7F" w:rsidP="00A11DD3">
            <w:pPr>
              <w:spacing w:before="0" w:after="0"/>
              <w:rPr>
                <w:sz w:val="20"/>
                <w:szCs w:val="20"/>
              </w:rPr>
            </w:pPr>
            <w:r w:rsidRPr="00223505">
              <w:rPr>
                <w:sz w:val="20"/>
                <w:szCs w:val="20"/>
              </w:rPr>
              <w:t>Matheson Stephen Valuations</w:t>
            </w:r>
          </w:p>
        </w:tc>
        <w:tc>
          <w:tcPr>
            <w:tcW w:w="1568" w:type="dxa"/>
          </w:tcPr>
          <w:p w14:paraId="4F625E0F" w14:textId="77777777" w:rsidR="001C0E7F" w:rsidRPr="00223505" w:rsidRDefault="001C0E7F" w:rsidP="00A11DD3">
            <w:pPr>
              <w:spacing w:before="0" w:after="0"/>
              <w:jc w:val="center"/>
              <w:rPr>
                <w:sz w:val="20"/>
                <w:szCs w:val="20"/>
              </w:rPr>
            </w:pPr>
            <w:r w:rsidRPr="00223505">
              <w:rPr>
                <w:sz w:val="20"/>
                <w:szCs w:val="20"/>
              </w:rPr>
              <w:t>2</w:t>
            </w:r>
          </w:p>
        </w:tc>
        <w:tc>
          <w:tcPr>
            <w:tcW w:w="1713" w:type="dxa"/>
          </w:tcPr>
          <w:p w14:paraId="0BBF40CA" w14:textId="77777777" w:rsidR="001C0E7F" w:rsidRPr="00223505" w:rsidRDefault="001C0E7F" w:rsidP="00A11DD3">
            <w:pPr>
              <w:spacing w:before="0" w:after="0"/>
              <w:jc w:val="center"/>
              <w:rPr>
                <w:sz w:val="20"/>
                <w:szCs w:val="20"/>
              </w:rPr>
            </w:pPr>
            <w:r w:rsidRPr="00223505">
              <w:rPr>
                <w:sz w:val="20"/>
                <w:szCs w:val="20"/>
              </w:rPr>
              <w:t>1</w:t>
            </w:r>
          </w:p>
        </w:tc>
        <w:tc>
          <w:tcPr>
            <w:tcW w:w="1287" w:type="dxa"/>
          </w:tcPr>
          <w:p w14:paraId="432548F8" w14:textId="77777777" w:rsidR="001C0E7F" w:rsidRPr="00223505" w:rsidRDefault="001C0E7F" w:rsidP="00A11DD3">
            <w:pPr>
              <w:spacing w:before="0" w:after="0"/>
              <w:jc w:val="center"/>
              <w:rPr>
                <w:sz w:val="20"/>
                <w:szCs w:val="20"/>
              </w:rPr>
            </w:pPr>
            <w:r w:rsidRPr="00223505">
              <w:rPr>
                <w:sz w:val="20"/>
                <w:szCs w:val="20"/>
              </w:rPr>
              <w:t>66.67</w:t>
            </w:r>
          </w:p>
        </w:tc>
        <w:tc>
          <w:tcPr>
            <w:tcW w:w="1271" w:type="dxa"/>
          </w:tcPr>
          <w:p w14:paraId="086D25CB" w14:textId="77777777" w:rsidR="001C0E7F" w:rsidRPr="00223505" w:rsidRDefault="001C0E7F" w:rsidP="00A11DD3">
            <w:pPr>
              <w:spacing w:before="0" w:after="0"/>
              <w:jc w:val="center"/>
              <w:rPr>
                <w:sz w:val="20"/>
                <w:szCs w:val="20"/>
              </w:rPr>
            </w:pPr>
            <w:r w:rsidRPr="00223505">
              <w:rPr>
                <w:sz w:val="20"/>
                <w:szCs w:val="20"/>
              </w:rPr>
              <w:t>33.33</w:t>
            </w:r>
          </w:p>
        </w:tc>
      </w:tr>
      <w:tr w:rsidR="001C0E7F" w:rsidRPr="00223505" w14:paraId="6EEE2550" w14:textId="77777777" w:rsidTr="00D055C5">
        <w:trPr>
          <w:trHeight w:val="322"/>
          <w:jc w:val="center"/>
        </w:trPr>
        <w:tc>
          <w:tcPr>
            <w:tcW w:w="3566" w:type="dxa"/>
          </w:tcPr>
          <w:p w14:paraId="2CBE937E" w14:textId="77777777" w:rsidR="001C0E7F" w:rsidRPr="00223505" w:rsidRDefault="001C0E7F" w:rsidP="00A11DD3">
            <w:pPr>
              <w:spacing w:before="0" w:after="0"/>
              <w:rPr>
                <w:sz w:val="20"/>
                <w:szCs w:val="20"/>
              </w:rPr>
            </w:pPr>
            <w:r w:rsidRPr="00223505">
              <w:rPr>
                <w:sz w:val="20"/>
                <w:szCs w:val="20"/>
              </w:rPr>
              <w:t>Imperial Valuations</w:t>
            </w:r>
          </w:p>
        </w:tc>
        <w:tc>
          <w:tcPr>
            <w:tcW w:w="1568" w:type="dxa"/>
          </w:tcPr>
          <w:p w14:paraId="262D1EA5" w14:textId="77777777" w:rsidR="001C0E7F" w:rsidRPr="00223505" w:rsidRDefault="001C0E7F" w:rsidP="00A11DD3">
            <w:pPr>
              <w:spacing w:before="0" w:after="0"/>
              <w:jc w:val="center"/>
              <w:rPr>
                <w:sz w:val="20"/>
                <w:szCs w:val="20"/>
              </w:rPr>
            </w:pPr>
            <w:r w:rsidRPr="00223505">
              <w:rPr>
                <w:sz w:val="20"/>
                <w:szCs w:val="20"/>
              </w:rPr>
              <w:t>3</w:t>
            </w:r>
          </w:p>
        </w:tc>
        <w:tc>
          <w:tcPr>
            <w:tcW w:w="1713" w:type="dxa"/>
          </w:tcPr>
          <w:p w14:paraId="2BFD5990" w14:textId="77777777" w:rsidR="001C0E7F" w:rsidRPr="00223505" w:rsidRDefault="001C0E7F" w:rsidP="00A11DD3">
            <w:pPr>
              <w:spacing w:before="0" w:after="0"/>
              <w:jc w:val="center"/>
              <w:rPr>
                <w:sz w:val="20"/>
                <w:szCs w:val="20"/>
              </w:rPr>
            </w:pPr>
            <w:r w:rsidRPr="00223505">
              <w:rPr>
                <w:sz w:val="20"/>
                <w:szCs w:val="20"/>
              </w:rPr>
              <w:t>0</w:t>
            </w:r>
          </w:p>
        </w:tc>
        <w:tc>
          <w:tcPr>
            <w:tcW w:w="1287" w:type="dxa"/>
          </w:tcPr>
          <w:p w14:paraId="3161B6F0" w14:textId="77777777" w:rsidR="001C0E7F" w:rsidRPr="00223505" w:rsidRDefault="001C0E7F" w:rsidP="00A11DD3">
            <w:pPr>
              <w:spacing w:before="0" w:after="0"/>
              <w:jc w:val="center"/>
              <w:rPr>
                <w:sz w:val="20"/>
                <w:szCs w:val="20"/>
              </w:rPr>
            </w:pPr>
            <w:r w:rsidRPr="00223505">
              <w:rPr>
                <w:sz w:val="20"/>
                <w:szCs w:val="20"/>
              </w:rPr>
              <w:t>100</w:t>
            </w:r>
          </w:p>
        </w:tc>
        <w:tc>
          <w:tcPr>
            <w:tcW w:w="1271" w:type="dxa"/>
          </w:tcPr>
          <w:p w14:paraId="0CB3F5EC" w14:textId="77777777" w:rsidR="001C0E7F" w:rsidRPr="00223505" w:rsidRDefault="001C0E7F" w:rsidP="00A11DD3">
            <w:pPr>
              <w:spacing w:before="0" w:after="0"/>
              <w:jc w:val="center"/>
              <w:rPr>
                <w:sz w:val="20"/>
                <w:szCs w:val="20"/>
              </w:rPr>
            </w:pPr>
            <w:r w:rsidRPr="00223505">
              <w:rPr>
                <w:sz w:val="20"/>
                <w:szCs w:val="20"/>
              </w:rPr>
              <w:t>0</w:t>
            </w:r>
          </w:p>
        </w:tc>
      </w:tr>
      <w:tr w:rsidR="001C0E7F" w:rsidRPr="00223505" w14:paraId="0E38EE6E" w14:textId="77777777" w:rsidTr="00D055C5">
        <w:trPr>
          <w:trHeight w:val="338"/>
          <w:jc w:val="center"/>
        </w:trPr>
        <w:tc>
          <w:tcPr>
            <w:tcW w:w="3566" w:type="dxa"/>
          </w:tcPr>
          <w:p w14:paraId="411A7250" w14:textId="77777777" w:rsidR="001C0E7F" w:rsidRPr="00223505" w:rsidRDefault="001C0E7F" w:rsidP="00A11DD3">
            <w:pPr>
              <w:spacing w:before="0" w:after="0"/>
              <w:rPr>
                <w:sz w:val="20"/>
                <w:szCs w:val="20"/>
              </w:rPr>
            </w:pPr>
            <w:r w:rsidRPr="00223505">
              <w:rPr>
                <w:sz w:val="20"/>
                <w:szCs w:val="20"/>
              </w:rPr>
              <w:t>Bertacco Ferrier Property Consultants</w:t>
            </w:r>
          </w:p>
        </w:tc>
        <w:tc>
          <w:tcPr>
            <w:tcW w:w="1568" w:type="dxa"/>
          </w:tcPr>
          <w:p w14:paraId="2EA03178" w14:textId="77777777" w:rsidR="001C0E7F" w:rsidRPr="00223505" w:rsidRDefault="001C0E7F" w:rsidP="00A11DD3">
            <w:pPr>
              <w:spacing w:before="0" w:after="0"/>
              <w:jc w:val="center"/>
              <w:rPr>
                <w:sz w:val="20"/>
                <w:szCs w:val="20"/>
              </w:rPr>
            </w:pPr>
            <w:r w:rsidRPr="00223505">
              <w:rPr>
                <w:sz w:val="20"/>
                <w:szCs w:val="20"/>
              </w:rPr>
              <w:t>2</w:t>
            </w:r>
          </w:p>
        </w:tc>
        <w:tc>
          <w:tcPr>
            <w:tcW w:w="1713" w:type="dxa"/>
          </w:tcPr>
          <w:p w14:paraId="52968A3B" w14:textId="77777777" w:rsidR="001C0E7F" w:rsidRPr="00223505" w:rsidRDefault="001C0E7F" w:rsidP="00A11DD3">
            <w:pPr>
              <w:spacing w:before="0" w:after="0"/>
              <w:jc w:val="center"/>
              <w:rPr>
                <w:sz w:val="20"/>
                <w:szCs w:val="20"/>
              </w:rPr>
            </w:pPr>
            <w:r w:rsidRPr="00223505">
              <w:rPr>
                <w:sz w:val="20"/>
                <w:szCs w:val="20"/>
              </w:rPr>
              <w:t>0</w:t>
            </w:r>
          </w:p>
        </w:tc>
        <w:tc>
          <w:tcPr>
            <w:tcW w:w="1287" w:type="dxa"/>
          </w:tcPr>
          <w:p w14:paraId="7441D7C4" w14:textId="77777777" w:rsidR="001C0E7F" w:rsidRPr="00223505" w:rsidRDefault="001C0E7F" w:rsidP="00A11DD3">
            <w:pPr>
              <w:spacing w:before="0" w:after="0"/>
              <w:jc w:val="center"/>
              <w:rPr>
                <w:sz w:val="20"/>
                <w:szCs w:val="20"/>
              </w:rPr>
            </w:pPr>
            <w:r w:rsidRPr="00223505">
              <w:rPr>
                <w:sz w:val="20"/>
                <w:szCs w:val="20"/>
              </w:rPr>
              <w:t>100</w:t>
            </w:r>
          </w:p>
        </w:tc>
        <w:tc>
          <w:tcPr>
            <w:tcW w:w="1271" w:type="dxa"/>
          </w:tcPr>
          <w:p w14:paraId="1CFF6E58" w14:textId="77777777" w:rsidR="001C0E7F" w:rsidRPr="00223505" w:rsidRDefault="001C0E7F" w:rsidP="00A11DD3">
            <w:pPr>
              <w:spacing w:before="0" w:after="0"/>
              <w:jc w:val="center"/>
              <w:rPr>
                <w:sz w:val="20"/>
                <w:szCs w:val="20"/>
              </w:rPr>
            </w:pPr>
            <w:r w:rsidRPr="00223505">
              <w:rPr>
                <w:sz w:val="20"/>
                <w:szCs w:val="20"/>
              </w:rPr>
              <w:t>0</w:t>
            </w:r>
          </w:p>
        </w:tc>
      </w:tr>
      <w:tr w:rsidR="001C0E7F" w:rsidRPr="00223505" w14:paraId="2EF90FC7" w14:textId="77777777" w:rsidTr="00D055C5">
        <w:trPr>
          <w:trHeight w:val="338"/>
          <w:jc w:val="center"/>
        </w:trPr>
        <w:tc>
          <w:tcPr>
            <w:tcW w:w="3566" w:type="dxa"/>
          </w:tcPr>
          <w:p w14:paraId="391F97E0" w14:textId="77777777" w:rsidR="001C0E7F" w:rsidRPr="00223505" w:rsidRDefault="001C0E7F" w:rsidP="00A11DD3">
            <w:pPr>
              <w:spacing w:before="0" w:after="0"/>
              <w:rPr>
                <w:sz w:val="20"/>
                <w:szCs w:val="20"/>
              </w:rPr>
            </w:pPr>
            <w:r w:rsidRPr="00223505">
              <w:rPr>
                <w:sz w:val="20"/>
                <w:szCs w:val="20"/>
              </w:rPr>
              <w:t>Sovereign Valuations</w:t>
            </w:r>
          </w:p>
        </w:tc>
        <w:tc>
          <w:tcPr>
            <w:tcW w:w="1568" w:type="dxa"/>
          </w:tcPr>
          <w:p w14:paraId="0C1242C5" w14:textId="77777777" w:rsidR="001C0E7F" w:rsidRPr="00223505" w:rsidRDefault="001C0E7F" w:rsidP="00A11DD3">
            <w:pPr>
              <w:spacing w:before="0" w:after="0"/>
              <w:jc w:val="center"/>
              <w:rPr>
                <w:sz w:val="20"/>
                <w:szCs w:val="20"/>
              </w:rPr>
            </w:pPr>
            <w:r w:rsidRPr="00223505">
              <w:rPr>
                <w:sz w:val="20"/>
                <w:szCs w:val="20"/>
              </w:rPr>
              <w:t>1</w:t>
            </w:r>
          </w:p>
        </w:tc>
        <w:tc>
          <w:tcPr>
            <w:tcW w:w="1713" w:type="dxa"/>
          </w:tcPr>
          <w:p w14:paraId="3398439A" w14:textId="77777777" w:rsidR="001C0E7F" w:rsidRPr="00223505" w:rsidRDefault="001C0E7F" w:rsidP="00A11DD3">
            <w:pPr>
              <w:spacing w:before="0" w:after="0"/>
              <w:jc w:val="center"/>
              <w:rPr>
                <w:sz w:val="20"/>
                <w:szCs w:val="20"/>
              </w:rPr>
            </w:pPr>
            <w:r w:rsidRPr="00223505">
              <w:rPr>
                <w:sz w:val="20"/>
                <w:szCs w:val="20"/>
              </w:rPr>
              <w:t>1</w:t>
            </w:r>
          </w:p>
        </w:tc>
        <w:tc>
          <w:tcPr>
            <w:tcW w:w="1287" w:type="dxa"/>
          </w:tcPr>
          <w:p w14:paraId="73664216" w14:textId="77777777" w:rsidR="001C0E7F" w:rsidRPr="00223505" w:rsidRDefault="001C0E7F" w:rsidP="00A11DD3">
            <w:pPr>
              <w:spacing w:before="0" w:after="0"/>
              <w:jc w:val="center"/>
              <w:rPr>
                <w:sz w:val="20"/>
                <w:szCs w:val="20"/>
              </w:rPr>
            </w:pPr>
            <w:r w:rsidRPr="00223505">
              <w:rPr>
                <w:sz w:val="20"/>
                <w:szCs w:val="20"/>
              </w:rPr>
              <w:t>50</w:t>
            </w:r>
          </w:p>
        </w:tc>
        <w:tc>
          <w:tcPr>
            <w:tcW w:w="1271" w:type="dxa"/>
          </w:tcPr>
          <w:p w14:paraId="35022959" w14:textId="77777777" w:rsidR="001C0E7F" w:rsidRPr="00223505" w:rsidRDefault="001C0E7F" w:rsidP="00A11DD3">
            <w:pPr>
              <w:spacing w:before="0" w:after="0"/>
              <w:jc w:val="center"/>
              <w:rPr>
                <w:sz w:val="20"/>
                <w:szCs w:val="20"/>
              </w:rPr>
            </w:pPr>
            <w:r w:rsidRPr="00223505">
              <w:rPr>
                <w:sz w:val="20"/>
                <w:szCs w:val="20"/>
              </w:rPr>
              <w:t>50</w:t>
            </w:r>
          </w:p>
        </w:tc>
      </w:tr>
      <w:tr w:rsidR="001C0E7F" w:rsidRPr="00223505" w14:paraId="1562AE4C" w14:textId="77777777" w:rsidTr="00D055C5">
        <w:trPr>
          <w:trHeight w:val="338"/>
          <w:jc w:val="center"/>
        </w:trPr>
        <w:tc>
          <w:tcPr>
            <w:tcW w:w="3566" w:type="dxa"/>
          </w:tcPr>
          <w:p w14:paraId="23DF13F8" w14:textId="77777777" w:rsidR="001C0E7F" w:rsidRPr="00223505" w:rsidRDefault="001C0E7F" w:rsidP="00A11DD3">
            <w:pPr>
              <w:spacing w:before="0" w:after="0"/>
              <w:rPr>
                <w:sz w:val="20"/>
                <w:szCs w:val="20"/>
              </w:rPr>
            </w:pPr>
            <w:proofErr w:type="spellStart"/>
            <w:r w:rsidRPr="00223505">
              <w:rPr>
                <w:sz w:val="20"/>
                <w:szCs w:val="20"/>
              </w:rPr>
              <w:t>Hendrey</w:t>
            </w:r>
            <w:proofErr w:type="spellEnd"/>
            <w:r w:rsidRPr="00223505">
              <w:rPr>
                <w:sz w:val="20"/>
                <w:szCs w:val="20"/>
              </w:rPr>
              <w:t xml:space="preserve"> Consulting</w:t>
            </w:r>
          </w:p>
        </w:tc>
        <w:tc>
          <w:tcPr>
            <w:tcW w:w="1568" w:type="dxa"/>
          </w:tcPr>
          <w:p w14:paraId="400DE04B" w14:textId="77777777" w:rsidR="001C0E7F" w:rsidRPr="00223505" w:rsidRDefault="001C0E7F" w:rsidP="00A11DD3">
            <w:pPr>
              <w:spacing w:before="0" w:after="0"/>
              <w:jc w:val="center"/>
              <w:rPr>
                <w:sz w:val="20"/>
                <w:szCs w:val="20"/>
              </w:rPr>
            </w:pPr>
            <w:r w:rsidRPr="00223505">
              <w:rPr>
                <w:sz w:val="20"/>
                <w:szCs w:val="20"/>
              </w:rPr>
              <w:t>1</w:t>
            </w:r>
          </w:p>
        </w:tc>
        <w:tc>
          <w:tcPr>
            <w:tcW w:w="1713" w:type="dxa"/>
          </w:tcPr>
          <w:p w14:paraId="6F6276DC" w14:textId="77777777" w:rsidR="001C0E7F" w:rsidRPr="00223505" w:rsidRDefault="001C0E7F" w:rsidP="00A11DD3">
            <w:pPr>
              <w:spacing w:before="0" w:after="0"/>
              <w:jc w:val="center"/>
              <w:rPr>
                <w:sz w:val="20"/>
                <w:szCs w:val="20"/>
              </w:rPr>
            </w:pPr>
            <w:r w:rsidRPr="00223505">
              <w:rPr>
                <w:sz w:val="20"/>
                <w:szCs w:val="20"/>
              </w:rPr>
              <w:t>0</w:t>
            </w:r>
          </w:p>
        </w:tc>
        <w:tc>
          <w:tcPr>
            <w:tcW w:w="1287" w:type="dxa"/>
          </w:tcPr>
          <w:p w14:paraId="2F76B90E" w14:textId="77777777" w:rsidR="001C0E7F" w:rsidRPr="00223505" w:rsidRDefault="001C0E7F" w:rsidP="00A11DD3">
            <w:pPr>
              <w:spacing w:before="0" w:after="0"/>
              <w:jc w:val="center"/>
              <w:rPr>
                <w:sz w:val="20"/>
                <w:szCs w:val="20"/>
              </w:rPr>
            </w:pPr>
            <w:r w:rsidRPr="00223505">
              <w:rPr>
                <w:sz w:val="20"/>
                <w:szCs w:val="20"/>
              </w:rPr>
              <w:t>100</w:t>
            </w:r>
          </w:p>
        </w:tc>
        <w:tc>
          <w:tcPr>
            <w:tcW w:w="1271" w:type="dxa"/>
          </w:tcPr>
          <w:p w14:paraId="78A60D8C" w14:textId="77777777" w:rsidR="001C0E7F" w:rsidRPr="00223505" w:rsidRDefault="001C0E7F" w:rsidP="00A11DD3">
            <w:pPr>
              <w:spacing w:before="0" w:after="0"/>
              <w:jc w:val="center"/>
              <w:rPr>
                <w:sz w:val="20"/>
                <w:szCs w:val="20"/>
              </w:rPr>
            </w:pPr>
            <w:r w:rsidRPr="00223505">
              <w:rPr>
                <w:sz w:val="20"/>
                <w:szCs w:val="20"/>
              </w:rPr>
              <w:t>0</w:t>
            </w:r>
          </w:p>
        </w:tc>
      </w:tr>
      <w:tr w:rsidR="001C0E7F" w:rsidRPr="00223505" w14:paraId="3AE8C19E" w14:textId="77777777" w:rsidTr="00D055C5">
        <w:trPr>
          <w:trHeight w:val="338"/>
          <w:jc w:val="center"/>
        </w:trPr>
        <w:tc>
          <w:tcPr>
            <w:tcW w:w="3566" w:type="dxa"/>
          </w:tcPr>
          <w:p w14:paraId="05C54599" w14:textId="77777777" w:rsidR="001C0E7F" w:rsidRPr="00223505" w:rsidRDefault="001C0E7F" w:rsidP="00A11DD3">
            <w:pPr>
              <w:spacing w:before="0" w:after="0"/>
              <w:rPr>
                <w:sz w:val="20"/>
                <w:szCs w:val="20"/>
              </w:rPr>
            </w:pPr>
            <w:proofErr w:type="spellStart"/>
            <w:r w:rsidRPr="00223505">
              <w:rPr>
                <w:sz w:val="20"/>
                <w:szCs w:val="20"/>
              </w:rPr>
              <w:t>ValueIt</w:t>
            </w:r>
            <w:proofErr w:type="spellEnd"/>
            <w:r w:rsidRPr="00223505">
              <w:rPr>
                <w:sz w:val="20"/>
                <w:szCs w:val="20"/>
              </w:rPr>
              <w:t xml:space="preserve"> Pty Limited</w:t>
            </w:r>
          </w:p>
        </w:tc>
        <w:tc>
          <w:tcPr>
            <w:tcW w:w="1568" w:type="dxa"/>
          </w:tcPr>
          <w:p w14:paraId="7C0BA398" w14:textId="77777777" w:rsidR="001C0E7F" w:rsidRPr="00223505" w:rsidRDefault="001C0E7F" w:rsidP="00A11DD3">
            <w:pPr>
              <w:spacing w:before="0" w:after="0"/>
              <w:jc w:val="center"/>
              <w:rPr>
                <w:sz w:val="20"/>
                <w:szCs w:val="20"/>
              </w:rPr>
            </w:pPr>
            <w:r w:rsidRPr="00223505">
              <w:rPr>
                <w:sz w:val="20"/>
                <w:szCs w:val="20"/>
              </w:rPr>
              <w:t>1</w:t>
            </w:r>
          </w:p>
        </w:tc>
        <w:tc>
          <w:tcPr>
            <w:tcW w:w="1713" w:type="dxa"/>
          </w:tcPr>
          <w:p w14:paraId="658FF414" w14:textId="77777777" w:rsidR="001C0E7F" w:rsidRPr="00223505" w:rsidRDefault="001C0E7F" w:rsidP="00A11DD3">
            <w:pPr>
              <w:spacing w:before="0" w:after="0"/>
              <w:jc w:val="center"/>
              <w:rPr>
                <w:sz w:val="20"/>
                <w:szCs w:val="20"/>
              </w:rPr>
            </w:pPr>
            <w:r w:rsidRPr="00223505">
              <w:rPr>
                <w:sz w:val="20"/>
                <w:szCs w:val="20"/>
              </w:rPr>
              <w:t>0</w:t>
            </w:r>
          </w:p>
        </w:tc>
        <w:tc>
          <w:tcPr>
            <w:tcW w:w="1287" w:type="dxa"/>
          </w:tcPr>
          <w:p w14:paraId="5E9398D4" w14:textId="77777777" w:rsidR="001C0E7F" w:rsidRPr="00223505" w:rsidRDefault="001C0E7F" w:rsidP="00A11DD3">
            <w:pPr>
              <w:spacing w:before="0" w:after="0"/>
              <w:jc w:val="center"/>
              <w:rPr>
                <w:sz w:val="20"/>
                <w:szCs w:val="20"/>
              </w:rPr>
            </w:pPr>
            <w:r w:rsidRPr="00223505">
              <w:rPr>
                <w:sz w:val="20"/>
                <w:szCs w:val="20"/>
              </w:rPr>
              <w:t>100</w:t>
            </w:r>
          </w:p>
        </w:tc>
        <w:tc>
          <w:tcPr>
            <w:tcW w:w="1271" w:type="dxa"/>
          </w:tcPr>
          <w:p w14:paraId="5F5AD6A1" w14:textId="77777777" w:rsidR="001C0E7F" w:rsidRPr="00223505" w:rsidRDefault="001C0E7F" w:rsidP="00A11DD3">
            <w:pPr>
              <w:spacing w:before="0" w:after="0"/>
              <w:jc w:val="center"/>
              <w:rPr>
                <w:sz w:val="20"/>
                <w:szCs w:val="20"/>
              </w:rPr>
            </w:pPr>
            <w:r w:rsidRPr="00223505">
              <w:rPr>
                <w:sz w:val="20"/>
                <w:szCs w:val="20"/>
              </w:rPr>
              <w:t>0</w:t>
            </w:r>
          </w:p>
        </w:tc>
      </w:tr>
      <w:tr w:rsidR="001C0E7F" w:rsidRPr="00223505" w14:paraId="54025B9A" w14:textId="77777777" w:rsidTr="00D055C5">
        <w:trPr>
          <w:trHeight w:val="338"/>
          <w:jc w:val="center"/>
        </w:trPr>
        <w:tc>
          <w:tcPr>
            <w:tcW w:w="3566" w:type="dxa"/>
          </w:tcPr>
          <w:p w14:paraId="0E58B028" w14:textId="77777777" w:rsidR="001C0E7F" w:rsidRPr="00223505" w:rsidRDefault="001C0E7F" w:rsidP="00A11DD3">
            <w:pPr>
              <w:spacing w:before="0" w:after="0"/>
              <w:rPr>
                <w:sz w:val="20"/>
                <w:szCs w:val="20"/>
              </w:rPr>
            </w:pPr>
            <w:r w:rsidRPr="00223505">
              <w:rPr>
                <w:sz w:val="20"/>
                <w:szCs w:val="20"/>
              </w:rPr>
              <w:t>Ham CJ and Murray Pty Ltd</w:t>
            </w:r>
          </w:p>
        </w:tc>
        <w:tc>
          <w:tcPr>
            <w:tcW w:w="1568" w:type="dxa"/>
          </w:tcPr>
          <w:p w14:paraId="7B6A9544" w14:textId="77777777" w:rsidR="001C0E7F" w:rsidRPr="00223505" w:rsidRDefault="001C0E7F" w:rsidP="00A11DD3">
            <w:pPr>
              <w:spacing w:before="0" w:after="0"/>
              <w:jc w:val="center"/>
              <w:rPr>
                <w:sz w:val="20"/>
                <w:szCs w:val="20"/>
              </w:rPr>
            </w:pPr>
            <w:r w:rsidRPr="00223505">
              <w:rPr>
                <w:sz w:val="20"/>
                <w:szCs w:val="20"/>
              </w:rPr>
              <w:t>1</w:t>
            </w:r>
          </w:p>
        </w:tc>
        <w:tc>
          <w:tcPr>
            <w:tcW w:w="1713" w:type="dxa"/>
          </w:tcPr>
          <w:p w14:paraId="42ED4E62" w14:textId="77777777" w:rsidR="001C0E7F" w:rsidRPr="00223505" w:rsidRDefault="001C0E7F" w:rsidP="00A11DD3">
            <w:pPr>
              <w:spacing w:before="0" w:after="0"/>
              <w:jc w:val="center"/>
              <w:rPr>
                <w:sz w:val="20"/>
                <w:szCs w:val="20"/>
              </w:rPr>
            </w:pPr>
            <w:r w:rsidRPr="00223505">
              <w:rPr>
                <w:sz w:val="20"/>
                <w:szCs w:val="20"/>
              </w:rPr>
              <w:t>0</w:t>
            </w:r>
          </w:p>
        </w:tc>
        <w:tc>
          <w:tcPr>
            <w:tcW w:w="1287" w:type="dxa"/>
          </w:tcPr>
          <w:p w14:paraId="24E4E909" w14:textId="77777777" w:rsidR="001C0E7F" w:rsidRPr="00223505" w:rsidRDefault="001C0E7F" w:rsidP="00A11DD3">
            <w:pPr>
              <w:spacing w:before="0" w:after="0"/>
              <w:jc w:val="center"/>
              <w:rPr>
                <w:sz w:val="20"/>
                <w:szCs w:val="20"/>
              </w:rPr>
            </w:pPr>
            <w:r w:rsidRPr="00223505">
              <w:rPr>
                <w:sz w:val="20"/>
                <w:szCs w:val="20"/>
              </w:rPr>
              <w:t>100</w:t>
            </w:r>
          </w:p>
        </w:tc>
        <w:tc>
          <w:tcPr>
            <w:tcW w:w="1271" w:type="dxa"/>
          </w:tcPr>
          <w:p w14:paraId="7CCCB32A" w14:textId="77777777" w:rsidR="001C0E7F" w:rsidRPr="00223505" w:rsidRDefault="001C0E7F" w:rsidP="00A11DD3">
            <w:pPr>
              <w:spacing w:before="0" w:after="0"/>
              <w:jc w:val="center"/>
              <w:rPr>
                <w:sz w:val="20"/>
                <w:szCs w:val="20"/>
              </w:rPr>
            </w:pPr>
            <w:r w:rsidRPr="00223505">
              <w:rPr>
                <w:sz w:val="20"/>
                <w:szCs w:val="20"/>
              </w:rPr>
              <w:t>0</w:t>
            </w:r>
          </w:p>
        </w:tc>
      </w:tr>
      <w:tr w:rsidR="001C0E7F" w:rsidRPr="00223505" w14:paraId="12A4CB99" w14:textId="77777777" w:rsidTr="00D055C5">
        <w:trPr>
          <w:trHeight w:val="322"/>
          <w:jc w:val="center"/>
        </w:trPr>
        <w:tc>
          <w:tcPr>
            <w:tcW w:w="3566" w:type="dxa"/>
          </w:tcPr>
          <w:p w14:paraId="7980FAD5" w14:textId="77777777" w:rsidR="001C0E7F" w:rsidRPr="00223505" w:rsidRDefault="001C0E7F" w:rsidP="00A11DD3">
            <w:pPr>
              <w:spacing w:before="0" w:after="0"/>
              <w:rPr>
                <w:sz w:val="20"/>
                <w:szCs w:val="20"/>
              </w:rPr>
            </w:pPr>
            <w:proofErr w:type="spellStart"/>
            <w:r w:rsidRPr="00223505">
              <w:rPr>
                <w:sz w:val="20"/>
                <w:szCs w:val="20"/>
              </w:rPr>
              <w:t>Fastnet</w:t>
            </w:r>
            <w:proofErr w:type="spellEnd"/>
            <w:r w:rsidRPr="00223505">
              <w:rPr>
                <w:sz w:val="20"/>
                <w:szCs w:val="20"/>
              </w:rPr>
              <w:t xml:space="preserve"> Consulting</w:t>
            </w:r>
          </w:p>
        </w:tc>
        <w:tc>
          <w:tcPr>
            <w:tcW w:w="1568" w:type="dxa"/>
          </w:tcPr>
          <w:p w14:paraId="6423C00D" w14:textId="77777777" w:rsidR="001C0E7F" w:rsidRPr="00223505" w:rsidRDefault="001C0E7F" w:rsidP="00A11DD3">
            <w:pPr>
              <w:spacing w:before="0" w:after="0"/>
              <w:jc w:val="center"/>
              <w:rPr>
                <w:sz w:val="20"/>
                <w:szCs w:val="20"/>
              </w:rPr>
            </w:pPr>
            <w:r w:rsidRPr="00223505">
              <w:rPr>
                <w:sz w:val="20"/>
                <w:szCs w:val="20"/>
              </w:rPr>
              <w:t>2</w:t>
            </w:r>
          </w:p>
        </w:tc>
        <w:tc>
          <w:tcPr>
            <w:tcW w:w="1713" w:type="dxa"/>
          </w:tcPr>
          <w:p w14:paraId="4A8BAA88" w14:textId="77777777" w:rsidR="001C0E7F" w:rsidRPr="00223505" w:rsidRDefault="001C0E7F" w:rsidP="00A11DD3">
            <w:pPr>
              <w:spacing w:before="0" w:after="0"/>
              <w:jc w:val="center"/>
              <w:rPr>
                <w:sz w:val="20"/>
                <w:szCs w:val="20"/>
              </w:rPr>
            </w:pPr>
            <w:r w:rsidRPr="00223505">
              <w:rPr>
                <w:sz w:val="20"/>
                <w:szCs w:val="20"/>
              </w:rPr>
              <w:t>0</w:t>
            </w:r>
          </w:p>
        </w:tc>
        <w:tc>
          <w:tcPr>
            <w:tcW w:w="1287" w:type="dxa"/>
          </w:tcPr>
          <w:p w14:paraId="6B1A0E40" w14:textId="77777777" w:rsidR="001C0E7F" w:rsidRPr="00223505" w:rsidRDefault="001C0E7F" w:rsidP="00A11DD3">
            <w:pPr>
              <w:spacing w:before="0" w:after="0"/>
              <w:jc w:val="center"/>
              <w:rPr>
                <w:sz w:val="20"/>
                <w:szCs w:val="20"/>
              </w:rPr>
            </w:pPr>
            <w:r w:rsidRPr="00223505">
              <w:rPr>
                <w:sz w:val="20"/>
                <w:szCs w:val="20"/>
              </w:rPr>
              <w:t>100</w:t>
            </w:r>
          </w:p>
        </w:tc>
        <w:tc>
          <w:tcPr>
            <w:tcW w:w="1271" w:type="dxa"/>
          </w:tcPr>
          <w:p w14:paraId="61A1AE33" w14:textId="77777777" w:rsidR="001C0E7F" w:rsidRPr="00223505" w:rsidRDefault="001C0E7F" w:rsidP="00A11DD3">
            <w:pPr>
              <w:spacing w:before="0" w:after="0"/>
              <w:jc w:val="center"/>
              <w:rPr>
                <w:sz w:val="20"/>
                <w:szCs w:val="20"/>
              </w:rPr>
            </w:pPr>
            <w:r w:rsidRPr="00223505">
              <w:rPr>
                <w:sz w:val="20"/>
                <w:szCs w:val="20"/>
              </w:rPr>
              <w:t>0</w:t>
            </w:r>
          </w:p>
        </w:tc>
      </w:tr>
      <w:tr w:rsidR="001C0E7F" w:rsidRPr="00223505" w14:paraId="786E952D" w14:textId="77777777" w:rsidTr="00D055C5">
        <w:trPr>
          <w:trHeight w:val="338"/>
          <w:jc w:val="center"/>
        </w:trPr>
        <w:tc>
          <w:tcPr>
            <w:tcW w:w="3566" w:type="dxa"/>
          </w:tcPr>
          <w:p w14:paraId="572363BA" w14:textId="77777777" w:rsidR="001C0E7F" w:rsidRPr="00223505" w:rsidRDefault="001C0E7F" w:rsidP="00A11DD3">
            <w:pPr>
              <w:spacing w:before="0" w:after="0"/>
              <w:rPr>
                <w:sz w:val="20"/>
                <w:szCs w:val="20"/>
              </w:rPr>
            </w:pPr>
            <w:r w:rsidRPr="00223505">
              <w:rPr>
                <w:sz w:val="20"/>
                <w:szCs w:val="20"/>
              </w:rPr>
              <w:t>Vision Valuation Services</w:t>
            </w:r>
          </w:p>
        </w:tc>
        <w:tc>
          <w:tcPr>
            <w:tcW w:w="1568" w:type="dxa"/>
          </w:tcPr>
          <w:p w14:paraId="03B5CACA" w14:textId="77777777" w:rsidR="001C0E7F" w:rsidRPr="00223505" w:rsidRDefault="001C0E7F" w:rsidP="00A11DD3">
            <w:pPr>
              <w:spacing w:before="0" w:after="0"/>
              <w:jc w:val="center"/>
              <w:rPr>
                <w:sz w:val="20"/>
                <w:szCs w:val="20"/>
              </w:rPr>
            </w:pPr>
            <w:r w:rsidRPr="00223505">
              <w:rPr>
                <w:sz w:val="20"/>
                <w:szCs w:val="20"/>
              </w:rPr>
              <w:t>-</w:t>
            </w:r>
          </w:p>
        </w:tc>
        <w:tc>
          <w:tcPr>
            <w:tcW w:w="1713" w:type="dxa"/>
          </w:tcPr>
          <w:p w14:paraId="7031504B" w14:textId="77777777" w:rsidR="001C0E7F" w:rsidRPr="00223505" w:rsidRDefault="001C0E7F" w:rsidP="00A11DD3">
            <w:pPr>
              <w:spacing w:before="0" w:after="0"/>
              <w:jc w:val="center"/>
              <w:rPr>
                <w:sz w:val="20"/>
                <w:szCs w:val="20"/>
              </w:rPr>
            </w:pPr>
            <w:r w:rsidRPr="00223505">
              <w:rPr>
                <w:sz w:val="20"/>
                <w:szCs w:val="20"/>
              </w:rPr>
              <w:t>-</w:t>
            </w:r>
          </w:p>
        </w:tc>
        <w:tc>
          <w:tcPr>
            <w:tcW w:w="1287" w:type="dxa"/>
          </w:tcPr>
          <w:p w14:paraId="2EE22DD4" w14:textId="77777777" w:rsidR="001C0E7F" w:rsidRPr="00223505" w:rsidRDefault="001C0E7F" w:rsidP="00A11DD3">
            <w:pPr>
              <w:spacing w:before="0" w:after="0"/>
              <w:jc w:val="center"/>
              <w:rPr>
                <w:sz w:val="20"/>
                <w:szCs w:val="20"/>
              </w:rPr>
            </w:pPr>
            <w:r w:rsidRPr="00223505">
              <w:rPr>
                <w:sz w:val="20"/>
                <w:szCs w:val="20"/>
              </w:rPr>
              <w:t>-</w:t>
            </w:r>
          </w:p>
        </w:tc>
        <w:tc>
          <w:tcPr>
            <w:tcW w:w="1271" w:type="dxa"/>
          </w:tcPr>
          <w:p w14:paraId="3604FD1A" w14:textId="77777777" w:rsidR="001C0E7F" w:rsidRPr="00223505" w:rsidRDefault="001C0E7F" w:rsidP="00A11DD3">
            <w:pPr>
              <w:spacing w:before="0" w:after="0"/>
              <w:jc w:val="center"/>
              <w:rPr>
                <w:sz w:val="20"/>
                <w:szCs w:val="20"/>
              </w:rPr>
            </w:pPr>
            <w:r w:rsidRPr="00223505">
              <w:rPr>
                <w:sz w:val="20"/>
                <w:szCs w:val="20"/>
              </w:rPr>
              <w:t>-</w:t>
            </w:r>
          </w:p>
        </w:tc>
      </w:tr>
      <w:tr w:rsidR="001C0E7F" w:rsidRPr="00223505" w14:paraId="5E42173A" w14:textId="77777777" w:rsidTr="00D055C5">
        <w:trPr>
          <w:trHeight w:val="338"/>
          <w:jc w:val="center"/>
        </w:trPr>
        <w:tc>
          <w:tcPr>
            <w:tcW w:w="3566" w:type="dxa"/>
          </w:tcPr>
          <w:p w14:paraId="455DCB2B" w14:textId="77777777" w:rsidR="001C0E7F" w:rsidRPr="00223505" w:rsidRDefault="001C0E7F" w:rsidP="00A11DD3">
            <w:pPr>
              <w:spacing w:before="0" w:after="0"/>
              <w:rPr>
                <w:sz w:val="20"/>
                <w:szCs w:val="20"/>
              </w:rPr>
            </w:pPr>
            <w:r w:rsidRPr="00223505">
              <w:rPr>
                <w:sz w:val="20"/>
                <w:szCs w:val="20"/>
              </w:rPr>
              <w:t>Melbourne Property Valuers Metro</w:t>
            </w:r>
          </w:p>
        </w:tc>
        <w:tc>
          <w:tcPr>
            <w:tcW w:w="1568" w:type="dxa"/>
          </w:tcPr>
          <w:p w14:paraId="3A481926" w14:textId="77777777" w:rsidR="001C0E7F" w:rsidRPr="00223505" w:rsidRDefault="001C0E7F" w:rsidP="00A11DD3">
            <w:pPr>
              <w:spacing w:before="0" w:after="0"/>
              <w:jc w:val="center"/>
              <w:rPr>
                <w:sz w:val="20"/>
                <w:szCs w:val="20"/>
              </w:rPr>
            </w:pPr>
            <w:r w:rsidRPr="00223505">
              <w:rPr>
                <w:sz w:val="20"/>
                <w:szCs w:val="20"/>
              </w:rPr>
              <w:t>-</w:t>
            </w:r>
          </w:p>
        </w:tc>
        <w:tc>
          <w:tcPr>
            <w:tcW w:w="1713" w:type="dxa"/>
          </w:tcPr>
          <w:p w14:paraId="7AF98930" w14:textId="77777777" w:rsidR="001C0E7F" w:rsidRPr="00223505" w:rsidRDefault="001C0E7F" w:rsidP="00A11DD3">
            <w:pPr>
              <w:spacing w:before="0" w:after="0"/>
              <w:jc w:val="center"/>
              <w:rPr>
                <w:sz w:val="20"/>
                <w:szCs w:val="20"/>
              </w:rPr>
            </w:pPr>
            <w:r w:rsidRPr="00223505">
              <w:rPr>
                <w:sz w:val="20"/>
                <w:szCs w:val="20"/>
              </w:rPr>
              <w:t>-</w:t>
            </w:r>
          </w:p>
        </w:tc>
        <w:tc>
          <w:tcPr>
            <w:tcW w:w="1287" w:type="dxa"/>
          </w:tcPr>
          <w:p w14:paraId="5210F417" w14:textId="77777777" w:rsidR="001C0E7F" w:rsidRPr="00223505" w:rsidRDefault="001C0E7F" w:rsidP="00A11DD3">
            <w:pPr>
              <w:spacing w:before="0" w:after="0"/>
              <w:jc w:val="center"/>
              <w:rPr>
                <w:sz w:val="20"/>
                <w:szCs w:val="20"/>
              </w:rPr>
            </w:pPr>
            <w:r w:rsidRPr="00223505">
              <w:rPr>
                <w:sz w:val="20"/>
                <w:szCs w:val="20"/>
              </w:rPr>
              <w:t>-</w:t>
            </w:r>
          </w:p>
        </w:tc>
        <w:tc>
          <w:tcPr>
            <w:tcW w:w="1271" w:type="dxa"/>
          </w:tcPr>
          <w:p w14:paraId="6F7107B8" w14:textId="77777777" w:rsidR="001C0E7F" w:rsidRPr="00223505" w:rsidRDefault="001C0E7F" w:rsidP="00A11DD3">
            <w:pPr>
              <w:spacing w:before="0" w:after="0"/>
              <w:jc w:val="center"/>
              <w:rPr>
                <w:sz w:val="20"/>
                <w:szCs w:val="20"/>
              </w:rPr>
            </w:pPr>
            <w:r w:rsidRPr="00223505">
              <w:rPr>
                <w:sz w:val="20"/>
                <w:szCs w:val="20"/>
              </w:rPr>
              <w:t>-</w:t>
            </w:r>
          </w:p>
        </w:tc>
      </w:tr>
      <w:tr w:rsidR="001C0E7F" w:rsidRPr="00223505" w14:paraId="048D695E" w14:textId="77777777" w:rsidTr="00D055C5">
        <w:trPr>
          <w:trHeight w:val="338"/>
          <w:jc w:val="center"/>
        </w:trPr>
        <w:tc>
          <w:tcPr>
            <w:tcW w:w="3566" w:type="dxa"/>
          </w:tcPr>
          <w:p w14:paraId="2881EFCD" w14:textId="77777777" w:rsidR="001C0E7F" w:rsidRPr="00223505" w:rsidRDefault="001C0E7F" w:rsidP="00A11DD3">
            <w:pPr>
              <w:spacing w:before="0" w:after="0"/>
              <w:rPr>
                <w:sz w:val="20"/>
                <w:szCs w:val="20"/>
              </w:rPr>
            </w:pPr>
            <w:r w:rsidRPr="00223505">
              <w:rPr>
                <w:sz w:val="20"/>
                <w:szCs w:val="20"/>
              </w:rPr>
              <w:t>Brad Prescott Valuations</w:t>
            </w:r>
          </w:p>
        </w:tc>
        <w:tc>
          <w:tcPr>
            <w:tcW w:w="1568" w:type="dxa"/>
          </w:tcPr>
          <w:p w14:paraId="1BD95C3F" w14:textId="77777777" w:rsidR="001C0E7F" w:rsidRPr="00223505" w:rsidRDefault="001C0E7F" w:rsidP="00A11DD3">
            <w:pPr>
              <w:spacing w:before="0" w:after="0"/>
              <w:jc w:val="center"/>
              <w:rPr>
                <w:sz w:val="20"/>
                <w:szCs w:val="20"/>
              </w:rPr>
            </w:pPr>
            <w:r w:rsidRPr="00223505">
              <w:rPr>
                <w:sz w:val="20"/>
                <w:szCs w:val="20"/>
              </w:rPr>
              <w:t>1</w:t>
            </w:r>
          </w:p>
        </w:tc>
        <w:tc>
          <w:tcPr>
            <w:tcW w:w="1713" w:type="dxa"/>
          </w:tcPr>
          <w:p w14:paraId="7CB4AF61" w14:textId="77777777" w:rsidR="001C0E7F" w:rsidRPr="00223505" w:rsidRDefault="001C0E7F" w:rsidP="00A11DD3">
            <w:pPr>
              <w:spacing w:before="0" w:after="0"/>
              <w:jc w:val="center"/>
              <w:rPr>
                <w:sz w:val="20"/>
                <w:szCs w:val="20"/>
              </w:rPr>
            </w:pPr>
            <w:r w:rsidRPr="00223505">
              <w:rPr>
                <w:sz w:val="20"/>
                <w:szCs w:val="20"/>
              </w:rPr>
              <w:t>0</w:t>
            </w:r>
          </w:p>
        </w:tc>
        <w:tc>
          <w:tcPr>
            <w:tcW w:w="1287" w:type="dxa"/>
          </w:tcPr>
          <w:p w14:paraId="3AB91BEB" w14:textId="77777777" w:rsidR="001C0E7F" w:rsidRPr="00223505" w:rsidRDefault="001C0E7F" w:rsidP="00A11DD3">
            <w:pPr>
              <w:spacing w:before="0" w:after="0"/>
              <w:jc w:val="center"/>
              <w:rPr>
                <w:sz w:val="20"/>
                <w:szCs w:val="20"/>
              </w:rPr>
            </w:pPr>
            <w:r w:rsidRPr="00223505">
              <w:rPr>
                <w:sz w:val="20"/>
                <w:szCs w:val="20"/>
              </w:rPr>
              <w:t>100</w:t>
            </w:r>
          </w:p>
        </w:tc>
        <w:tc>
          <w:tcPr>
            <w:tcW w:w="1271" w:type="dxa"/>
          </w:tcPr>
          <w:p w14:paraId="6A70CDA0" w14:textId="77777777" w:rsidR="001C0E7F" w:rsidRPr="00223505" w:rsidRDefault="001C0E7F" w:rsidP="00A11DD3">
            <w:pPr>
              <w:spacing w:before="0" w:after="0"/>
              <w:jc w:val="center"/>
              <w:rPr>
                <w:sz w:val="20"/>
                <w:szCs w:val="20"/>
              </w:rPr>
            </w:pPr>
            <w:r w:rsidRPr="00223505">
              <w:rPr>
                <w:sz w:val="20"/>
                <w:szCs w:val="20"/>
              </w:rPr>
              <w:t>0</w:t>
            </w:r>
          </w:p>
        </w:tc>
      </w:tr>
      <w:tr w:rsidR="001C0E7F" w:rsidRPr="00223505" w14:paraId="7433B6E7" w14:textId="77777777" w:rsidTr="00D055C5">
        <w:trPr>
          <w:trHeight w:val="338"/>
          <w:jc w:val="center"/>
        </w:trPr>
        <w:tc>
          <w:tcPr>
            <w:tcW w:w="3566" w:type="dxa"/>
          </w:tcPr>
          <w:p w14:paraId="400FE063" w14:textId="77777777" w:rsidR="001C0E7F" w:rsidRPr="00223505" w:rsidRDefault="001C0E7F" w:rsidP="00A11DD3">
            <w:pPr>
              <w:spacing w:before="0" w:after="0"/>
              <w:rPr>
                <w:sz w:val="20"/>
                <w:szCs w:val="20"/>
              </w:rPr>
            </w:pPr>
            <w:r w:rsidRPr="00223505">
              <w:rPr>
                <w:sz w:val="20"/>
                <w:szCs w:val="20"/>
              </w:rPr>
              <w:t>Park Valley Valuations</w:t>
            </w:r>
          </w:p>
        </w:tc>
        <w:tc>
          <w:tcPr>
            <w:tcW w:w="1568" w:type="dxa"/>
          </w:tcPr>
          <w:p w14:paraId="3C201A5F" w14:textId="77777777" w:rsidR="001C0E7F" w:rsidRPr="00223505" w:rsidRDefault="001C0E7F" w:rsidP="00A11DD3">
            <w:pPr>
              <w:spacing w:before="0" w:after="0"/>
              <w:jc w:val="center"/>
              <w:rPr>
                <w:sz w:val="20"/>
                <w:szCs w:val="20"/>
              </w:rPr>
            </w:pPr>
            <w:r w:rsidRPr="00223505">
              <w:rPr>
                <w:sz w:val="20"/>
                <w:szCs w:val="20"/>
              </w:rPr>
              <w:t>1</w:t>
            </w:r>
          </w:p>
        </w:tc>
        <w:tc>
          <w:tcPr>
            <w:tcW w:w="1713" w:type="dxa"/>
          </w:tcPr>
          <w:p w14:paraId="36A07146" w14:textId="77777777" w:rsidR="001C0E7F" w:rsidRPr="00223505" w:rsidRDefault="001C0E7F" w:rsidP="00A11DD3">
            <w:pPr>
              <w:spacing w:before="0" w:after="0"/>
              <w:jc w:val="center"/>
              <w:rPr>
                <w:sz w:val="20"/>
                <w:szCs w:val="20"/>
              </w:rPr>
            </w:pPr>
            <w:r w:rsidRPr="00223505">
              <w:rPr>
                <w:sz w:val="20"/>
                <w:szCs w:val="20"/>
              </w:rPr>
              <w:t>0</w:t>
            </w:r>
          </w:p>
        </w:tc>
        <w:tc>
          <w:tcPr>
            <w:tcW w:w="1287" w:type="dxa"/>
          </w:tcPr>
          <w:p w14:paraId="44265E33" w14:textId="77777777" w:rsidR="001C0E7F" w:rsidRPr="00223505" w:rsidRDefault="001C0E7F" w:rsidP="00A11DD3">
            <w:pPr>
              <w:spacing w:before="0" w:after="0"/>
              <w:jc w:val="center"/>
              <w:rPr>
                <w:sz w:val="20"/>
                <w:szCs w:val="20"/>
              </w:rPr>
            </w:pPr>
            <w:r w:rsidRPr="00223505">
              <w:rPr>
                <w:sz w:val="20"/>
                <w:szCs w:val="20"/>
              </w:rPr>
              <w:t>100</w:t>
            </w:r>
          </w:p>
        </w:tc>
        <w:tc>
          <w:tcPr>
            <w:tcW w:w="1271" w:type="dxa"/>
          </w:tcPr>
          <w:p w14:paraId="0EF8A738" w14:textId="77777777" w:rsidR="001C0E7F" w:rsidRPr="00223505" w:rsidRDefault="001C0E7F" w:rsidP="00A11DD3">
            <w:pPr>
              <w:spacing w:before="0" w:after="0"/>
              <w:jc w:val="center"/>
              <w:rPr>
                <w:sz w:val="20"/>
                <w:szCs w:val="20"/>
              </w:rPr>
            </w:pPr>
            <w:r w:rsidRPr="00223505">
              <w:rPr>
                <w:sz w:val="20"/>
                <w:szCs w:val="20"/>
              </w:rPr>
              <w:t>0</w:t>
            </w:r>
          </w:p>
        </w:tc>
      </w:tr>
      <w:tr w:rsidR="001C0E7F" w:rsidRPr="00223505" w14:paraId="3A4F7DC4" w14:textId="77777777" w:rsidTr="00D055C5">
        <w:trPr>
          <w:trHeight w:val="322"/>
          <w:jc w:val="center"/>
        </w:trPr>
        <w:tc>
          <w:tcPr>
            <w:tcW w:w="3566" w:type="dxa"/>
          </w:tcPr>
          <w:p w14:paraId="7EFCB885" w14:textId="77777777" w:rsidR="001C0E7F" w:rsidRPr="00223505" w:rsidRDefault="001C0E7F" w:rsidP="00A11DD3">
            <w:pPr>
              <w:spacing w:before="0" w:after="0"/>
              <w:rPr>
                <w:sz w:val="20"/>
                <w:szCs w:val="20"/>
              </w:rPr>
            </w:pPr>
            <w:r w:rsidRPr="00223505">
              <w:rPr>
                <w:sz w:val="20"/>
                <w:szCs w:val="20"/>
              </w:rPr>
              <w:t>AMC Property Valuations</w:t>
            </w:r>
          </w:p>
        </w:tc>
        <w:tc>
          <w:tcPr>
            <w:tcW w:w="1568" w:type="dxa"/>
          </w:tcPr>
          <w:p w14:paraId="403FC937" w14:textId="77777777" w:rsidR="001C0E7F" w:rsidRPr="00223505" w:rsidRDefault="001C0E7F" w:rsidP="00A11DD3">
            <w:pPr>
              <w:spacing w:before="0" w:after="0"/>
              <w:jc w:val="center"/>
              <w:rPr>
                <w:sz w:val="20"/>
                <w:szCs w:val="20"/>
              </w:rPr>
            </w:pPr>
            <w:r w:rsidRPr="00223505">
              <w:rPr>
                <w:sz w:val="20"/>
                <w:szCs w:val="20"/>
              </w:rPr>
              <w:t>-</w:t>
            </w:r>
          </w:p>
        </w:tc>
        <w:tc>
          <w:tcPr>
            <w:tcW w:w="1713" w:type="dxa"/>
          </w:tcPr>
          <w:p w14:paraId="6A172968" w14:textId="77777777" w:rsidR="001C0E7F" w:rsidRPr="00223505" w:rsidRDefault="001C0E7F" w:rsidP="00A11DD3">
            <w:pPr>
              <w:spacing w:before="0" w:after="0"/>
              <w:jc w:val="center"/>
              <w:rPr>
                <w:sz w:val="20"/>
                <w:szCs w:val="20"/>
              </w:rPr>
            </w:pPr>
            <w:r w:rsidRPr="00223505">
              <w:rPr>
                <w:sz w:val="20"/>
                <w:szCs w:val="20"/>
              </w:rPr>
              <w:t>-</w:t>
            </w:r>
          </w:p>
        </w:tc>
        <w:tc>
          <w:tcPr>
            <w:tcW w:w="1287" w:type="dxa"/>
          </w:tcPr>
          <w:p w14:paraId="159C603D" w14:textId="77777777" w:rsidR="001C0E7F" w:rsidRPr="00223505" w:rsidRDefault="001C0E7F" w:rsidP="00A11DD3">
            <w:pPr>
              <w:spacing w:before="0" w:after="0"/>
              <w:jc w:val="center"/>
              <w:rPr>
                <w:sz w:val="20"/>
                <w:szCs w:val="20"/>
              </w:rPr>
            </w:pPr>
            <w:r w:rsidRPr="00223505">
              <w:rPr>
                <w:sz w:val="20"/>
                <w:szCs w:val="20"/>
              </w:rPr>
              <w:t>-</w:t>
            </w:r>
          </w:p>
        </w:tc>
        <w:tc>
          <w:tcPr>
            <w:tcW w:w="1271" w:type="dxa"/>
          </w:tcPr>
          <w:p w14:paraId="2B24B564" w14:textId="77777777" w:rsidR="001C0E7F" w:rsidRPr="00223505" w:rsidRDefault="001C0E7F" w:rsidP="00A11DD3">
            <w:pPr>
              <w:spacing w:before="0" w:after="0"/>
              <w:jc w:val="center"/>
              <w:rPr>
                <w:sz w:val="20"/>
                <w:szCs w:val="20"/>
              </w:rPr>
            </w:pPr>
            <w:r w:rsidRPr="00223505">
              <w:rPr>
                <w:sz w:val="20"/>
                <w:szCs w:val="20"/>
              </w:rPr>
              <w:t>-</w:t>
            </w:r>
          </w:p>
        </w:tc>
      </w:tr>
      <w:tr w:rsidR="001C0E7F" w:rsidRPr="00223505" w14:paraId="478EB0F9" w14:textId="77777777" w:rsidTr="00D055C5">
        <w:trPr>
          <w:trHeight w:val="338"/>
          <w:jc w:val="center"/>
        </w:trPr>
        <w:tc>
          <w:tcPr>
            <w:tcW w:w="3566" w:type="dxa"/>
          </w:tcPr>
          <w:p w14:paraId="1698AA23" w14:textId="77777777" w:rsidR="001C0E7F" w:rsidRPr="00223505" w:rsidRDefault="001C0E7F" w:rsidP="00A11DD3">
            <w:pPr>
              <w:spacing w:before="0" w:after="0"/>
              <w:rPr>
                <w:b/>
                <w:bCs/>
                <w:sz w:val="20"/>
                <w:szCs w:val="20"/>
              </w:rPr>
            </w:pPr>
            <w:r w:rsidRPr="00223505">
              <w:rPr>
                <w:b/>
                <w:bCs/>
                <w:sz w:val="20"/>
                <w:szCs w:val="20"/>
              </w:rPr>
              <w:t>Total</w:t>
            </w:r>
          </w:p>
        </w:tc>
        <w:tc>
          <w:tcPr>
            <w:tcW w:w="1568" w:type="dxa"/>
          </w:tcPr>
          <w:p w14:paraId="79C3C3B3" w14:textId="77777777" w:rsidR="001C0E7F" w:rsidRPr="00223505" w:rsidRDefault="001C0E7F" w:rsidP="00A11DD3">
            <w:pPr>
              <w:spacing w:before="0" w:after="0"/>
              <w:jc w:val="center"/>
              <w:rPr>
                <w:b/>
                <w:bCs/>
                <w:sz w:val="20"/>
                <w:szCs w:val="20"/>
              </w:rPr>
            </w:pPr>
            <w:r w:rsidRPr="00223505">
              <w:rPr>
                <w:b/>
                <w:bCs/>
                <w:sz w:val="20"/>
                <w:szCs w:val="20"/>
              </w:rPr>
              <w:t>15</w:t>
            </w:r>
          </w:p>
        </w:tc>
        <w:tc>
          <w:tcPr>
            <w:tcW w:w="1713" w:type="dxa"/>
          </w:tcPr>
          <w:p w14:paraId="663792B3" w14:textId="77777777" w:rsidR="001C0E7F" w:rsidRPr="00223505" w:rsidRDefault="001C0E7F" w:rsidP="00A11DD3">
            <w:pPr>
              <w:spacing w:before="0" w:after="0"/>
              <w:jc w:val="center"/>
              <w:rPr>
                <w:b/>
                <w:bCs/>
                <w:sz w:val="20"/>
                <w:szCs w:val="20"/>
              </w:rPr>
            </w:pPr>
            <w:r w:rsidRPr="00223505">
              <w:rPr>
                <w:b/>
                <w:bCs/>
                <w:sz w:val="20"/>
                <w:szCs w:val="20"/>
              </w:rPr>
              <w:t>2</w:t>
            </w:r>
          </w:p>
        </w:tc>
        <w:tc>
          <w:tcPr>
            <w:tcW w:w="1287" w:type="dxa"/>
          </w:tcPr>
          <w:p w14:paraId="7D03D3C9" w14:textId="77777777" w:rsidR="001C0E7F" w:rsidRPr="00223505" w:rsidRDefault="001C0E7F" w:rsidP="00A11DD3">
            <w:pPr>
              <w:spacing w:before="0" w:after="0"/>
              <w:jc w:val="center"/>
              <w:rPr>
                <w:b/>
                <w:bCs/>
                <w:sz w:val="20"/>
                <w:szCs w:val="20"/>
              </w:rPr>
            </w:pPr>
            <w:r w:rsidRPr="00223505">
              <w:rPr>
                <w:b/>
                <w:bCs/>
                <w:sz w:val="20"/>
                <w:szCs w:val="20"/>
              </w:rPr>
              <w:t>88.23</w:t>
            </w:r>
          </w:p>
        </w:tc>
        <w:tc>
          <w:tcPr>
            <w:tcW w:w="1271" w:type="dxa"/>
          </w:tcPr>
          <w:p w14:paraId="16E0C267" w14:textId="77777777" w:rsidR="001C0E7F" w:rsidRPr="00223505" w:rsidRDefault="001C0E7F" w:rsidP="00A11DD3">
            <w:pPr>
              <w:spacing w:before="0" w:after="0"/>
              <w:jc w:val="center"/>
              <w:rPr>
                <w:b/>
                <w:bCs/>
                <w:sz w:val="20"/>
                <w:szCs w:val="20"/>
              </w:rPr>
            </w:pPr>
            <w:r w:rsidRPr="00223505">
              <w:rPr>
                <w:b/>
                <w:bCs/>
                <w:sz w:val="20"/>
                <w:szCs w:val="20"/>
              </w:rPr>
              <w:t>11.77</w:t>
            </w:r>
          </w:p>
        </w:tc>
      </w:tr>
    </w:tbl>
    <w:p w14:paraId="48282C34" w14:textId="3F94B893" w:rsidR="001C0E7F" w:rsidRPr="007C4901" w:rsidRDefault="00474755" w:rsidP="00474755">
      <w:pPr>
        <w:spacing w:before="0" w:after="0"/>
        <w:rPr>
          <w:sz w:val="24"/>
        </w:rPr>
      </w:pPr>
      <w:r w:rsidRPr="00223505">
        <w:rPr>
          <w:szCs w:val="22"/>
        </w:rPr>
        <w:t xml:space="preserve">  </w:t>
      </w:r>
      <w:r w:rsidRPr="007C4901">
        <w:rPr>
          <w:sz w:val="24"/>
        </w:rPr>
        <w:t>(</w:t>
      </w:r>
      <w:r w:rsidR="001C0E7F" w:rsidRPr="007C4901">
        <w:rPr>
          <w:sz w:val="24"/>
        </w:rPr>
        <w:t>Source: Based on data compiled from the studied companies’ websites</w:t>
      </w:r>
      <w:r w:rsidRPr="007C4901">
        <w:rPr>
          <w:sz w:val="24"/>
        </w:rPr>
        <w:t>)</w:t>
      </w:r>
    </w:p>
    <w:p w14:paraId="4834A85F" w14:textId="77777777" w:rsidR="001C0E7F" w:rsidRPr="007C4901" w:rsidRDefault="001C0E7F" w:rsidP="00A11DD3">
      <w:pPr>
        <w:spacing w:before="0" w:after="0"/>
        <w:rPr>
          <w:sz w:val="24"/>
        </w:rPr>
      </w:pPr>
    </w:p>
    <w:p w14:paraId="46B2361A" w14:textId="77777777" w:rsidR="002A0FE0" w:rsidRDefault="002A0FE0" w:rsidP="00023AED">
      <w:pPr>
        <w:spacing w:before="0" w:after="0"/>
        <w:rPr>
          <w:b/>
          <w:bCs/>
          <w:sz w:val="24"/>
        </w:rPr>
      </w:pPr>
    </w:p>
    <w:p w14:paraId="27DC93B1" w14:textId="708C053F" w:rsidR="002C5141" w:rsidRPr="007C4901" w:rsidRDefault="002C5141" w:rsidP="00B03AE3">
      <w:pPr>
        <w:spacing w:before="0" w:after="0"/>
        <w:rPr>
          <w:b/>
          <w:bCs/>
          <w:sz w:val="24"/>
        </w:rPr>
      </w:pPr>
      <w:r w:rsidRPr="007C4901">
        <w:rPr>
          <w:b/>
          <w:bCs/>
          <w:sz w:val="24"/>
        </w:rPr>
        <w:t>CONCLUSION</w:t>
      </w:r>
    </w:p>
    <w:p w14:paraId="7AAE2897" w14:textId="77777777" w:rsidR="00B03AE3" w:rsidRDefault="00B03AE3" w:rsidP="00B03AE3">
      <w:pPr>
        <w:spacing w:before="0" w:after="0"/>
        <w:rPr>
          <w:rFonts w:cs="Arial"/>
          <w:sz w:val="24"/>
        </w:rPr>
      </w:pPr>
    </w:p>
    <w:p w14:paraId="032CC77F" w14:textId="62951B84" w:rsidR="003A1F7A" w:rsidRDefault="00044921" w:rsidP="004077D3">
      <w:pPr>
        <w:spacing w:before="0" w:after="0"/>
        <w:rPr>
          <w:rFonts w:cs="Arial"/>
          <w:sz w:val="24"/>
        </w:rPr>
      </w:pPr>
      <w:r w:rsidRPr="007C4901">
        <w:rPr>
          <w:rFonts w:cs="Arial"/>
          <w:sz w:val="24"/>
        </w:rPr>
        <w:t>Through an analysis of diversity policies and leadership composition on Australian valuation company websites, this paper investigated gender structures within the industry. The results confirmed previous studies that have identified a lack of female representation in the Australian property industry</w:t>
      </w:r>
      <w:r w:rsidR="00211DEE" w:rsidRPr="007C4901">
        <w:rPr>
          <w:rFonts w:cs="Arial"/>
          <w:sz w:val="24"/>
        </w:rPr>
        <w:t xml:space="preserve"> such as Dimovski et al. 2013; Dimovski et al. 2016; Warren and Antoniades 2016; Warren and Antoniades 2016</w:t>
      </w:r>
      <w:r w:rsidRPr="007C4901">
        <w:rPr>
          <w:rFonts w:cs="Arial"/>
          <w:sz w:val="24"/>
        </w:rPr>
        <w:t>. While some firms have implemented gender diverse programs and leadership teams, others have yet to achieve gender parity. Additionally, some organi</w:t>
      </w:r>
      <w:r w:rsidR="00151525" w:rsidRPr="007C4901">
        <w:rPr>
          <w:rFonts w:cs="Arial"/>
          <w:sz w:val="24"/>
        </w:rPr>
        <w:t>s</w:t>
      </w:r>
      <w:r w:rsidRPr="007C4901">
        <w:rPr>
          <w:rFonts w:cs="Arial"/>
          <w:sz w:val="24"/>
        </w:rPr>
        <w:t xml:space="preserve">ations have not initiated specific programs to increase female representation in the property and valuation sector. </w:t>
      </w:r>
      <w:r w:rsidR="001F5B82" w:rsidRPr="007C4901">
        <w:rPr>
          <w:rFonts w:cs="Arial"/>
          <w:sz w:val="24"/>
        </w:rPr>
        <w:t>The website information on diversity</w:t>
      </w:r>
      <w:r w:rsidR="00444B7C" w:rsidRPr="007C4901">
        <w:rPr>
          <w:rFonts w:cs="Arial"/>
          <w:sz w:val="24"/>
        </w:rPr>
        <w:t xml:space="preserve"> and inclusion and </w:t>
      </w:r>
      <w:r w:rsidR="001F5B82" w:rsidRPr="007C4901">
        <w:rPr>
          <w:rFonts w:cs="Arial"/>
          <w:sz w:val="24"/>
        </w:rPr>
        <w:t xml:space="preserve">boards of directors and leadership/executive teams of small valuation companies </w:t>
      </w:r>
      <w:r w:rsidR="00CE3BE5" w:rsidRPr="007C4901">
        <w:rPr>
          <w:rFonts w:cs="Arial"/>
          <w:sz w:val="24"/>
        </w:rPr>
        <w:t xml:space="preserve">illustrate </w:t>
      </w:r>
      <w:r w:rsidR="00444B7C" w:rsidRPr="007C4901">
        <w:rPr>
          <w:rFonts w:cs="Arial"/>
          <w:sz w:val="24"/>
        </w:rPr>
        <w:t xml:space="preserve">significantly lower </w:t>
      </w:r>
      <w:r w:rsidR="00FD02BC" w:rsidRPr="007C4901">
        <w:rPr>
          <w:rFonts w:cs="Arial"/>
          <w:sz w:val="24"/>
        </w:rPr>
        <w:t xml:space="preserve">commitment to </w:t>
      </w:r>
      <w:r w:rsidR="0089461C">
        <w:rPr>
          <w:rFonts w:cs="Arial"/>
          <w:sz w:val="24"/>
        </w:rPr>
        <w:t xml:space="preserve">promote </w:t>
      </w:r>
      <w:r w:rsidR="00CE3BE5" w:rsidRPr="007C4901">
        <w:rPr>
          <w:rFonts w:cs="Arial"/>
          <w:sz w:val="24"/>
        </w:rPr>
        <w:t xml:space="preserve">gender </w:t>
      </w:r>
      <w:r w:rsidR="00FD02BC" w:rsidRPr="007C4901">
        <w:rPr>
          <w:rFonts w:cs="Arial"/>
          <w:sz w:val="24"/>
        </w:rPr>
        <w:t>diversity</w:t>
      </w:r>
      <w:r w:rsidR="00CE3BE5" w:rsidRPr="007C4901">
        <w:rPr>
          <w:rFonts w:cs="Arial"/>
          <w:sz w:val="24"/>
        </w:rPr>
        <w:t xml:space="preserve"> in their organisations </w:t>
      </w:r>
      <w:r w:rsidR="00FD02BC" w:rsidRPr="007C4901">
        <w:rPr>
          <w:rFonts w:cs="Arial"/>
          <w:sz w:val="24"/>
        </w:rPr>
        <w:t xml:space="preserve">compared to large valuation firms. </w:t>
      </w:r>
      <w:r w:rsidRPr="007C4901">
        <w:rPr>
          <w:rFonts w:cs="Arial"/>
          <w:sz w:val="24"/>
        </w:rPr>
        <w:t xml:space="preserve">As Spence (1973) and Ali and Konrad (2017) argue, an </w:t>
      </w:r>
      <w:r w:rsidR="00151525" w:rsidRPr="007C4901">
        <w:rPr>
          <w:rFonts w:cs="Arial"/>
          <w:sz w:val="24"/>
        </w:rPr>
        <w:t xml:space="preserve">organisation's </w:t>
      </w:r>
      <w:r w:rsidRPr="007C4901">
        <w:rPr>
          <w:rFonts w:cs="Arial"/>
          <w:sz w:val="24"/>
        </w:rPr>
        <w:t>diversity initiatives are critical for stakeholders to assess its diversity position. This highlights the importance of valuation companies aligning their websites, policies, programs, and interest groups with their gender diversity and equality position.</w:t>
      </w:r>
      <w:r w:rsidR="003A1F7A" w:rsidRPr="007C4901">
        <w:rPr>
          <w:rFonts w:cs="Arial"/>
          <w:sz w:val="24"/>
        </w:rPr>
        <w:t xml:space="preserve"> </w:t>
      </w:r>
    </w:p>
    <w:p w14:paraId="35B8ABB6" w14:textId="77777777" w:rsidR="004077D3" w:rsidRPr="007C4901" w:rsidRDefault="004077D3" w:rsidP="004077D3">
      <w:pPr>
        <w:spacing w:before="0" w:after="0"/>
        <w:rPr>
          <w:rFonts w:cs="Arial"/>
          <w:sz w:val="24"/>
        </w:rPr>
      </w:pPr>
    </w:p>
    <w:p w14:paraId="3896B62B" w14:textId="2B5451BA" w:rsidR="002C5141" w:rsidRPr="007C4901" w:rsidRDefault="00044921" w:rsidP="004077D3">
      <w:pPr>
        <w:spacing w:before="0" w:after="0"/>
        <w:rPr>
          <w:rFonts w:cs="Arial"/>
          <w:sz w:val="24"/>
        </w:rPr>
      </w:pPr>
      <w:r w:rsidRPr="007C4901">
        <w:rPr>
          <w:rFonts w:cs="Arial"/>
          <w:sz w:val="24"/>
        </w:rPr>
        <w:t xml:space="preserve">The results of the analysis reveal that leadership teams and boards of valuation companies are predominantly male. This confirms the notion that despite the increased </w:t>
      </w:r>
      <w:r w:rsidR="00C157A9" w:rsidRPr="007C4901">
        <w:rPr>
          <w:rFonts w:cs="Arial"/>
          <w:sz w:val="24"/>
        </w:rPr>
        <w:t>enrolment</w:t>
      </w:r>
      <w:r w:rsidRPr="007C4901">
        <w:rPr>
          <w:rFonts w:cs="Arial"/>
          <w:sz w:val="24"/>
        </w:rPr>
        <w:t xml:space="preserve"> of females in university property programs, the valuation industry continues to be </w:t>
      </w:r>
      <w:proofErr w:type="gramStart"/>
      <w:r w:rsidRPr="007C4901">
        <w:rPr>
          <w:rFonts w:cs="Arial"/>
          <w:sz w:val="24"/>
        </w:rPr>
        <w:t>male-dominated</w:t>
      </w:r>
      <w:proofErr w:type="gramEnd"/>
      <w:r w:rsidRPr="007C4901">
        <w:rPr>
          <w:rFonts w:cs="Arial"/>
          <w:sz w:val="24"/>
        </w:rPr>
        <w:t xml:space="preserve">. It is important to note that the actions and inactions of valuation companies have significant impacts on their ability to attract and retain female talent. The lack of explicit statements </w:t>
      </w:r>
      <w:r w:rsidR="00BE4610">
        <w:rPr>
          <w:rFonts w:cs="Arial"/>
          <w:sz w:val="24"/>
        </w:rPr>
        <w:t xml:space="preserve">on their company websites </w:t>
      </w:r>
      <w:r w:rsidRPr="007C4901">
        <w:rPr>
          <w:rFonts w:cs="Arial"/>
          <w:sz w:val="24"/>
        </w:rPr>
        <w:t xml:space="preserve">acknowledging diversity in hiring practices, positions, programs, and company values suggests that the valuation profession is not </w:t>
      </w:r>
      <w:r w:rsidR="00B01FBB" w:rsidRPr="007C4901">
        <w:rPr>
          <w:rFonts w:cs="Arial"/>
          <w:sz w:val="24"/>
        </w:rPr>
        <w:t xml:space="preserve">visibly </w:t>
      </w:r>
      <w:r w:rsidRPr="007C4901">
        <w:rPr>
          <w:rFonts w:cs="Arial"/>
          <w:sz w:val="24"/>
        </w:rPr>
        <w:t xml:space="preserve">welcoming to female talent. Therefore, it is recommended that </w:t>
      </w:r>
      <w:r w:rsidRPr="007C4901">
        <w:rPr>
          <w:rFonts w:cs="Arial"/>
          <w:sz w:val="24"/>
        </w:rPr>
        <w:lastRenderedPageBreak/>
        <w:t xml:space="preserve">valuation companies re-evaluate their programs, websites, and other </w:t>
      </w:r>
      <w:r w:rsidR="00391944">
        <w:rPr>
          <w:rFonts w:cs="Arial"/>
          <w:sz w:val="24"/>
        </w:rPr>
        <w:t xml:space="preserve">publicly available </w:t>
      </w:r>
      <w:r w:rsidRPr="007C4901">
        <w:rPr>
          <w:rFonts w:cs="Arial"/>
          <w:sz w:val="24"/>
        </w:rPr>
        <w:t>materials to demonstrate their commitment to improving gender diversity.</w:t>
      </w:r>
    </w:p>
    <w:p w14:paraId="1A5F144F" w14:textId="77777777" w:rsidR="003A1F7A" w:rsidRPr="007C4901" w:rsidRDefault="003A1F7A" w:rsidP="00ED1D42">
      <w:pPr>
        <w:rPr>
          <w:sz w:val="24"/>
        </w:rPr>
      </w:pPr>
    </w:p>
    <w:p w14:paraId="487A621F" w14:textId="63DAF0A5" w:rsidR="002C5141" w:rsidRPr="007C4901" w:rsidRDefault="002C5141" w:rsidP="00B03AE3">
      <w:pPr>
        <w:spacing w:before="0" w:after="0"/>
        <w:rPr>
          <w:b/>
          <w:bCs/>
          <w:sz w:val="24"/>
        </w:rPr>
      </w:pPr>
      <w:r w:rsidRPr="007C4901">
        <w:rPr>
          <w:b/>
          <w:bCs/>
          <w:sz w:val="24"/>
        </w:rPr>
        <w:t xml:space="preserve">REFERENCES </w:t>
      </w:r>
    </w:p>
    <w:p w14:paraId="14F399C3" w14:textId="77777777" w:rsidR="00B03AE3" w:rsidRDefault="00B03AE3" w:rsidP="00B03AE3">
      <w:pPr>
        <w:spacing w:before="0" w:after="0"/>
        <w:rPr>
          <w:sz w:val="24"/>
        </w:rPr>
      </w:pPr>
    </w:p>
    <w:p w14:paraId="6B608647" w14:textId="2C8211DA" w:rsidR="00061B2C" w:rsidRPr="007C4901" w:rsidRDefault="00061B2C" w:rsidP="00B03AE3">
      <w:pPr>
        <w:spacing w:before="0" w:after="0"/>
        <w:rPr>
          <w:sz w:val="24"/>
        </w:rPr>
      </w:pPr>
      <w:r w:rsidRPr="007C4901">
        <w:rPr>
          <w:sz w:val="24"/>
        </w:rPr>
        <w:t>Ali, M &amp; Konrad, AM 2017, 'Antecedents and consequences of diversity and equality management systems: The importance of gender diversity in the TMT and lower to middle management', European Management Journal, vol. 35, no. 4, pp. 440-453.</w:t>
      </w:r>
    </w:p>
    <w:p w14:paraId="2E5659B0" w14:textId="540BFFC8" w:rsidR="00E9623E" w:rsidRPr="007C4901" w:rsidRDefault="00E9623E" w:rsidP="00ED1D42">
      <w:pPr>
        <w:rPr>
          <w:sz w:val="24"/>
        </w:rPr>
      </w:pPr>
      <w:r w:rsidRPr="007C4901">
        <w:rPr>
          <w:sz w:val="24"/>
        </w:rPr>
        <w:t>Antoniades, H &amp; Warren, CM 2018, 'The portrayal of Australian women in property publications', Property Management, vol. 36 no. 1, pp. 119-129.</w:t>
      </w:r>
    </w:p>
    <w:p w14:paraId="132AD1CE" w14:textId="3F43FD39" w:rsidR="00A432AB" w:rsidRPr="007C4901" w:rsidRDefault="00A432AB" w:rsidP="00ED1D42">
      <w:pPr>
        <w:rPr>
          <w:sz w:val="24"/>
        </w:rPr>
      </w:pPr>
      <w:r w:rsidRPr="007C4901">
        <w:rPr>
          <w:sz w:val="24"/>
        </w:rPr>
        <w:t>Appraisal Institute 2019, U.S. Valuation profession factsheet Q1 2019.</w:t>
      </w:r>
    </w:p>
    <w:p w14:paraId="15C4A534" w14:textId="77777777" w:rsidR="008A503A" w:rsidRPr="007C4901" w:rsidRDefault="008A503A" w:rsidP="00ED1D42">
      <w:pPr>
        <w:rPr>
          <w:sz w:val="24"/>
        </w:rPr>
      </w:pPr>
      <w:r w:rsidRPr="007C4901">
        <w:rPr>
          <w:sz w:val="24"/>
        </w:rPr>
        <w:t xml:space="preserve">Australian Property Institute 2022, Membership snapshot in </w:t>
      </w:r>
      <w:proofErr w:type="gramStart"/>
      <w:r w:rsidRPr="007C4901">
        <w:rPr>
          <w:sz w:val="24"/>
        </w:rPr>
        <w:t>In</w:t>
      </w:r>
      <w:proofErr w:type="gramEnd"/>
      <w:r w:rsidRPr="007C4901">
        <w:rPr>
          <w:sz w:val="24"/>
        </w:rPr>
        <w:t xml:space="preserve"> relation to gender diversity – statistics as at 1 January 2022, Australian Property Institute.</w:t>
      </w:r>
    </w:p>
    <w:p w14:paraId="586988B5" w14:textId="362A7483" w:rsidR="00C87C74" w:rsidRPr="007C4901" w:rsidRDefault="00C87C74" w:rsidP="00ED1D42">
      <w:pPr>
        <w:rPr>
          <w:sz w:val="24"/>
        </w:rPr>
      </w:pPr>
      <w:r w:rsidRPr="007C4901">
        <w:rPr>
          <w:sz w:val="24"/>
        </w:rPr>
        <w:t>Ayodele, TO, Oladokun, TT &amp; Oladokun, SO 2017, 'Factors influencing real estate students’ academic performance in an emerging economy: Gender and socioeconomic perspectives', Property Management, vol. 35, no. 5, pp. 472-489.</w:t>
      </w:r>
    </w:p>
    <w:p w14:paraId="1A56FCE0" w14:textId="5AF086A0" w:rsidR="00620213" w:rsidRPr="007C4901" w:rsidRDefault="00620213" w:rsidP="00ED1D42">
      <w:pPr>
        <w:rPr>
          <w:sz w:val="24"/>
        </w:rPr>
      </w:pPr>
      <w:r w:rsidRPr="007C4901">
        <w:rPr>
          <w:sz w:val="24"/>
        </w:rPr>
        <w:t>Chief Executive Women 2020, CEW ASX200 Senior Executive Census 2020, Chief Executive Women.</w:t>
      </w:r>
    </w:p>
    <w:p w14:paraId="355C3114" w14:textId="733A302C" w:rsidR="003E75EC" w:rsidRPr="007C4901" w:rsidRDefault="003E75EC" w:rsidP="00ED1D42">
      <w:pPr>
        <w:rPr>
          <w:sz w:val="24"/>
        </w:rPr>
      </w:pPr>
      <w:r w:rsidRPr="007C4901">
        <w:rPr>
          <w:sz w:val="24"/>
        </w:rPr>
        <w:t>Clack, A &amp; Gabler, J 2019, Managing Diversity and Inclusion in the Real Estate Sector, Routledge.</w:t>
      </w:r>
    </w:p>
    <w:p w14:paraId="5CE9CD7F" w14:textId="087D6BB2" w:rsidR="00FD06B0" w:rsidRPr="007C4901" w:rsidRDefault="00FD06B0" w:rsidP="00ED1D42">
      <w:pPr>
        <w:rPr>
          <w:sz w:val="24"/>
        </w:rPr>
      </w:pPr>
      <w:r w:rsidRPr="007C4901">
        <w:rPr>
          <w:sz w:val="24"/>
        </w:rPr>
        <w:t>Creswell, J</w:t>
      </w:r>
      <w:r w:rsidR="006E1544">
        <w:rPr>
          <w:sz w:val="24"/>
        </w:rPr>
        <w:t xml:space="preserve"> </w:t>
      </w:r>
      <w:r w:rsidRPr="007C4901">
        <w:rPr>
          <w:sz w:val="24"/>
        </w:rPr>
        <w:t>2003</w:t>
      </w:r>
      <w:r w:rsidR="002E7C9D">
        <w:rPr>
          <w:sz w:val="24"/>
        </w:rPr>
        <w:t xml:space="preserve">, </w:t>
      </w:r>
      <w:r w:rsidR="001E6916">
        <w:rPr>
          <w:sz w:val="24"/>
        </w:rPr>
        <w:t>‘</w:t>
      </w:r>
      <w:r w:rsidRPr="007C4901">
        <w:rPr>
          <w:sz w:val="24"/>
        </w:rPr>
        <w:t xml:space="preserve">Research design: Qualitative, </w:t>
      </w:r>
      <w:proofErr w:type="gramStart"/>
      <w:r w:rsidRPr="007C4901">
        <w:rPr>
          <w:sz w:val="24"/>
        </w:rPr>
        <w:t>quantitative</w:t>
      </w:r>
      <w:proofErr w:type="gramEnd"/>
      <w:r w:rsidRPr="007C4901">
        <w:rPr>
          <w:sz w:val="24"/>
        </w:rPr>
        <w:t xml:space="preserve"> and mixed methods approaches</w:t>
      </w:r>
      <w:r w:rsidR="001E6916">
        <w:rPr>
          <w:sz w:val="24"/>
        </w:rPr>
        <w:t>’</w:t>
      </w:r>
      <w:r w:rsidRPr="007C4901">
        <w:rPr>
          <w:sz w:val="24"/>
        </w:rPr>
        <w:t xml:space="preserve"> (2nd ed.). Thousand Oaks, CA: Sage Publications.</w:t>
      </w:r>
    </w:p>
    <w:p w14:paraId="67C77C00" w14:textId="2B3CF759" w:rsidR="003B3250" w:rsidRPr="007C4901" w:rsidRDefault="009C3DDC" w:rsidP="00ED1D42">
      <w:pPr>
        <w:rPr>
          <w:sz w:val="24"/>
        </w:rPr>
      </w:pPr>
      <w:r w:rsidRPr="007C4901">
        <w:rPr>
          <w:sz w:val="24"/>
        </w:rPr>
        <w:t>Dimovski, B, Lombardi, L, Ratcliffe, C &amp; Cooper, BJ 2016, 'Australian real estate management and development companies and women directors', Property Management, vol. 34 no. 1, pp. 18-28.</w:t>
      </w:r>
    </w:p>
    <w:p w14:paraId="6C52F751" w14:textId="77777777" w:rsidR="00275A0C" w:rsidRPr="007C4901" w:rsidRDefault="00275A0C" w:rsidP="00ED1D42">
      <w:pPr>
        <w:rPr>
          <w:sz w:val="24"/>
        </w:rPr>
      </w:pPr>
      <w:r w:rsidRPr="007C4901">
        <w:rPr>
          <w:sz w:val="24"/>
        </w:rPr>
        <w:t>Dimovski, W, Lombardi, L &amp; Cooper, B 2013, 'Women directors on boards of Australian real estate investment trusts', Journal of Property Investment &amp; Finance, vol. 31, no. 2, pp. 196-207.</w:t>
      </w:r>
    </w:p>
    <w:p w14:paraId="1B8016B5" w14:textId="57AB93D3" w:rsidR="005406D1" w:rsidRPr="007C4901" w:rsidRDefault="005406D1" w:rsidP="00ED1D42">
      <w:pPr>
        <w:rPr>
          <w:sz w:val="24"/>
        </w:rPr>
      </w:pPr>
      <w:r w:rsidRPr="007C4901">
        <w:rPr>
          <w:sz w:val="24"/>
        </w:rPr>
        <w:t>Enriquez – Ramones, M, Van Dartel, C, Schlösser, C, Nauta, F-J &amp; Donkers, W 2020, Diversity &amp; Inclusion in the Real Estate Industry.</w:t>
      </w:r>
    </w:p>
    <w:p w14:paraId="14823E09" w14:textId="295E2361" w:rsidR="001233AD" w:rsidRDefault="001233AD" w:rsidP="00ED1D42">
      <w:pPr>
        <w:rPr>
          <w:sz w:val="24"/>
        </w:rPr>
      </w:pPr>
      <w:r w:rsidRPr="007C4901">
        <w:rPr>
          <w:sz w:val="24"/>
        </w:rPr>
        <w:t xml:space="preserve">Ernst &amp; Young &amp; Property Council of Australia 2018, Grow the talent pool: Insights on gender representation, diversity and inclusion in the property industry, Ernst &amp; Young </w:t>
      </w:r>
      <w:proofErr w:type="gramStart"/>
      <w:r w:rsidRPr="007C4901">
        <w:rPr>
          <w:sz w:val="24"/>
        </w:rPr>
        <w:t>Australia</w:t>
      </w:r>
      <w:proofErr w:type="gramEnd"/>
      <w:r w:rsidRPr="007C4901">
        <w:rPr>
          <w:sz w:val="24"/>
        </w:rPr>
        <w:t xml:space="preserve"> and Property Council of Australia.</w:t>
      </w:r>
    </w:p>
    <w:p w14:paraId="1A5644EB" w14:textId="77777777" w:rsidR="00727478" w:rsidRDefault="00727478" w:rsidP="00ED1D42">
      <w:pPr>
        <w:rPr>
          <w:sz w:val="24"/>
        </w:rPr>
      </w:pPr>
      <w:r w:rsidRPr="00727478">
        <w:rPr>
          <w:sz w:val="24"/>
        </w:rPr>
        <w:t>Ernst &amp; Young &amp; Property Council of Australia 2016, Grow the talent pool. Insights on gender representation in property.</w:t>
      </w:r>
    </w:p>
    <w:p w14:paraId="597D8CFD" w14:textId="4621D0DB" w:rsidR="006230DE" w:rsidRPr="007C4901" w:rsidRDefault="006230DE" w:rsidP="00ED1D42">
      <w:pPr>
        <w:rPr>
          <w:sz w:val="24"/>
        </w:rPr>
      </w:pPr>
      <w:r w:rsidRPr="007C4901">
        <w:rPr>
          <w:sz w:val="24"/>
        </w:rPr>
        <w:t>Ernst &amp; Young 2016, Building inclusivity: Laying the foundations for the future, 1 More London Place, London, SE1 2AF.</w:t>
      </w:r>
    </w:p>
    <w:p w14:paraId="3AD07CB2" w14:textId="6E477B11" w:rsidR="00FC2144" w:rsidRDefault="004536C4" w:rsidP="00ED1D42">
      <w:pPr>
        <w:rPr>
          <w:sz w:val="24"/>
        </w:rPr>
      </w:pPr>
      <w:r>
        <w:rPr>
          <w:sz w:val="24"/>
        </w:rPr>
        <w:t xml:space="preserve">Halvitigala, D., Callanan, J. and Leshinsky, </w:t>
      </w:r>
      <w:r w:rsidR="0022336C">
        <w:rPr>
          <w:sz w:val="24"/>
        </w:rPr>
        <w:t>R 2023</w:t>
      </w:r>
      <w:r w:rsidR="00873D04">
        <w:rPr>
          <w:sz w:val="24"/>
        </w:rPr>
        <w:t>,</w:t>
      </w:r>
      <w:r w:rsidR="00D93939">
        <w:rPr>
          <w:sz w:val="24"/>
        </w:rPr>
        <w:t xml:space="preserve"> ‘</w:t>
      </w:r>
      <w:r w:rsidR="00D93939" w:rsidRPr="00D93939">
        <w:rPr>
          <w:sz w:val="24"/>
        </w:rPr>
        <w:t>Towards more inclusive equality and diversity in the Australian valuation industry</w:t>
      </w:r>
      <w:r w:rsidR="00B733DD">
        <w:rPr>
          <w:sz w:val="24"/>
        </w:rPr>
        <w:t>’</w:t>
      </w:r>
      <w:r w:rsidR="00873D04">
        <w:rPr>
          <w:sz w:val="24"/>
        </w:rPr>
        <w:t xml:space="preserve"> viewed 17/09/2023,</w:t>
      </w:r>
      <w:r w:rsidR="00B733DD">
        <w:rPr>
          <w:sz w:val="24"/>
        </w:rPr>
        <w:t xml:space="preserve"> </w:t>
      </w:r>
      <w:hyperlink r:id="rId12" w:history="1">
        <w:r w:rsidR="00873D04" w:rsidRPr="00CD471E">
          <w:rPr>
            <w:rStyle w:val="Hyperlink"/>
            <w:sz w:val="24"/>
          </w:rPr>
          <w:t>https://propj.com.au/careers-and-industry/towards-more-inclusive-equality-and-diversity-in-the-australian-valuation-industry/</w:t>
        </w:r>
      </w:hyperlink>
      <w:r w:rsidR="00873D04">
        <w:rPr>
          <w:sz w:val="24"/>
        </w:rPr>
        <w:t xml:space="preserve"> </w:t>
      </w:r>
    </w:p>
    <w:p w14:paraId="2B9DB5FF" w14:textId="773EAF1A" w:rsidR="0016443A" w:rsidRPr="007C4901" w:rsidRDefault="0016443A" w:rsidP="00ED1D42">
      <w:pPr>
        <w:rPr>
          <w:sz w:val="24"/>
        </w:rPr>
      </w:pPr>
      <w:r w:rsidRPr="007C4901">
        <w:rPr>
          <w:sz w:val="24"/>
        </w:rPr>
        <w:t xml:space="preserve">Levy, D, </w:t>
      </w:r>
      <w:proofErr w:type="spellStart"/>
      <w:r w:rsidRPr="007C4901">
        <w:rPr>
          <w:sz w:val="24"/>
        </w:rPr>
        <w:t>Plester</w:t>
      </w:r>
      <w:proofErr w:type="spellEnd"/>
      <w:r w:rsidRPr="007C4901">
        <w:rPr>
          <w:sz w:val="24"/>
        </w:rPr>
        <w:t>, B, Hills, R &amp; Horan, J 2021, '‘It’s a man’s world’: the lived experiences of women working in the New Zealand professional commercial property industry', Journal of Property Research, vol., pp. 1-22.</w:t>
      </w:r>
    </w:p>
    <w:p w14:paraId="170D4913" w14:textId="50EDBEDB" w:rsidR="00AA441C" w:rsidRPr="007C4901" w:rsidRDefault="00AA441C" w:rsidP="00ED1D42">
      <w:pPr>
        <w:rPr>
          <w:sz w:val="24"/>
        </w:rPr>
      </w:pPr>
      <w:r w:rsidRPr="007C4901">
        <w:rPr>
          <w:sz w:val="24"/>
        </w:rPr>
        <w:t xml:space="preserve">London Property Alliance 2021, </w:t>
      </w:r>
      <w:r w:rsidR="000A2968">
        <w:rPr>
          <w:sz w:val="24"/>
        </w:rPr>
        <w:t>‘</w:t>
      </w:r>
      <w:r w:rsidRPr="007C4901">
        <w:rPr>
          <w:sz w:val="24"/>
        </w:rPr>
        <w:t>Diversifying Real Estate: Gender Guidebook</w:t>
      </w:r>
      <w:r w:rsidR="000A2968">
        <w:rPr>
          <w:sz w:val="24"/>
        </w:rPr>
        <w:t>’</w:t>
      </w:r>
      <w:r w:rsidRPr="007C4901">
        <w:rPr>
          <w:sz w:val="24"/>
        </w:rPr>
        <w:t xml:space="preserve"> commissioned by CPA &amp; WPA NextGen, London Property Alliance.</w:t>
      </w:r>
    </w:p>
    <w:p w14:paraId="6EE482DD" w14:textId="77777777" w:rsidR="00F60E70" w:rsidRPr="007C4901" w:rsidRDefault="00F60E70" w:rsidP="00ED1D42">
      <w:pPr>
        <w:rPr>
          <w:sz w:val="24"/>
        </w:rPr>
      </w:pPr>
      <w:r w:rsidRPr="007C4901">
        <w:rPr>
          <w:sz w:val="24"/>
        </w:rPr>
        <w:lastRenderedPageBreak/>
        <w:t>Oladapo, R 2017, 'Gender bias in the selection of estate surveyors and valuers in Lagos Property Market', FUTY Journal of the Environment, vol. 11, no. 1, pp. 101-111.</w:t>
      </w:r>
    </w:p>
    <w:p w14:paraId="5B875642" w14:textId="6E312850" w:rsidR="00430EA6" w:rsidRPr="007C4901" w:rsidRDefault="00430EA6" w:rsidP="00ED1D42">
      <w:pPr>
        <w:rPr>
          <w:sz w:val="24"/>
        </w:rPr>
      </w:pPr>
      <w:r w:rsidRPr="007C4901">
        <w:rPr>
          <w:sz w:val="24"/>
        </w:rPr>
        <w:t>Pauli, KMS 2013, '“All of my bosses have been men”–on gender structures in the real-estate industry', Property Management, vol. 31, no. 5, pp. 420-434.</w:t>
      </w:r>
    </w:p>
    <w:p w14:paraId="68FADAAA" w14:textId="4202726C" w:rsidR="00F005AE" w:rsidRPr="007C4901" w:rsidRDefault="00F005AE" w:rsidP="00ED1D42">
      <w:pPr>
        <w:rPr>
          <w:sz w:val="24"/>
        </w:rPr>
      </w:pPr>
      <w:r w:rsidRPr="007C4901">
        <w:rPr>
          <w:sz w:val="24"/>
        </w:rPr>
        <w:t xml:space="preserve">Richardson, B 2021, </w:t>
      </w:r>
      <w:r w:rsidR="00D203CA">
        <w:rPr>
          <w:sz w:val="24"/>
        </w:rPr>
        <w:t>‘</w:t>
      </w:r>
      <w:r w:rsidRPr="007C4901">
        <w:rPr>
          <w:sz w:val="24"/>
        </w:rPr>
        <w:t>Appraisal Industry Seeks To Improve Diversity And Inclusion In The Profession</w:t>
      </w:r>
      <w:r w:rsidR="00D203CA">
        <w:rPr>
          <w:sz w:val="24"/>
        </w:rPr>
        <w:t>’</w:t>
      </w:r>
      <w:r w:rsidRPr="007C4901">
        <w:rPr>
          <w:sz w:val="24"/>
        </w:rPr>
        <w:t xml:space="preserve">, </w:t>
      </w:r>
      <w:r w:rsidR="00152DE5">
        <w:rPr>
          <w:sz w:val="24"/>
        </w:rPr>
        <w:t>viewed 17/0</w:t>
      </w:r>
      <w:r w:rsidR="00BA0118">
        <w:rPr>
          <w:sz w:val="24"/>
        </w:rPr>
        <w:t xml:space="preserve">9/2023, </w:t>
      </w:r>
      <w:hyperlink r:id="rId13" w:history="1">
        <w:r w:rsidR="00BA0118" w:rsidRPr="004472A3">
          <w:rPr>
            <w:rStyle w:val="Hyperlink"/>
            <w:sz w:val="24"/>
          </w:rPr>
          <w:t>https://www.forbes.com/sites/brendarichardson/2021/04/26/appraisal-industry-seeks-to-improve-diversity-and-inclusion-in-the-profession/?sh=2b66b5505e9e</w:t>
        </w:r>
      </w:hyperlink>
      <w:r w:rsidRPr="007C4901">
        <w:rPr>
          <w:sz w:val="24"/>
        </w:rPr>
        <w:t xml:space="preserve"> </w:t>
      </w:r>
    </w:p>
    <w:p w14:paraId="3AF9C000" w14:textId="5791120E" w:rsidR="00152DE5" w:rsidRDefault="00152DE5" w:rsidP="00ED1D42">
      <w:pPr>
        <w:rPr>
          <w:sz w:val="24"/>
        </w:rPr>
      </w:pPr>
      <w:r w:rsidRPr="00152DE5">
        <w:rPr>
          <w:sz w:val="24"/>
        </w:rPr>
        <w:t xml:space="preserve">Royal Institution of Chartered Surveyors 2022, </w:t>
      </w:r>
      <w:r w:rsidR="00D203CA">
        <w:rPr>
          <w:sz w:val="24"/>
        </w:rPr>
        <w:t>‘</w:t>
      </w:r>
      <w:r w:rsidRPr="00152DE5">
        <w:rPr>
          <w:sz w:val="24"/>
        </w:rPr>
        <w:t>Diversity equity and inclusion</w:t>
      </w:r>
      <w:r w:rsidR="00D203CA">
        <w:rPr>
          <w:sz w:val="24"/>
        </w:rPr>
        <w:t>’</w:t>
      </w:r>
      <w:r w:rsidRPr="00152DE5">
        <w:rPr>
          <w:sz w:val="24"/>
        </w:rPr>
        <w:t>, viewed 1</w:t>
      </w:r>
      <w:r>
        <w:rPr>
          <w:sz w:val="24"/>
        </w:rPr>
        <w:t>7</w:t>
      </w:r>
      <w:r w:rsidRPr="00152DE5">
        <w:rPr>
          <w:sz w:val="24"/>
        </w:rPr>
        <w:t>/0</w:t>
      </w:r>
      <w:r>
        <w:rPr>
          <w:sz w:val="24"/>
        </w:rPr>
        <w:t>9</w:t>
      </w:r>
      <w:r w:rsidRPr="00152DE5">
        <w:rPr>
          <w:sz w:val="24"/>
        </w:rPr>
        <w:t>/202</w:t>
      </w:r>
      <w:r>
        <w:rPr>
          <w:sz w:val="24"/>
        </w:rPr>
        <w:t>3</w:t>
      </w:r>
      <w:r w:rsidRPr="00152DE5">
        <w:rPr>
          <w:sz w:val="24"/>
        </w:rPr>
        <w:t xml:space="preserve">, </w:t>
      </w:r>
      <w:hyperlink r:id="rId14" w:history="1">
        <w:r w:rsidRPr="004472A3">
          <w:rPr>
            <w:rStyle w:val="Hyperlink"/>
            <w:sz w:val="24"/>
          </w:rPr>
          <w:t>https://www.rics.org/oceania/about-rics/responsible-business/diversity-and-inclusion/</w:t>
        </w:r>
      </w:hyperlink>
      <w:r w:rsidRPr="00152DE5">
        <w:rPr>
          <w:sz w:val="24"/>
        </w:rPr>
        <w:t>.</w:t>
      </w:r>
    </w:p>
    <w:p w14:paraId="58EAE20F" w14:textId="24260DAC" w:rsidR="00F837D5" w:rsidRPr="007C4901" w:rsidRDefault="00F837D5" w:rsidP="00ED1D42">
      <w:pPr>
        <w:rPr>
          <w:sz w:val="24"/>
        </w:rPr>
      </w:pPr>
      <w:r w:rsidRPr="007C4901">
        <w:rPr>
          <w:sz w:val="24"/>
        </w:rPr>
        <w:t>Silverman, D</w:t>
      </w:r>
      <w:r w:rsidR="00D203CA">
        <w:rPr>
          <w:sz w:val="24"/>
        </w:rPr>
        <w:t xml:space="preserve"> </w:t>
      </w:r>
      <w:r w:rsidRPr="007C4901">
        <w:rPr>
          <w:sz w:val="24"/>
        </w:rPr>
        <w:t>2013</w:t>
      </w:r>
      <w:r w:rsidR="00D203CA">
        <w:rPr>
          <w:sz w:val="24"/>
        </w:rPr>
        <w:t>, ‘</w:t>
      </w:r>
      <w:proofErr w:type="spellStart"/>
      <w:r w:rsidRPr="007C4901">
        <w:rPr>
          <w:sz w:val="24"/>
        </w:rPr>
        <w:t>Analyzing</w:t>
      </w:r>
      <w:proofErr w:type="spellEnd"/>
      <w:r w:rsidRPr="007C4901">
        <w:rPr>
          <w:sz w:val="24"/>
        </w:rPr>
        <w:t xml:space="preserve"> talk and text</w:t>
      </w:r>
      <w:r w:rsidR="00D203CA">
        <w:rPr>
          <w:sz w:val="24"/>
        </w:rPr>
        <w:t>’</w:t>
      </w:r>
      <w:r w:rsidRPr="007C4901">
        <w:rPr>
          <w:sz w:val="24"/>
        </w:rPr>
        <w:t>. In N. K. Denzin, Lincoln, Yvonna S. (Ed.), In Collecting and Interpreting Qualitative Materials (pp. 340-362). Thousand Oaks, CA: Sage Publications.</w:t>
      </w:r>
    </w:p>
    <w:p w14:paraId="1308D07B" w14:textId="070EAC0B" w:rsidR="00F41569" w:rsidRPr="007C4901" w:rsidRDefault="00F41569" w:rsidP="00ED1D42">
      <w:pPr>
        <w:rPr>
          <w:sz w:val="24"/>
        </w:rPr>
      </w:pPr>
      <w:r w:rsidRPr="007C4901">
        <w:rPr>
          <w:sz w:val="24"/>
        </w:rPr>
        <w:t>Spence, M 1973, 'Job Market Signalling ', Quarterly Journal of Economics, vol. 87, pp. 355-374.</w:t>
      </w:r>
    </w:p>
    <w:p w14:paraId="6CF4F8F7" w14:textId="33643DF2" w:rsidR="00957C9E" w:rsidRPr="007C4901" w:rsidRDefault="00957C9E" w:rsidP="00ED1D42">
      <w:pPr>
        <w:rPr>
          <w:sz w:val="24"/>
        </w:rPr>
      </w:pPr>
      <w:r w:rsidRPr="007C4901">
        <w:rPr>
          <w:sz w:val="24"/>
        </w:rPr>
        <w:t xml:space="preserve">The Appraisal Foundation 2020, 'The Appraisal Foundation Announces Initiatives to Grow Diversity and Combat Bias in the Appraisal Profession', PR Newswire, vol., viewed </w:t>
      </w:r>
      <w:r w:rsidR="00BA0118">
        <w:rPr>
          <w:sz w:val="24"/>
        </w:rPr>
        <w:t>17</w:t>
      </w:r>
      <w:r w:rsidRPr="007C4901">
        <w:rPr>
          <w:sz w:val="24"/>
        </w:rPr>
        <w:t>/0</w:t>
      </w:r>
      <w:r w:rsidR="00BA0118">
        <w:rPr>
          <w:sz w:val="24"/>
        </w:rPr>
        <w:t>9</w:t>
      </w:r>
      <w:r w:rsidRPr="007C4901">
        <w:rPr>
          <w:sz w:val="24"/>
        </w:rPr>
        <w:t>/202</w:t>
      </w:r>
      <w:r w:rsidR="00BA0118">
        <w:rPr>
          <w:sz w:val="24"/>
        </w:rPr>
        <w:t>3</w:t>
      </w:r>
      <w:r w:rsidRPr="007C4901">
        <w:rPr>
          <w:sz w:val="24"/>
        </w:rPr>
        <w:t xml:space="preserve">, </w:t>
      </w:r>
      <w:hyperlink r:id="rId15" w:history="1">
        <w:r w:rsidRPr="007C4901">
          <w:rPr>
            <w:rStyle w:val="Hyperlink"/>
            <w:sz w:val="24"/>
          </w:rPr>
          <w:t>https://www.prnewswire.com/news-releases/the-appraisal-foundation-announces-initiatives-to-grow-diversity-and-combat-bias-in-the-appraisal-profession-301132390.html</w:t>
        </w:r>
      </w:hyperlink>
    </w:p>
    <w:p w14:paraId="0D5136AB" w14:textId="5D1E6CF9" w:rsidR="0045522F" w:rsidRPr="007C4901" w:rsidRDefault="0045522F" w:rsidP="00ED1D42">
      <w:pPr>
        <w:rPr>
          <w:sz w:val="24"/>
        </w:rPr>
      </w:pPr>
      <w:r w:rsidRPr="007C4901">
        <w:rPr>
          <w:sz w:val="24"/>
        </w:rPr>
        <w:t xml:space="preserve">Wharton, D 2018, 'Appraising Appraiser Diversity', </w:t>
      </w:r>
      <w:r w:rsidR="00BA0118">
        <w:rPr>
          <w:sz w:val="24"/>
        </w:rPr>
        <w:t xml:space="preserve">viewed 17/09/2023, </w:t>
      </w:r>
      <w:hyperlink r:id="rId16" w:history="1">
        <w:r w:rsidR="00727478" w:rsidRPr="004472A3">
          <w:rPr>
            <w:rStyle w:val="Hyperlink"/>
            <w:sz w:val="24"/>
          </w:rPr>
          <w:t>https://themreport.com/daily-dose/09-03-2018/appraising-appraiser-diversity</w:t>
        </w:r>
      </w:hyperlink>
      <w:r w:rsidRPr="007C4901">
        <w:rPr>
          <w:sz w:val="24"/>
        </w:rPr>
        <w:t xml:space="preserve"> .</w:t>
      </w:r>
    </w:p>
    <w:p w14:paraId="1EBE4952" w14:textId="3AC0B0F3" w:rsidR="003B3250" w:rsidRPr="007C4901" w:rsidRDefault="0028070E" w:rsidP="00ED1D42">
      <w:pPr>
        <w:rPr>
          <w:sz w:val="24"/>
        </w:rPr>
      </w:pPr>
      <w:r w:rsidRPr="007C4901">
        <w:rPr>
          <w:sz w:val="24"/>
        </w:rPr>
        <w:t>Warren, CM &amp; Antoniades, H 2016, 'Deconstructing the glass ceiling: gender equality in the Australian property profession', Property Management, vol. 34 no. 1, pp. 29-43.</w:t>
      </w:r>
    </w:p>
    <w:p w14:paraId="00290207" w14:textId="1CB08916" w:rsidR="0027741A" w:rsidRPr="0005361A" w:rsidRDefault="0091660E" w:rsidP="00B03AE3">
      <w:pPr>
        <w:rPr>
          <w:szCs w:val="22"/>
        </w:rPr>
      </w:pPr>
      <w:r w:rsidRPr="007C4901">
        <w:rPr>
          <w:sz w:val="24"/>
        </w:rPr>
        <w:t>Wilkinson, S, Halvitigala, D &amp; Antoniades, H 2017, 'The future of the valuation profession: shaping the strategic direction of the profession for 2030', in 23rd Annual Pacific Rim Real Estate Society Conference, Sydney, Australia, Pacific Rim Real Estate Society.</w:t>
      </w:r>
    </w:p>
    <w:sectPr w:rsidR="0027741A" w:rsidRPr="0005361A" w:rsidSect="00EF7BAA">
      <w:headerReference w:type="even" r:id="rId17"/>
      <w:headerReference w:type="default" r:id="rId18"/>
      <w:footerReference w:type="default" r:id="rId19"/>
      <w:headerReference w:type="first" r:id="rId20"/>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8817" w14:textId="77777777" w:rsidR="00EF7BAA" w:rsidRDefault="00EF7BAA" w:rsidP="008E12A6">
      <w:pPr>
        <w:spacing w:before="0" w:after="0"/>
      </w:pPr>
      <w:r>
        <w:separator/>
      </w:r>
    </w:p>
    <w:p w14:paraId="1505E0A1" w14:textId="77777777" w:rsidR="00EF7BAA" w:rsidRDefault="00EF7BAA"/>
  </w:endnote>
  <w:endnote w:type="continuationSeparator" w:id="0">
    <w:p w14:paraId="69C13B4B" w14:textId="77777777" w:rsidR="00EF7BAA" w:rsidRDefault="00EF7BAA" w:rsidP="008E12A6">
      <w:pPr>
        <w:spacing w:before="0" w:after="0"/>
      </w:pPr>
      <w:r>
        <w:continuationSeparator/>
      </w:r>
    </w:p>
    <w:p w14:paraId="350C98D1" w14:textId="77777777" w:rsidR="00EF7BAA" w:rsidRDefault="00EF7BAA"/>
  </w:endnote>
  <w:endnote w:type="continuationNotice" w:id="1">
    <w:p w14:paraId="64D57AD0" w14:textId="77777777" w:rsidR="00EF7BAA" w:rsidRDefault="00EF7B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733C" w14:textId="224F3072" w:rsidR="00AD6CB1" w:rsidRDefault="00AD6CB1" w:rsidP="00972069">
    <w:pPr>
      <w:pStyle w:val="Footer"/>
      <w:pBdr>
        <w:top w:val="single" w:sz="4" w:space="1" w:color="auto"/>
      </w:pBdr>
      <w:tabs>
        <w:tab w:val="clear" w:pos="9026"/>
        <w:tab w:val="right" w:pos="9639"/>
      </w:tabs>
      <w:jc w:val="left"/>
    </w:pPr>
    <w:r>
      <w:t>30</w:t>
    </w:r>
    <w:r w:rsidRPr="00842BAB">
      <w:rPr>
        <w:vertAlign w:val="superscript"/>
      </w:rPr>
      <w:t>TH</w:t>
    </w:r>
    <w:r>
      <w:t xml:space="preserve"> Annual PRRES Conference, </w:t>
    </w:r>
    <w:r w:rsidR="008E1750">
      <w:t>Gold Coast</w:t>
    </w:r>
    <w:r>
      <w:t>, Australia 14</w:t>
    </w:r>
    <w:r w:rsidRPr="005314FD">
      <w:rPr>
        <w:vertAlign w:val="superscript"/>
      </w:rPr>
      <w:t>th</w:t>
    </w:r>
    <w:r>
      <w:t xml:space="preserve"> -17</w:t>
    </w:r>
    <w:r w:rsidRPr="00287F35">
      <w:rPr>
        <w:vertAlign w:val="superscript"/>
      </w:rPr>
      <w:t>th</w:t>
    </w:r>
    <w:r>
      <w:t xml:space="preserve"> </w:t>
    </w:r>
    <w:r>
      <w:rPr>
        <w:vertAlign w:val="superscript"/>
      </w:rPr>
      <w:t xml:space="preserve"> </w:t>
    </w:r>
    <w:r>
      <w:t>January 2024</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7409" w14:textId="77777777" w:rsidR="00EF7BAA" w:rsidRDefault="00EF7BAA" w:rsidP="008E12A6">
      <w:pPr>
        <w:spacing w:before="0" w:after="0"/>
      </w:pPr>
      <w:r>
        <w:separator/>
      </w:r>
    </w:p>
    <w:p w14:paraId="402E6964" w14:textId="77777777" w:rsidR="00EF7BAA" w:rsidRDefault="00EF7BAA"/>
  </w:footnote>
  <w:footnote w:type="continuationSeparator" w:id="0">
    <w:p w14:paraId="158A6B0E" w14:textId="77777777" w:rsidR="00EF7BAA" w:rsidRDefault="00EF7BAA" w:rsidP="008E12A6">
      <w:pPr>
        <w:spacing w:before="0" w:after="0"/>
      </w:pPr>
      <w:r>
        <w:continuationSeparator/>
      </w:r>
    </w:p>
    <w:p w14:paraId="7A39AA82" w14:textId="77777777" w:rsidR="00EF7BAA" w:rsidRDefault="00EF7BAA"/>
  </w:footnote>
  <w:footnote w:type="continuationNotice" w:id="1">
    <w:p w14:paraId="295BC678" w14:textId="77777777" w:rsidR="00EF7BAA" w:rsidRDefault="00EF7BA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6D85" w14:textId="051E5EA0" w:rsidR="002B5A2B" w:rsidRDefault="002B5A2B">
    <w:pPr>
      <w:pStyle w:val="Header"/>
    </w:pPr>
    <w:r>
      <w:rPr>
        <w:noProof/>
      </w:rPr>
      <mc:AlternateContent>
        <mc:Choice Requires="wps">
          <w:drawing>
            <wp:anchor distT="0" distB="0" distL="0" distR="0" simplePos="0" relativeHeight="251659264" behindDoc="0" locked="0" layoutInCell="1" allowOverlap="1" wp14:anchorId="7920DD1D" wp14:editId="31944744">
              <wp:simplePos x="635" y="635"/>
              <wp:positionH relativeFrom="page">
                <wp:align>center</wp:align>
              </wp:positionH>
              <wp:positionV relativeFrom="page">
                <wp:align>top</wp:align>
              </wp:positionV>
              <wp:extent cx="443865" cy="443865"/>
              <wp:effectExtent l="0" t="0" r="15240" b="4445"/>
              <wp:wrapNone/>
              <wp:docPr id="2" name="Text Box 2"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E574F" w14:textId="2198270D" w:rsidR="002B5A2B" w:rsidRPr="002B5A2B" w:rsidRDefault="002B5A2B" w:rsidP="002B5A2B">
                          <w:pPr>
                            <w:spacing w:after="0"/>
                            <w:rPr>
                              <w:rFonts w:ascii="Calibri" w:eastAsia="Calibri" w:hAnsi="Calibri" w:cs="Calibri"/>
                              <w:noProof/>
                              <w:color w:val="EEDC00"/>
                              <w:sz w:val="24"/>
                            </w:rPr>
                          </w:pPr>
                          <w:r w:rsidRPr="002B5A2B">
                            <w:rPr>
                              <w:rFonts w:ascii="Calibri" w:eastAsia="Calibri" w:hAnsi="Calibri" w:cs="Calibri"/>
                              <w:noProof/>
                              <w:color w:val="EEDC00"/>
                              <w:sz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20DD1D" id="_x0000_t202" coordsize="21600,21600" o:spt="202" path="m,l,21600r21600,l21600,xe">
              <v:stroke joinstyle="miter"/>
              <v:path gradientshapeok="t" o:connecttype="rect"/>
            </v:shapetype>
            <v:shape id="Text Box 2" o:spid="_x0000_s1026" type="#_x0000_t202" alt="RMIT Classification: Trusted"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BEE574F" w14:textId="2198270D" w:rsidR="002B5A2B" w:rsidRPr="002B5A2B" w:rsidRDefault="002B5A2B" w:rsidP="002B5A2B">
                    <w:pPr>
                      <w:spacing w:after="0"/>
                      <w:rPr>
                        <w:rFonts w:ascii="Calibri" w:eastAsia="Calibri" w:hAnsi="Calibri" w:cs="Calibri"/>
                        <w:noProof/>
                        <w:color w:val="EEDC00"/>
                        <w:sz w:val="24"/>
                      </w:rPr>
                    </w:pPr>
                    <w:r w:rsidRPr="002B5A2B">
                      <w:rPr>
                        <w:rFonts w:ascii="Calibri" w:eastAsia="Calibri" w:hAnsi="Calibri" w:cs="Calibri"/>
                        <w:noProof/>
                        <w:color w:val="EEDC00"/>
                        <w:sz w:val="24"/>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F6A4" w14:textId="79952B7B" w:rsidR="00AD6CB1" w:rsidRDefault="00AD6CB1" w:rsidP="00F070E8">
    <w:pPr>
      <w:pStyle w:val="ConferenceDetails"/>
    </w:pPr>
    <w:r>
      <w:t>30</w:t>
    </w:r>
    <w:r w:rsidRPr="00D062C6">
      <w:rPr>
        <w:vertAlign w:val="superscript"/>
      </w:rPr>
      <w:t>TH</w:t>
    </w:r>
    <w:r>
      <w:t xml:space="preserve"> Annual Pacific Rim Real Estate Society Conference</w:t>
    </w:r>
  </w:p>
  <w:p w14:paraId="0C02B4CA" w14:textId="25A6A604" w:rsidR="00AD6CB1" w:rsidRDefault="00AD6CB1" w:rsidP="00F070E8">
    <w:pPr>
      <w:pStyle w:val="ConferenceDetails"/>
    </w:pPr>
    <w:r>
      <w:t>GOLD COAST, AUSTRALIA 14</w:t>
    </w:r>
    <w:r>
      <w:rPr>
        <w:vertAlign w:val="superscript"/>
      </w:rPr>
      <w:t xml:space="preserve">th </w:t>
    </w:r>
    <w:r>
      <w:t xml:space="preserve">– </w:t>
    </w:r>
    <w:r w:rsidRPr="00E26DBC">
      <w:t>17</w:t>
    </w:r>
    <w:r>
      <w:rPr>
        <w:vertAlign w:val="superscript"/>
      </w:rPr>
      <w:t xml:space="preserve">th  </w:t>
    </w:r>
    <w:r>
      <w:t>January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85D9" w14:textId="1BD27B46" w:rsidR="00AD6CB1" w:rsidRDefault="00AD6CB1" w:rsidP="00D308B8">
    <w:pPr>
      <w:pStyle w:val="ConferenceDetails"/>
    </w:pPr>
    <w:r>
      <w:t>30</w:t>
    </w:r>
    <w:r w:rsidRPr="00D062C6">
      <w:rPr>
        <w:vertAlign w:val="superscript"/>
      </w:rPr>
      <w:t>TH</w:t>
    </w:r>
    <w:r>
      <w:t xml:space="preserve"> Annual Pacific Rim Real Estate Society Conference</w:t>
    </w:r>
  </w:p>
  <w:p w14:paraId="4CB5B79D" w14:textId="42F4411E" w:rsidR="00AD6CB1" w:rsidRDefault="00AD6CB1" w:rsidP="00D308B8">
    <w:pPr>
      <w:pStyle w:val="ConferenceDetails"/>
    </w:pPr>
    <w:r>
      <w:t>GOLD COAST, AUSTRALIA 14</w:t>
    </w:r>
    <w:r>
      <w:rPr>
        <w:vertAlign w:val="superscript"/>
      </w:rPr>
      <w:t xml:space="preserve">th </w:t>
    </w:r>
    <w:r>
      <w:t xml:space="preserve">– </w:t>
    </w:r>
    <w:r w:rsidRPr="00E26DBC">
      <w:t>17</w:t>
    </w:r>
    <w:r>
      <w:rPr>
        <w:vertAlign w:val="superscript"/>
      </w:rPr>
      <w:t xml:space="preserve">th  </w:t>
    </w:r>
    <w:r>
      <w:t>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6090"/>
    <w:multiLevelType w:val="hybridMultilevel"/>
    <w:tmpl w:val="6AEE8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F86BA8"/>
    <w:multiLevelType w:val="hybridMultilevel"/>
    <w:tmpl w:val="01EE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D50329"/>
    <w:multiLevelType w:val="hybridMultilevel"/>
    <w:tmpl w:val="D35A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350885">
    <w:abstractNumId w:val="2"/>
  </w:num>
  <w:num w:numId="2" w16cid:durableId="1050151694">
    <w:abstractNumId w:val="1"/>
  </w:num>
  <w:num w:numId="3" w16cid:durableId="146284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73"/>
    <w:rsid w:val="00007F9F"/>
    <w:rsid w:val="00011E3D"/>
    <w:rsid w:val="0001469B"/>
    <w:rsid w:val="00023AED"/>
    <w:rsid w:val="00030245"/>
    <w:rsid w:val="00031B03"/>
    <w:rsid w:val="0003290C"/>
    <w:rsid w:val="0003642C"/>
    <w:rsid w:val="00037597"/>
    <w:rsid w:val="00041392"/>
    <w:rsid w:val="00044921"/>
    <w:rsid w:val="00047C0B"/>
    <w:rsid w:val="0005361A"/>
    <w:rsid w:val="00060EC2"/>
    <w:rsid w:val="00061B2C"/>
    <w:rsid w:val="00061E91"/>
    <w:rsid w:val="00063BB1"/>
    <w:rsid w:val="00065748"/>
    <w:rsid w:val="00070FFE"/>
    <w:rsid w:val="00085C22"/>
    <w:rsid w:val="00090F65"/>
    <w:rsid w:val="00095ECF"/>
    <w:rsid w:val="000A2968"/>
    <w:rsid w:val="000A7C52"/>
    <w:rsid w:val="000B227E"/>
    <w:rsid w:val="000C3FFC"/>
    <w:rsid w:val="000D13EF"/>
    <w:rsid w:val="000E4CEF"/>
    <w:rsid w:val="000E5146"/>
    <w:rsid w:val="000F1D5D"/>
    <w:rsid w:val="000F71F8"/>
    <w:rsid w:val="00110739"/>
    <w:rsid w:val="00122F4F"/>
    <w:rsid w:val="001233AD"/>
    <w:rsid w:val="00123AA5"/>
    <w:rsid w:val="00134941"/>
    <w:rsid w:val="0014247D"/>
    <w:rsid w:val="00151525"/>
    <w:rsid w:val="00152DE5"/>
    <w:rsid w:val="00160533"/>
    <w:rsid w:val="0016443A"/>
    <w:rsid w:val="00172B2A"/>
    <w:rsid w:val="001768C4"/>
    <w:rsid w:val="00177D0D"/>
    <w:rsid w:val="00182E29"/>
    <w:rsid w:val="001855DF"/>
    <w:rsid w:val="001A07E3"/>
    <w:rsid w:val="001A40CF"/>
    <w:rsid w:val="001A7E12"/>
    <w:rsid w:val="001B1745"/>
    <w:rsid w:val="001B6720"/>
    <w:rsid w:val="001B6C0A"/>
    <w:rsid w:val="001C0E7F"/>
    <w:rsid w:val="001D01A6"/>
    <w:rsid w:val="001D600F"/>
    <w:rsid w:val="001D6133"/>
    <w:rsid w:val="001E6916"/>
    <w:rsid w:val="001F4764"/>
    <w:rsid w:val="001F5B82"/>
    <w:rsid w:val="002077A1"/>
    <w:rsid w:val="00211DEE"/>
    <w:rsid w:val="00212746"/>
    <w:rsid w:val="0021385B"/>
    <w:rsid w:val="0022336C"/>
    <w:rsid w:val="00223505"/>
    <w:rsid w:val="00236194"/>
    <w:rsid w:val="00236BE1"/>
    <w:rsid w:val="002455AA"/>
    <w:rsid w:val="00247770"/>
    <w:rsid w:val="00250937"/>
    <w:rsid w:val="0025403D"/>
    <w:rsid w:val="002564C9"/>
    <w:rsid w:val="00263A1A"/>
    <w:rsid w:val="00264348"/>
    <w:rsid w:val="002647C5"/>
    <w:rsid w:val="0026688E"/>
    <w:rsid w:val="00267772"/>
    <w:rsid w:val="0027581C"/>
    <w:rsid w:val="00275A0C"/>
    <w:rsid w:val="0027741A"/>
    <w:rsid w:val="00277FB3"/>
    <w:rsid w:val="0028070E"/>
    <w:rsid w:val="00287F35"/>
    <w:rsid w:val="00290DFF"/>
    <w:rsid w:val="00291B67"/>
    <w:rsid w:val="00292CDB"/>
    <w:rsid w:val="0029475C"/>
    <w:rsid w:val="0029606C"/>
    <w:rsid w:val="002A0FE0"/>
    <w:rsid w:val="002B3D8E"/>
    <w:rsid w:val="002B3E19"/>
    <w:rsid w:val="002B5A2B"/>
    <w:rsid w:val="002C0DFF"/>
    <w:rsid w:val="002C5141"/>
    <w:rsid w:val="002D1255"/>
    <w:rsid w:val="002D54DF"/>
    <w:rsid w:val="002E4EB0"/>
    <w:rsid w:val="002E7C9D"/>
    <w:rsid w:val="002F1AFC"/>
    <w:rsid w:val="002F28D3"/>
    <w:rsid w:val="003005C6"/>
    <w:rsid w:val="00300F76"/>
    <w:rsid w:val="00306BD9"/>
    <w:rsid w:val="0030708C"/>
    <w:rsid w:val="003114F0"/>
    <w:rsid w:val="0032382F"/>
    <w:rsid w:val="00333685"/>
    <w:rsid w:val="00342F23"/>
    <w:rsid w:val="003478DF"/>
    <w:rsid w:val="0035024F"/>
    <w:rsid w:val="00353AA3"/>
    <w:rsid w:val="0035596C"/>
    <w:rsid w:val="003626BA"/>
    <w:rsid w:val="00371B69"/>
    <w:rsid w:val="00386369"/>
    <w:rsid w:val="003868CD"/>
    <w:rsid w:val="00390AEB"/>
    <w:rsid w:val="00391944"/>
    <w:rsid w:val="00397E45"/>
    <w:rsid w:val="003A1F7A"/>
    <w:rsid w:val="003A7779"/>
    <w:rsid w:val="003B1C91"/>
    <w:rsid w:val="003B2B3A"/>
    <w:rsid w:val="003B3250"/>
    <w:rsid w:val="003B64EF"/>
    <w:rsid w:val="003C20BE"/>
    <w:rsid w:val="003C43CF"/>
    <w:rsid w:val="003D26C6"/>
    <w:rsid w:val="003D7A26"/>
    <w:rsid w:val="003D7C14"/>
    <w:rsid w:val="003E75EC"/>
    <w:rsid w:val="003F0488"/>
    <w:rsid w:val="003F7E8C"/>
    <w:rsid w:val="00401A4B"/>
    <w:rsid w:val="0040353A"/>
    <w:rsid w:val="00405D19"/>
    <w:rsid w:val="004077D3"/>
    <w:rsid w:val="00414CC4"/>
    <w:rsid w:val="0042168F"/>
    <w:rsid w:val="00425E81"/>
    <w:rsid w:val="004262C9"/>
    <w:rsid w:val="00427023"/>
    <w:rsid w:val="00427F71"/>
    <w:rsid w:val="00430EA6"/>
    <w:rsid w:val="00434571"/>
    <w:rsid w:val="004377F9"/>
    <w:rsid w:val="00444B7C"/>
    <w:rsid w:val="00452178"/>
    <w:rsid w:val="00452F39"/>
    <w:rsid w:val="004536C4"/>
    <w:rsid w:val="0045522F"/>
    <w:rsid w:val="0046110D"/>
    <w:rsid w:val="004618EE"/>
    <w:rsid w:val="004739FB"/>
    <w:rsid w:val="00474755"/>
    <w:rsid w:val="004800A4"/>
    <w:rsid w:val="00480AC7"/>
    <w:rsid w:val="004842CC"/>
    <w:rsid w:val="00484906"/>
    <w:rsid w:val="0048575A"/>
    <w:rsid w:val="004875CE"/>
    <w:rsid w:val="00496E7D"/>
    <w:rsid w:val="00496F0D"/>
    <w:rsid w:val="004A0CF1"/>
    <w:rsid w:val="004A44EC"/>
    <w:rsid w:val="004B23E5"/>
    <w:rsid w:val="004D2A90"/>
    <w:rsid w:val="004D3E55"/>
    <w:rsid w:val="004D4074"/>
    <w:rsid w:val="004E2640"/>
    <w:rsid w:val="005073D5"/>
    <w:rsid w:val="00515FDD"/>
    <w:rsid w:val="005255E7"/>
    <w:rsid w:val="00527F14"/>
    <w:rsid w:val="005314FD"/>
    <w:rsid w:val="005406D1"/>
    <w:rsid w:val="0054547D"/>
    <w:rsid w:val="00547EC1"/>
    <w:rsid w:val="00562583"/>
    <w:rsid w:val="005661C8"/>
    <w:rsid w:val="005706AE"/>
    <w:rsid w:val="00572C23"/>
    <w:rsid w:val="0058447C"/>
    <w:rsid w:val="00584948"/>
    <w:rsid w:val="00591599"/>
    <w:rsid w:val="005C69DB"/>
    <w:rsid w:val="005D4E23"/>
    <w:rsid w:val="005D4E64"/>
    <w:rsid w:val="005D77D5"/>
    <w:rsid w:val="00600283"/>
    <w:rsid w:val="00603414"/>
    <w:rsid w:val="00614618"/>
    <w:rsid w:val="00620066"/>
    <w:rsid w:val="00620213"/>
    <w:rsid w:val="0062149B"/>
    <w:rsid w:val="006230DE"/>
    <w:rsid w:val="0062339A"/>
    <w:rsid w:val="00626415"/>
    <w:rsid w:val="00626858"/>
    <w:rsid w:val="006365F9"/>
    <w:rsid w:val="0064322F"/>
    <w:rsid w:val="006542E1"/>
    <w:rsid w:val="006567BF"/>
    <w:rsid w:val="0065688F"/>
    <w:rsid w:val="00660228"/>
    <w:rsid w:val="00665EC0"/>
    <w:rsid w:val="0067028B"/>
    <w:rsid w:val="00672B9A"/>
    <w:rsid w:val="0068490E"/>
    <w:rsid w:val="00686A57"/>
    <w:rsid w:val="00692DDD"/>
    <w:rsid w:val="006962C3"/>
    <w:rsid w:val="00697D91"/>
    <w:rsid w:val="006A60A6"/>
    <w:rsid w:val="006A6423"/>
    <w:rsid w:val="006A792D"/>
    <w:rsid w:val="006A79DF"/>
    <w:rsid w:val="006C3A74"/>
    <w:rsid w:val="006C3BD2"/>
    <w:rsid w:val="006C578B"/>
    <w:rsid w:val="006C5F57"/>
    <w:rsid w:val="006C65CE"/>
    <w:rsid w:val="006D6F4D"/>
    <w:rsid w:val="006E1544"/>
    <w:rsid w:val="006F4FE6"/>
    <w:rsid w:val="006F6B09"/>
    <w:rsid w:val="006F7906"/>
    <w:rsid w:val="0070570C"/>
    <w:rsid w:val="007202C0"/>
    <w:rsid w:val="00720A74"/>
    <w:rsid w:val="00723C9B"/>
    <w:rsid w:val="00727478"/>
    <w:rsid w:val="00727F5E"/>
    <w:rsid w:val="00730020"/>
    <w:rsid w:val="00742D01"/>
    <w:rsid w:val="00745ABD"/>
    <w:rsid w:val="0074692C"/>
    <w:rsid w:val="00753881"/>
    <w:rsid w:val="0075724D"/>
    <w:rsid w:val="007619B5"/>
    <w:rsid w:val="00764F86"/>
    <w:rsid w:val="00773D02"/>
    <w:rsid w:val="00776BC9"/>
    <w:rsid w:val="00777370"/>
    <w:rsid w:val="00784188"/>
    <w:rsid w:val="0079406D"/>
    <w:rsid w:val="007975B6"/>
    <w:rsid w:val="007A0824"/>
    <w:rsid w:val="007A5E99"/>
    <w:rsid w:val="007B523C"/>
    <w:rsid w:val="007C2A15"/>
    <w:rsid w:val="007C4901"/>
    <w:rsid w:val="007D2DA0"/>
    <w:rsid w:val="007D7582"/>
    <w:rsid w:val="007E3563"/>
    <w:rsid w:val="007E419D"/>
    <w:rsid w:val="007F1641"/>
    <w:rsid w:val="007F63D4"/>
    <w:rsid w:val="00802E02"/>
    <w:rsid w:val="008072BC"/>
    <w:rsid w:val="00813C48"/>
    <w:rsid w:val="0081650D"/>
    <w:rsid w:val="00816A30"/>
    <w:rsid w:val="00822095"/>
    <w:rsid w:val="008229F4"/>
    <w:rsid w:val="008262E8"/>
    <w:rsid w:val="008272E1"/>
    <w:rsid w:val="0082777F"/>
    <w:rsid w:val="008331CB"/>
    <w:rsid w:val="008338AD"/>
    <w:rsid w:val="00842BAB"/>
    <w:rsid w:val="008437B4"/>
    <w:rsid w:val="00850DE9"/>
    <w:rsid w:val="00856B2B"/>
    <w:rsid w:val="00862FD8"/>
    <w:rsid w:val="008714D1"/>
    <w:rsid w:val="00873D04"/>
    <w:rsid w:val="008771E3"/>
    <w:rsid w:val="00891010"/>
    <w:rsid w:val="0089461C"/>
    <w:rsid w:val="008A503A"/>
    <w:rsid w:val="008B7424"/>
    <w:rsid w:val="008C127D"/>
    <w:rsid w:val="008D0375"/>
    <w:rsid w:val="008D5838"/>
    <w:rsid w:val="008E12A6"/>
    <w:rsid w:val="008E1750"/>
    <w:rsid w:val="008E54AC"/>
    <w:rsid w:val="008E7F70"/>
    <w:rsid w:val="008F5927"/>
    <w:rsid w:val="009054FE"/>
    <w:rsid w:val="00912D46"/>
    <w:rsid w:val="0091660E"/>
    <w:rsid w:val="00917B54"/>
    <w:rsid w:val="00920A10"/>
    <w:rsid w:val="00936B65"/>
    <w:rsid w:val="00941835"/>
    <w:rsid w:val="0095622F"/>
    <w:rsid w:val="00957C9E"/>
    <w:rsid w:val="00963ABD"/>
    <w:rsid w:val="00964647"/>
    <w:rsid w:val="00966D41"/>
    <w:rsid w:val="00972069"/>
    <w:rsid w:val="0097300A"/>
    <w:rsid w:val="00981CE6"/>
    <w:rsid w:val="0098366B"/>
    <w:rsid w:val="009836B9"/>
    <w:rsid w:val="00987C29"/>
    <w:rsid w:val="00990F2C"/>
    <w:rsid w:val="009A792D"/>
    <w:rsid w:val="009B0054"/>
    <w:rsid w:val="009C06A7"/>
    <w:rsid w:val="009C0F28"/>
    <w:rsid w:val="009C3DDC"/>
    <w:rsid w:val="009C591B"/>
    <w:rsid w:val="009C5B20"/>
    <w:rsid w:val="009D459A"/>
    <w:rsid w:val="009E2BCD"/>
    <w:rsid w:val="009E6F44"/>
    <w:rsid w:val="009E7C57"/>
    <w:rsid w:val="009F1337"/>
    <w:rsid w:val="009F64DB"/>
    <w:rsid w:val="00A033F6"/>
    <w:rsid w:val="00A079E2"/>
    <w:rsid w:val="00A11DD3"/>
    <w:rsid w:val="00A17B08"/>
    <w:rsid w:val="00A20E0F"/>
    <w:rsid w:val="00A25AEE"/>
    <w:rsid w:val="00A360B1"/>
    <w:rsid w:val="00A40436"/>
    <w:rsid w:val="00A426A0"/>
    <w:rsid w:val="00A42D68"/>
    <w:rsid w:val="00A432AB"/>
    <w:rsid w:val="00A5691F"/>
    <w:rsid w:val="00A77B2E"/>
    <w:rsid w:val="00A90745"/>
    <w:rsid w:val="00A93DD2"/>
    <w:rsid w:val="00AA441C"/>
    <w:rsid w:val="00AB072C"/>
    <w:rsid w:val="00AB2AEA"/>
    <w:rsid w:val="00AB2FA6"/>
    <w:rsid w:val="00AB61CC"/>
    <w:rsid w:val="00AC0D41"/>
    <w:rsid w:val="00AC575A"/>
    <w:rsid w:val="00AD0244"/>
    <w:rsid w:val="00AD6CB1"/>
    <w:rsid w:val="00AE2D4E"/>
    <w:rsid w:val="00AE6023"/>
    <w:rsid w:val="00AE7991"/>
    <w:rsid w:val="00AF4F12"/>
    <w:rsid w:val="00AF6430"/>
    <w:rsid w:val="00B001AD"/>
    <w:rsid w:val="00B01FBB"/>
    <w:rsid w:val="00B03AE3"/>
    <w:rsid w:val="00B07621"/>
    <w:rsid w:val="00B22CE7"/>
    <w:rsid w:val="00B230B2"/>
    <w:rsid w:val="00B231D9"/>
    <w:rsid w:val="00B23867"/>
    <w:rsid w:val="00B33D56"/>
    <w:rsid w:val="00B375D0"/>
    <w:rsid w:val="00B43A92"/>
    <w:rsid w:val="00B55EAD"/>
    <w:rsid w:val="00B6148D"/>
    <w:rsid w:val="00B7195C"/>
    <w:rsid w:val="00B733DD"/>
    <w:rsid w:val="00B81B89"/>
    <w:rsid w:val="00B8361A"/>
    <w:rsid w:val="00B97DDC"/>
    <w:rsid w:val="00BA0118"/>
    <w:rsid w:val="00BA0BBA"/>
    <w:rsid w:val="00BB1441"/>
    <w:rsid w:val="00BB1B73"/>
    <w:rsid w:val="00BB6CDC"/>
    <w:rsid w:val="00BC0AF8"/>
    <w:rsid w:val="00BD13E3"/>
    <w:rsid w:val="00BD2367"/>
    <w:rsid w:val="00BD73ED"/>
    <w:rsid w:val="00BE315A"/>
    <w:rsid w:val="00BE4610"/>
    <w:rsid w:val="00BE69B4"/>
    <w:rsid w:val="00BF0C65"/>
    <w:rsid w:val="00BF564F"/>
    <w:rsid w:val="00BF5D8D"/>
    <w:rsid w:val="00BF65FB"/>
    <w:rsid w:val="00C02FEE"/>
    <w:rsid w:val="00C03F94"/>
    <w:rsid w:val="00C12294"/>
    <w:rsid w:val="00C157A9"/>
    <w:rsid w:val="00C17323"/>
    <w:rsid w:val="00C21B03"/>
    <w:rsid w:val="00C22185"/>
    <w:rsid w:val="00C23116"/>
    <w:rsid w:val="00C259E4"/>
    <w:rsid w:val="00C4474A"/>
    <w:rsid w:val="00C52FCD"/>
    <w:rsid w:val="00C60CA9"/>
    <w:rsid w:val="00C6215C"/>
    <w:rsid w:val="00C6370A"/>
    <w:rsid w:val="00C660CE"/>
    <w:rsid w:val="00C85EEA"/>
    <w:rsid w:val="00C87C74"/>
    <w:rsid w:val="00C90CFB"/>
    <w:rsid w:val="00C918E7"/>
    <w:rsid w:val="00C93F6C"/>
    <w:rsid w:val="00C96AB3"/>
    <w:rsid w:val="00CB132F"/>
    <w:rsid w:val="00CB5CA9"/>
    <w:rsid w:val="00CC5E1E"/>
    <w:rsid w:val="00CD1431"/>
    <w:rsid w:val="00CE3BE5"/>
    <w:rsid w:val="00CE5101"/>
    <w:rsid w:val="00CF0A53"/>
    <w:rsid w:val="00CF6BC7"/>
    <w:rsid w:val="00D062C6"/>
    <w:rsid w:val="00D065EE"/>
    <w:rsid w:val="00D10487"/>
    <w:rsid w:val="00D1720B"/>
    <w:rsid w:val="00D203CA"/>
    <w:rsid w:val="00D308B8"/>
    <w:rsid w:val="00D30EBA"/>
    <w:rsid w:val="00D35FB1"/>
    <w:rsid w:val="00D50A36"/>
    <w:rsid w:val="00D527CC"/>
    <w:rsid w:val="00D61E18"/>
    <w:rsid w:val="00D66367"/>
    <w:rsid w:val="00D66669"/>
    <w:rsid w:val="00D67A67"/>
    <w:rsid w:val="00D67BE9"/>
    <w:rsid w:val="00D74B04"/>
    <w:rsid w:val="00D75245"/>
    <w:rsid w:val="00D81960"/>
    <w:rsid w:val="00D8661C"/>
    <w:rsid w:val="00D91EDC"/>
    <w:rsid w:val="00D92FA4"/>
    <w:rsid w:val="00D93939"/>
    <w:rsid w:val="00D948E9"/>
    <w:rsid w:val="00D96E4D"/>
    <w:rsid w:val="00DA374A"/>
    <w:rsid w:val="00DA7C65"/>
    <w:rsid w:val="00DA7ECC"/>
    <w:rsid w:val="00DB0C6D"/>
    <w:rsid w:val="00DB173F"/>
    <w:rsid w:val="00DC2212"/>
    <w:rsid w:val="00DC2754"/>
    <w:rsid w:val="00DC35CE"/>
    <w:rsid w:val="00DD0006"/>
    <w:rsid w:val="00DD508E"/>
    <w:rsid w:val="00DE3F2B"/>
    <w:rsid w:val="00DE7855"/>
    <w:rsid w:val="00DE7BB4"/>
    <w:rsid w:val="00DF413F"/>
    <w:rsid w:val="00E04946"/>
    <w:rsid w:val="00E0545F"/>
    <w:rsid w:val="00E1498E"/>
    <w:rsid w:val="00E15FA1"/>
    <w:rsid w:val="00E25BFF"/>
    <w:rsid w:val="00E25E3E"/>
    <w:rsid w:val="00E26DBC"/>
    <w:rsid w:val="00E2715E"/>
    <w:rsid w:val="00E41007"/>
    <w:rsid w:val="00E47C03"/>
    <w:rsid w:val="00E50B51"/>
    <w:rsid w:val="00E61845"/>
    <w:rsid w:val="00E6554D"/>
    <w:rsid w:val="00E74652"/>
    <w:rsid w:val="00E74662"/>
    <w:rsid w:val="00E74FD7"/>
    <w:rsid w:val="00E750D3"/>
    <w:rsid w:val="00E87E05"/>
    <w:rsid w:val="00E9002B"/>
    <w:rsid w:val="00E9027A"/>
    <w:rsid w:val="00E9623E"/>
    <w:rsid w:val="00EA6863"/>
    <w:rsid w:val="00EA7E62"/>
    <w:rsid w:val="00EB31E8"/>
    <w:rsid w:val="00EB5CFC"/>
    <w:rsid w:val="00EB703A"/>
    <w:rsid w:val="00EB7730"/>
    <w:rsid w:val="00ED08C2"/>
    <w:rsid w:val="00ED1D42"/>
    <w:rsid w:val="00ED5C1E"/>
    <w:rsid w:val="00EE50F4"/>
    <w:rsid w:val="00EE681F"/>
    <w:rsid w:val="00EF6DBC"/>
    <w:rsid w:val="00EF7BAA"/>
    <w:rsid w:val="00F00352"/>
    <w:rsid w:val="00F005AE"/>
    <w:rsid w:val="00F0082F"/>
    <w:rsid w:val="00F04116"/>
    <w:rsid w:val="00F0489D"/>
    <w:rsid w:val="00F070E8"/>
    <w:rsid w:val="00F205BA"/>
    <w:rsid w:val="00F23D3B"/>
    <w:rsid w:val="00F302D0"/>
    <w:rsid w:val="00F31D8D"/>
    <w:rsid w:val="00F41569"/>
    <w:rsid w:val="00F463FD"/>
    <w:rsid w:val="00F51A70"/>
    <w:rsid w:val="00F60E70"/>
    <w:rsid w:val="00F637BD"/>
    <w:rsid w:val="00F657A4"/>
    <w:rsid w:val="00F746A4"/>
    <w:rsid w:val="00F837D5"/>
    <w:rsid w:val="00F84E7E"/>
    <w:rsid w:val="00F955D9"/>
    <w:rsid w:val="00FA1F4E"/>
    <w:rsid w:val="00FB3C23"/>
    <w:rsid w:val="00FC0A31"/>
    <w:rsid w:val="00FC2144"/>
    <w:rsid w:val="00FC7D67"/>
    <w:rsid w:val="00FD02BC"/>
    <w:rsid w:val="00FD06B0"/>
    <w:rsid w:val="00FD5F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92905D"/>
  <w15:docId w15:val="{87AF69F5-EAD9-4C98-8B65-0CA2B2DB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61A"/>
    <w:pPr>
      <w:spacing w:before="120" w:after="120"/>
      <w:jc w:val="both"/>
    </w:pPr>
    <w:rPr>
      <w:sz w:val="22"/>
      <w:szCs w:val="24"/>
    </w:rPr>
  </w:style>
  <w:style w:type="paragraph" w:styleId="Heading1">
    <w:name w:val="heading 1"/>
    <w:basedOn w:val="Normal"/>
    <w:next w:val="Normal"/>
    <w:link w:val="Heading1Char"/>
    <w:qFormat/>
    <w:rsid w:val="00FC7D67"/>
    <w:pPr>
      <w:keepNext/>
      <w:jc w:val="left"/>
      <w:outlineLvl w:val="0"/>
    </w:pPr>
    <w:rPr>
      <w:b/>
      <w:bCs/>
      <w:caps/>
      <w:kern w:val="32"/>
      <w:sz w:val="24"/>
      <w:szCs w:val="32"/>
    </w:rPr>
  </w:style>
  <w:style w:type="paragraph" w:styleId="Heading2">
    <w:name w:val="heading 2"/>
    <w:basedOn w:val="Normal"/>
    <w:next w:val="Normal"/>
    <w:link w:val="Heading2Char"/>
    <w:qFormat/>
    <w:rsid w:val="00FC7D67"/>
    <w:pPr>
      <w:keepNext/>
      <w:spacing w:before="240" w:after="60"/>
      <w:outlineLvl w:val="1"/>
    </w:pPr>
    <w:rPr>
      <w:b/>
      <w:bCs/>
      <w:iCs/>
      <w:sz w:val="24"/>
      <w:szCs w:val="28"/>
    </w:rPr>
  </w:style>
  <w:style w:type="paragraph" w:styleId="Heading3">
    <w:name w:val="heading 3"/>
    <w:basedOn w:val="Normal"/>
    <w:next w:val="Normal"/>
    <w:link w:val="Heading3Char"/>
    <w:qFormat/>
    <w:rsid w:val="00FC7D67"/>
    <w:pPr>
      <w:keepNext/>
      <w:spacing w:before="240" w:after="60"/>
      <w:outlineLvl w:val="2"/>
    </w:pPr>
    <w:rPr>
      <w:b/>
      <w:bCs/>
      <w:szCs w:val="26"/>
    </w:rPr>
  </w:style>
  <w:style w:type="paragraph" w:styleId="Heading4">
    <w:name w:val="heading 4"/>
    <w:basedOn w:val="Normal"/>
    <w:next w:val="Normal"/>
    <w:link w:val="Heading4Char"/>
    <w:qFormat/>
    <w:rsid w:val="00FC7D67"/>
    <w:pPr>
      <w:keepNext/>
      <w:spacing w:before="240" w:after="60"/>
      <w:outlineLvl w:val="3"/>
    </w:pPr>
    <w:rPr>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7D67"/>
    <w:rPr>
      <w:b/>
      <w:bCs/>
      <w:caps/>
      <w:kern w:val="32"/>
      <w:sz w:val="24"/>
      <w:szCs w:val="32"/>
    </w:rPr>
  </w:style>
  <w:style w:type="paragraph" w:styleId="Title">
    <w:name w:val="Title"/>
    <w:basedOn w:val="Normal"/>
    <w:next w:val="Normal"/>
    <w:link w:val="TitleChar"/>
    <w:qFormat/>
    <w:rsid w:val="002D54DF"/>
    <w:pPr>
      <w:spacing w:before="240" w:after="240"/>
      <w:jc w:val="center"/>
      <w:outlineLvl w:val="0"/>
    </w:pPr>
    <w:rPr>
      <w:b/>
      <w:bCs/>
      <w:caps/>
      <w:kern w:val="28"/>
      <w:sz w:val="28"/>
      <w:szCs w:val="32"/>
    </w:rPr>
  </w:style>
  <w:style w:type="character" w:customStyle="1" w:styleId="TitleChar">
    <w:name w:val="Title Char"/>
    <w:link w:val="Title"/>
    <w:rsid w:val="002D54DF"/>
    <w:rPr>
      <w:rFonts w:eastAsia="Times New Roman" w:cs="Times New Roman"/>
      <w:b/>
      <w:bCs/>
      <w:caps/>
      <w:kern w:val="28"/>
      <w:sz w:val="28"/>
      <w:szCs w:val="32"/>
    </w:rPr>
  </w:style>
  <w:style w:type="paragraph" w:customStyle="1" w:styleId="ConferenceDetails">
    <w:name w:val="Conference Details"/>
    <w:basedOn w:val="Normal"/>
    <w:qFormat/>
    <w:rsid w:val="008E12A6"/>
    <w:pPr>
      <w:jc w:val="center"/>
    </w:pPr>
    <w:rPr>
      <w:b/>
      <w:smallCaps/>
    </w:rPr>
  </w:style>
  <w:style w:type="paragraph" w:customStyle="1" w:styleId="Authors">
    <w:name w:val="Author/s"/>
    <w:basedOn w:val="Heading1"/>
    <w:qFormat/>
    <w:rsid w:val="008E12A6"/>
    <w:pPr>
      <w:jc w:val="center"/>
    </w:pPr>
    <w:rPr>
      <w:caps w:val="0"/>
    </w:rPr>
  </w:style>
  <w:style w:type="paragraph" w:customStyle="1" w:styleId="Abstract">
    <w:name w:val="Abstract"/>
    <w:basedOn w:val="Normal"/>
    <w:qFormat/>
    <w:rsid w:val="008E12A6"/>
    <w:rPr>
      <w:i/>
    </w:rPr>
  </w:style>
  <w:style w:type="character" w:customStyle="1" w:styleId="Heading3Char">
    <w:name w:val="Heading 3 Char"/>
    <w:link w:val="Heading3"/>
    <w:rsid w:val="00FC7D67"/>
    <w:rPr>
      <w:rFonts w:eastAsia="Times New Roman" w:cs="Times New Roman"/>
      <w:b/>
      <w:bCs/>
      <w:sz w:val="22"/>
      <w:szCs w:val="26"/>
    </w:rPr>
  </w:style>
  <w:style w:type="character" w:customStyle="1" w:styleId="Heading2Char">
    <w:name w:val="Heading 2 Char"/>
    <w:link w:val="Heading2"/>
    <w:rsid w:val="00FC7D67"/>
    <w:rPr>
      <w:rFonts w:eastAsia="Times New Roman" w:cs="Times New Roman"/>
      <w:b/>
      <w:bCs/>
      <w:iCs/>
      <w:sz w:val="24"/>
      <w:szCs w:val="28"/>
    </w:rPr>
  </w:style>
  <w:style w:type="character" w:customStyle="1" w:styleId="Heading4Char">
    <w:name w:val="Heading 4 Char"/>
    <w:link w:val="Heading4"/>
    <w:rsid w:val="00FC7D67"/>
    <w:rPr>
      <w:rFonts w:eastAsia="Times New Roman" w:cs="Times New Roman"/>
      <w:b/>
      <w:bCs/>
      <w:szCs w:val="28"/>
    </w:rPr>
  </w:style>
  <w:style w:type="paragraph" w:styleId="Caption">
    <w:name w:val="caption"/>
    <w:basedOn w:val="Normal"/>
    <w:next w:val="Normal"/>
    <w:unhideWhenUsed/>
    <w:qFormat/>
    <w:rsid w:val="00DB0C6D"/>
    <w:rPr>
      <w:b/>
      <w:bCs/>
      <w:sz w:val="24"/>
      <w:szCs w:val="20"/>
    </w:rPr>
  </w:style>
  <w:style w:type="paragraph" w:styleId="Header">
    <w:name w:val="header"/>
    <w:basedOn w:val="Normal"/>
    <w:link w:val="HeaderChar"/>
    <w:rsid w:val="00D308B8"/>
    <w:pPr>
      <w:tabs>
        <w:tab w:val="center" w:pos="4513"/>
        <w:tab w:val="right" w:pos="9026"/>
      </w:tabs>
    </w:pPr>
    <w:rPr>
      <w:sz w:val="20"/>
    </w:rPr>
  </w:style>
  <w:style w:type="character" w:customStyle="1" w:styleId="HeaderChar">
    <w:name w:val="Header Char"/>
    <w:link w:val="Header"/>
    <w:rsid w:val="00D308B8"/>
    <w:rPr>
      <w:szCs w:val="24"/>
    </w:rPr>
  </w:style>
  <w:style w:type="paragraph" w:styleId="Footer">
    <w:name w:val="footer"/>
    <w:basedOn w:val="Normal"/>
    <w:link w:val="FooterChar"/>
    <w:uiPriority w:val="99"/>
    <w:rsid w:val="00D308B8"/>
    <w:pPr>
      <w:tabs>
        <w:tab w:val="center" w:pos="4513"/>
        <w:tab w:val="right" w:pos="9026"/>
      </w:tabs>
    </w:pPr>
    <w:rPr>
      <w:sz w:val="20"/>
    </w:rPr>
  </w:style>
  <w:style w:type="character" w:customStyle="1" w:styleId="FooterChar">
    <w:name w:val="Footer Char"/>
    <w:link w:val="Footer"/>
    <w:uiPriority w:val="99"/>
    <w:rsid w:val="00D308B8"/>
    <w:rPr>
      <w:szCs w:val="24"/>
    </w:rPr>
  </w:style>
  <w:style w:type="paragraph" w:styleId="FootnoteText">
    <w:name w:val="footnote text"/>
    <w:basedOn w:val="Normal"/>
    <w:link w:val="FootnoteTextChar"/>
    <w:rsid w:val="00ED1D42"/>
    <w:rPr>
      <w:szCs w:val="20"/>
    </w:rPr>
  </w:style>
  <w:style w:type="character" w:customStyle="1" w:styleId="FootnoteTextChar">
    <w:name w:val="Footnote Text Char"/>
    <w:basedOn w:val="DefaultParagraphFont"/>
    <w:link w:val="FootnoteText"/>
    <w:rsid w:val="00ED1D42"/>
  </w:style>
  <w:style w:type="character" w:styleId="FootnoteReference">
    <w:name w:val="footnote reference"/>
    <w:rsid w:val="00ED1D42"/>
    <w:rPr>
      <w:vertAlign w:val="superscript"/>
    </w:rPr>
  </w:style>
  <w:style w:type="paragraph" w:customStyle="1" w:styleId="EmailContact">
    <w:name w:val="Email Contact"/>
    <w:basedOn w:val="Normal"/>
    <w:qFormat/>
    <w:rsid w:val="007D7582"/>
    <w:pPr>
      <w:spacing w:before="360" w:after="0"/>
      <w:jc w:val="left"/>
    </w:pPr>
    <w:rPr>
      <w:b/>
    </w:rPr>
  </w:style>
  <w:style w:type="paragraph" w:customStyle="1" w:styleId="ReferenceList">
    <w:name w:val="Reference List"/>
    <w:basedOn w:val="Normal"/>
    <w:qFormat/>
    <w:rsid w:val="00E87E05"/>
    <w:pPr>
      <w:spacing w:before="240" w:after="240"/>
    </w:pPr>
  </w:style>
  <w:style w:type="paragraph" w:styleId="BalloonText">
    <w:name w:val="Balloon Text"/>
    <w:basedOn w:val="Normal"/>
    <w:link w:val="BalloonTextChar"/>
    <w:rsid w:val="007975B6"/>
    <w:pPr>
      <w:spacing w:before="0" w:after="0"/>
    </w:pPr>
    <w:rPr>
      <w:rFonts w:ascii="Segoe UI" w:hAnsi="Segoe UI"/>
      <w:sz w:val="18"/>
      <w:szCs w:val="18"/>
    </w:rPr>
  </w:style>
  <w:style w:type="character" w:customStyle="1" w:styleId="BalloonTextChar">
    <w:name w:val="Balloon Text Char"/>
    <w:link w:val="BalloonText"/>
    <w:rsid w:val="007975B6"/>
    <w:rPr>
      <w:rFonts w:ascii="Segoe UI" w:hAnsi="Segoe UI" w:cs="Segoe UI"/>
      <w:sz w:val="18"/>
      <w:szCs w:val="18"/>
      <w:lang w:eastAsia="en-AU"/>
    </w:rPr>
  </w:style>
  <w:style w:type="table" w:styleId="TableGrid">
    <w:name w:val="Table Grid"/>
    <w:basedOn w:val="TableNormal"/>
    <w:uiPriority w:val="39"/>
    <w:rsid w:val="009F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515FDD"/>
    <w:rPr>
      <w:sz w:val="22"/>
      <w:szCs w:val="24"/>
    </w:rPr>
  </w:style>
  <w:style w:type="character" w:styleId="Hyperlink">
    <w:name w:val="Hyperlink"/>
    <w:basedOn w:val="DefaultParagraphFont"/>
    <w:unhideWhenUsed/>
    <w:rsid w:val="00672B9A"/>
    <w:rPr>
      <w:color w:val="0000FF" w:themeColor="hyperlink"/>
      <w:u w:val="single"/>
    </w:rPr>
  </w:style>
  <w:style w:type="character" w:styleId="UnresolvedMention">
    <w:name w:val="Unresolved Mention"/>
    <w:basedOn w:val="DefaultParagraphFont"/>
    <w:uiPriority w:val="99"/>
    <w:semiHidden/>
    <w:unhideWhenUsed/>
    <w:rsid w:val="00672B9A"/>
    <w:rPr>
      <w:color w:val="605E5C"/>
      <w:shd w:val="clear" w:color="auto" w:fill="E1DFDD"/>
    </w:rPr>
  </w:style>
  <w:style w:type="paragraph" w:customStyle="1" w:styleId="Mytables">
    <w:name w:val="My tables"/>
    <w:basedOn w:val="Normal"/>
    <w:link w:val="MytablesChar"/>
    <w:qFormat/>
    <w:rsid w:val="00784188"/>
    <w:pPr>
      <w:spacing w:before="0" w:after="160"/>
      <w:jc w:val="left"/>
    </w:pPr>
    <w:rPr>
      <w:rFonts w:ascii="Arial" w:eastAsiaTheme="minorHAnsi" w:hAnsi="Arial" w:cs="Arial"/>
      <w:b/>
      <w:bCs/>
      <w:i/>
      <w:szCs w:val="22"/>
      <w:lang w:eastAsia="en-US"/>
    </w:rPr>
  </w:style>
  <w:style w:type="character" w:customStyle="1" w:styleId="MytablesChar">
    <w:name w:val="My tables Char"/>
    <w:basedOn w:val="DefaultParagraphFont"/>
    <w:link w:val="Mytables"/>
    <w:rsid w:val="00784188"/>
    <w:rPr>
      <w:rFonts w:ascii="Arial" w:eastAsiaTheme="minorHAnsi" w:hAnsi="Arial" w:cs="Arial"/>
      <w:b/>
      <w:bCs/>
      <w:i/>
      <w:sz w:val="22"/>
      <w:szCs w:val="22"/>
      <w:lang w:eastAsia="en-US"/>
    </w:rPr>
  </w:style>
  <w:style w:type="paragraph" w:styleId="ListParagraph">
    <w:name w:val="List Paragraph"/>
    <w:basedOn w:val="Normal"/>
    <w:uiPriority w:val="34"/>
    <w:qFormat/>
    <w:rsid w:val="00917B54"/>
    <w:pPr>
      <w:spacing w:before="0" w:after="160" w:line="360" w:lineRule="auto"/>
      <w:ind w:left="720"/>
      <w:contextualSpacing/>
      <w:jc w:val="left"/>
    </w:pPr>
    <w:rPr>
      <w:rFonts w:ascii="Arial" w:eastAsiaTheme="minorHAnsi" w:hAnsi="Arial" w:cstheme="minorBidi"/>
      <w:color w:val="868A89"/>
      <w:szCs w:val="22"/>
      <w:lang w:eastAsia="en-US"/>
    </w:rPr>
  </w:style>
  <w:style w:type="paragraph" w:customStyle="1" w:styleId="Default">
    <w:name w:val="Default"/>
    <w:rsid w:val="002D1255"/>
    <w:pPr>
      <w:autoSpaceDE w:val="0"/>
      <w:autoSpaceDN w:val="0"/>
      <w:adjustRightInd w:val="0"/>
    </w:pPr>
    <w:rPr>
      <w:rFonts w:ascii="Calibri" w:eastAsiaTheme="minorHAnsi" w:hAnsi="Calibri" w:cs="Calibri"/>
      <w:color w:val="000000"/>
      <w:sz w:val="24"/>
      <w:szCs w:val="24"/>
      <w:lang w:eastAsia="en-US"/>
    </w:rPr>
  </w:style>
  <w:style w:type="character" w:styleId="CommentReference">
    <w:name w:val="annotation reference"/>
    <w:basedOn w:val="DefaultParagraphFont"/>
    <w:semiHidden/>
    <w:unhideWhenUsed/>
    <w:rsid w:val="00DE3F2B"/>
    <w:rPr>
      <w:sz w:val="16"/>
      <w:szCs w:val="16"/>
    </w:rPr>
  </w:style>
  <w:style w:type="paragraph" w:styleId="CommentText">
    <w:name w:val="annotation text"/>
    <w:basedOn w:val="Normal"/>
    <w:link w:val="CommentTextChar"/>
    <w:semiHidden/>
    <w:unhideWhenUsed/>
    <w:rsid w:val="00DE3F2B"/>
    <w:rPr>
      <w:sz w:val="20"/>
      <w:szCs w:val="20"/>
    </w:rPr>
  </w:style>
  <w:style w:type="character" w:customStyle="1" w:styleId="CommentTextChar">
    <w:name w:val="Comment Text Char"/>
    <w:basedOn w:val="DefaultParagraphFont"/>
    <w:link w:val="CommentText"/>
    <w:semiHidden/>
    <w:rsid w:val="00DE3F2B"/>
  </w:style>
  <w:style w:type="paragraph" w:styleId="CommentSubject">
    <w:name w:val="annotation subject"/>
    <w:basedOn w:val="CommentText"/>
    <w:next w:val="CommentText"/>
    <w:link w:val="CommentSubjectChar"/>
    <w:semiHidden/>
    <w:unhideWhenUsed/>
    <w:rsid w:val="00DE3F2B"/>
    <w:rPr>
      <w:b/>
      <w:bCs/>
    </w:rPr>
  </w:style>
  <w:style w:type="character" w:customStyle="1" w:styleId="CommentSubjectChar">
    <w:name w:val="Comment Subject Char"/>
    <w:basedOn w:val="CommentTextChar"/>
    <w:link w:val="CommentSubject"/>
    <w:semiHidden/>
    <w:rsid w:val="00DE3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736890">
      <w:bodyDiv w:val="1"/>
      <w:marLeft w:val="0"/>
      <w:marRight w:val="0"/>
      <w:marTop w:val="0"/>
      <w:marBottom w:val="0"/>
      <w:divBdr>
        <w:top w:val="none" w:sz="0" w:space="0" w:color="auto"/>
        <w:left w:val="none" w:sz="0" w:space="0" w:color="auto"/>
        <w:bottom w:val="none" w:sz="0" w:space="0" w:color="auto"/>
        <w:right w:val="none" w:sz="0" w:space="0" w:color="auto"/>
      </w:divBdr>
    </w:div>
    <w:div w:id="1956983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bes.com/sites/brendarichardson/2021/04/26/appraisal-industry-seeks-to-improve-diversity-and-inclusion-in-the-profession/?sh=2b66b5505e9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pj.com.au/careers-and-industry/towards-more-inclusive-equality-and-diversity-in-the-australian-valuation-indust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emreport.com/daily-dose/09-03-2018/appraising-appraiser-diversit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rnewswire.com/news-releases/the-appraisal-foundation-announces-initiatives-to-grow-diversity-and-combat-bias-in-the-appraisal-profession-301132390.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cs.org/oceania/about-rics/responsible-business/diversity-and-inclusio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rossinp\Application%20Data\Microsoft\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A1561C7AC61740AC0C42373ECAF626" ma:contentTypeVersion="13" ma:contentTypeDescription="Create a new document." ma:contentTypeScope="" ma:versionID="9db3e7d1e2555d84b851cea18c52656a">
  <xsd:schema xmlns:xsd="http://www.w3.org/2001/XMLSchema" xmlns:xs="http://www.w3.org/2001/XMLSchema" xmlns:p="http://schemas.microsoft.com/office/2006/metadata/properties" xmlns:ns1="http://schemas.microsoft.com/sharepoint/v3" xmlns:ns3="0fb774b7-0571-4e61-9f02-9eb8691563b7" targetNamespace="http://schemas.microsoft.com/office/2006/metadata/properties" ma:root="true" ma:fieldsID="5182aceb416bbaa7398c0186b3ed3043" ns1:_="" ns3:_="">
    <xsd:import namespace="http://schemas.microsoft.com/sharepoint/v3"/>
    <xsd:import namespace="0fb774b7-0571-4e61-9f02-9eb8691563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774b7-0571-4e61-9f02-9eb869156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B2E22-9C7D-4B5F-A727-1E1ABA6C13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57E4C44-1483-4F82-97AA-588C5584FB03}">
  <ds:schemaRefs>
    <ds:schemaRef ds:uri="http://schemas.microsoft.com/sharepoint/v3/contenttype/forms"/>
  </ds:schemaRefs>
</ds:datastoreItem>
</file>

<file path=customXml/itemProps3.xml><?xml version="1.0" encoding="utf-8"?>
<ds:datastoreItem xmlns:ds="http://schemas.openxmlformats.org/officeDocument/2006/customXml" ds:itemID="{005A4CC8-0CD9-4DA3-90E2-2660FB88FFE5}">
  <ds:schemaRefs>
    <ds:schemaRef ds:uri="http://schemas.openxmlformats.org/officeDocument/2006/bibliography"/>
  </ds:schemaRefs>
</ds:datastoreItem>
</file>

<file path=customXml/itemProps4.xml><?xml version="1.0" encoding="utf-8"?>
<ds:datastoreItem xmlns:ds="http://schemas.openxmlformats.org/officeDocument/2006/customXml" ds:itemID="{FC6094DA-23FB-44D7-9A29-691B66EDB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774b7-0571-4e61-9f02-9eb86915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normal2.dot</Template>
  <TotalTime>1</TotalTime>
  <Pages>11</Pages>
  <Words>4365</Words>
  <Characters>26486</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Univeristy Of South Australia</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UniSA</dc:creator>
  <cp:lastModifiedBy>Connie Susilawati</cp:lastModifiedBy>
  <cp:revision>2</cp:revision>
  <cp:lastPrinted>2015-03-05T01:11:00Z</cp:lastPrinted>
  <dcterms:created xsi:type="dcterms:W3CDTF">2024-03-12T03:30:00Z</dcterms:created>
  <dcterms:modified xsi:type="dcterms:W3CDTF">2024-03-12T03:30:00Z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0x010100EAA1561C7AC61740AC0C42373ECAF626</vt:lpwstr>
  </property>
  <property fmtid="{D5CDD505-2E9C-101B-9397-08002B2CF9AE}" pid="3" name="MSIP_Label_51a6c3db-1667-4f49-995a-8b9973972958_Enabled">
    <vt:lpwstr>true</vt:lpwstr>
  </property>
  <property fmtid="{D5CDD505-2E9C-101B-9397-08002B2CF9AE}" pid="4" name="MSIP_Label_51a6c3db-1667-4f49-995a-8b9973972958_SetDate">
    <vt:lpwstr>2023-05-28T23:47:10Z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0cd5ec3a-f975-4528-abea-4f2badefad64</vt:lpwstr>
  </property>
  <property fmtid="{D5CDD505-2E9C-101B-9397-08002B2CF9AE}" pid="9" name="MSIP_Label_51a6c3db-1667-4f49-995a-8b9973972958_ContentBits">
    <vt:lpwstr>0</vt:lpwstr>
  </property>
  <property fmtid="{D5CDD505-2E9C-101B-9397-08002B2CF9AE}" pid="10" name="ClassificationContentMarkingHeaderShapeIds">
    <vt:lpwstr>1,2,3</vt:lpwstr>
  </property>
  <property fmtid="{D5CDD505-2E9C-101B-9397-08002B2CF9AE}" pid="11" name="ClassificationContentMarkingHeaderFontProps">
    <vt:lpwstr>#eedc00,12,Calibri</vt:lpwstr>
  </property>
  <property fmtid="{D5CDD505-2E9C-101B-9397-08002B2CF9AE}" pid="12" name="ClassificationContentMarkingHeaderText">
    <vt:lpwstr>RMIT Classification: Trusted</vt:lpwstr>
  </property>
  <property fmtid="{D5CDD505-2E9C-101B-9397-08002B2CF9AE}" pid="13" name="MSIP_Label_8c3d088b-6243-4963-a2e2-8b321ab7f8fc_Enabled">
    <vt:lpwstr>true</vt:lpwstr>
  </property>
  <property fmtid="{D5CDD505-2E9C-101B-9397-08002B2CF9AE}" pid="14" name="MSIP_Label_8c3d088b-6243-4963-a2e2-8b321ab7f8fc_SetDate">
    <vt:lpwstr>2023-07-28T04:59:00Z</vt:lpwstr>
  </property>
  <property fmtid="{D5CDD505-2E9C-101B-9397-08002B2CF9AE}" pid="15" name="MSIP_Label_8c3d088b-6243-4963-a2e2-8b321ab7f8fc_Method">
    <vt:lpwstr>Standard</vt:lpwstr>
  </property>
  <property fmtid="{D5CDD505-2E9C-101B-9397-08002B2CF9AE}" pid="16" name="MSIP_Label_8c3d088b-6243-4963-a2e2-8b321ab7f8fc_Name">
    <vt:lpwstr>Trusted</vt:lpwstr>
  </property>
  <property fmtid="{D5CDD505-2E9C-101B-9397-08002B2CF9AE}" pid="17" name="MSIP_Label_8c3d088b-6243-4963-a2e2-8b321ab7f8fc_SiteId">
    <vt:lpwstr>d1323671-cdbe-4417-b4d4-bdb24b51316b</vt:lpwstr>
  </property>
  <property fmtid="{D5CDD505-2E9C-101B-9397-08002B2CF9AE}" pid="18" name="MSIP_Label_8c3d088b-6243-4963-a2e2-8b321ab7f8fc_ActionId">
    <vt:lpwstr>7d3be905-132c-4163-9957-757f3cb5e42e</vt:lpwstr>
  </property>
  <property fmtid="{D5CDD505-2E9C-101B-9397-08002B2CF9AE}" pid="19" name="MSIP_Label_8c3d088b-6243-4963-a2e2-8b321ab7f8fc_ContentBits">
    <vt:lpwstr>1</vt:lpwstr>
  </property>
  <property fmtid="{D5CDD505-2E9C-101B-9397-08002B2CF9AE}" pid="20" name="GrammarlyDocumentId">
    <vt:lpwstr>34d79b80608491197c6ad273eba98b59631ab2c77325294253b8bb8634371896</vt:lpwstr>
  </property>
</Properties>
</file>