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Default="00584948" w:rsidP="00584948">
      <w:pPr>
        <w:spacing w:before="0" w:after="0"/>
        <w:jc w:val="left"/>
        <w:rPr>
          <w:b/>
          <w:bCs/>
          <w:caps/>
          <w:kern w:val="28"/>
          <w:sz w:val="28"/>
          <w:szCs w:val="32"/>
          <w:lang w:eastAsia="zh-CN"/>
        </w:rPr>
      </w:pPr>
    </w:p>
    <w:p w14:paraId="659B8295" w14:textId="2FDC769C" w:rsidR="00845CE3" w:rsidRDefault="00845CE3" w:rsidP="00845CE3">
      <w:pPr>
        <w:pStyle w:val="Title"/>
      </w:pPr>
      <w:r w:rsidRPr="00072ACB">
        <w:t xml:space="preserve">THE IMPACT OF INVESTOR SENTIMENT ON REITS: </w:t>
      </w:r>
      <w:r w:rsidRPr="00727BC2">
        <w:t xml:space="preserve">AN EMPIRICAL STUDY </w:t>
      </w:r>
      <w:r w:rsidR="00975685" w:rsidRPr="00727BC2">
        <w:t>of</w:t>
      </w:r>
      <w:r w:rsidRPr="00727BC2">
        <w:t xml:space="preserve"> THE AUSTRALIAN REIT MARKET</w:t>
      </w:r>
    </w:p>
    <w:p w14:paraId="168EE215" w14:textId="75F70342" w:rsidR="000427B3" w:rsidRDefault="000427B3" w:rsidP="000427B3">
      <w:pPr>
        <w:pStyle w:val="Authors"/>
      </w:pPr>
      <w:r>
        <w:rPr>
          <w:szCs w:val="22"/>
        </w:rPr>
        <w:t>J</w:t>
      </w:r>
      <w:r w:rsidR="006D3B4C">
        <w:rPr>
          <w:szCs w:val="22"/>
        </w:rPr>
        <w:t xml:space="preserve">iawei </w:t>
      </w:r>
      <w:r w:rsidR="00BD09B0">
        <w:rPr>
          <w:szCs w:val="22"/>
        </w:rPr>
        <w:t>C</w:t>
      </w:r>
      <w:r w:rsidR="006D3B4C">
        <w:rPr>
          <w:szCs w:val="22"/>
        </w:rPr>
        <w:t>ao</w:t>
      </w:r>
      <w:r>
        <w:t xml:space="preserve"> and </w:t>
      </w:r>
      <w:r w:rsidR="00BD09B0">
        <w:t>W</w:t>
      </w:r>
      <w:r w:rsidR="006D3B4C">
        <w:t xml:space="preserve">ejendra </w:t>
      </w:r>
      <w:r w:rsidR="00BD09B0">
        <w:t>R</w:t>
      </w:r>
      <w:r w:rsidR="006D3B4C">
        <w:t>eddy</w:t>
      </w:r>
    </w:p>
    <w:p w14:paraId="02840CA9" w14:textId="77777777" w:rsidR="000427B3" w:rsidRDefault="000427B3" w:rsidP="000427B3">
      <w:pPr>
        <w:pStyle w:val="Authors"/>
      </w:pPr>
      <w:r>
        <w:t>RMIT University</w:t>
      </w:r>
    </w:p>
    <w:p w14:paraId="1CCC8546" w14:textId="77777777" w:rsidR="006A60A6" w:rsidRDefault="006A60A6" w:rsidP="006B148F"/>
    <w:p w14:paraId="1175A8FF" w14:textId="6F2941C1" w:rsidR="008E12A6" w:rsidRDefault="008E12A6" w:rsidP="008E12A6">
      <w:pPr>
        <w:pStyle w:val="Heading1"/>
      </w:pPr>
      <w:r>
        <w:t>Abstr</w:t>
      </w:r>
      <w:r w:rsidRPr="00FC7D67">
        <w:t>act</w:t>
      </w:r>
      <w:r w:rsidR="00496F0D">
        <w:t xml:space="preserve"> </w:t>
      </w:r>
    </w:p>
    <w:p w14:paraId="09A149DD" w14:textId="0240C8BC" w:rsidR="00B14576" w:rsidRPr="00B14576" w:rsidRDefault="00B14576" w:rsidP="00B14576">
      <w:pPr>
        <w:pStyle w:val="Abstract"/>
        <w:rPr>
          <w:szCs w:val="22"/>
        </w:rPr>
      </w:pPr>
      <w:r w:rsidRPr="00B14576">
        <w:rPr>
          <w:szCs w:val="22"/>
        </w:rPr>
        <w:t xml:space="preserve">This study investigates the impact of investor sentiment on </w:t>
      </w:r>
      <w:r w:rsidRPr="00BB4169">
        <w:rPr>
          <w:szCs w:val="22"/>
        </w:rPr>
        <w:t>the Australian REIT (A-REIT) market. A-REIT</w:t>
      </w:r>
      <w:r w:rsidR="00CA033F" w:rsidRPr="00BB4169">
        <w:rPr>
          <w:szCs w:val="22"/>
        </w:rPr>
        <w:t>s</w:t>
      </w:r>
      <w:r w:rsidRPr="00BB4169">
        <w:rPr>
          <w:szCs w:val="22"/>
        </w:rPr>
        <w:t xml:space="preserve"> trade publicly as stocks, offer high liquidity, and play a critical role in constructing well-diversified portfolios</w:t>
      </w:r>
      <w:r w:rsidRPr="00B14576">
        <w:rPr>
          <w:szCs w:val="22"/>
        </w:rPr>
        <w:t xml:space="preserve"> and improving returns. This study drew related behavioural finance theories to formulate</w:t>
      </w:r>
      <w:r w:rsidR="00AB6063">
        <w:rPr>
          <w:szCs w:val="22"/>
        </w:rPr>
        <w:t xml:space="preserve"> </w:t>
      </w:r>
      <w:r w:rsidRPr="00B14576">
        <w:rPr>
          <w:szCs w:val="22"/>
        </w:rPr>
        <w:t>literature discussion on investor sentiment and its impact. The empirical study ad</w:t>
      </w:r>
      <w:r w:rsidR="00F73263">
        <w:rPr>
          <w:szCs w:val="22"/>
        </w:rPr>
        <w:t>o</w:t>
      </w:r>
      <w:r w:rsidRPr="00B14576">
        <w:rPr>
          <w:szCs w:val="22"/>
        </w:rPr>
        <w:t xml:space="preserve">pted the Fama-French three-factor model using 2006-2021 A-REITs data. </w:t>
      </w:r>
      <w:r>
        <w:rPr>
          <w:szCs w:val="22"/>
        </w:rPr>
        <w:t>In measuring investor sentiment of A-REITs, sentiment proxies are constructed based on</w:t>
      </w:r>
      <w:r w:rsidR="007823FD">
        <w:rPr>
          <w:szCs w:val="22"/>
        </w:rPr>
        <w:t xml:space="preserve"> </w:t>
      </w:r>
      <w:r w:rsidR="00071591" w:rsidRPr="00071591">
        <w:rPr>
          <w:szCs w:val="22"/>
        </w:rPr>
        <w:t>Westpac Melbourne Institute Consumer Sentiment Index (WM Index) and ANZ-Roy Morgan Consumer Confidence Index (AR Index).</w:t>
      </w:r>
      <w:r w:rsidR="008E1E00">
        <w:rPr>
          <w:szCs w:val="22"/>
        </w:rPr>
        <w:t xml:space="preserve"> </w:t>
      </w:r>
      <w:r w:rsidRPr="00B14576">
        <w:rPr>
          <w:szCs w:val="22"/>
        </w:rPr>
        <w:t xml:space="preserve">Results of </w:t>
      </w:r>
      <w:r w:rsidR="002D623E">
        <w:rPr>
          <w:szCs w:val="22"/>
        </w:rPr>
        <w:t xml:space="preserve">the </w:t>
      </w:r>
      <w:r w:rsidRPr="00B14576">
        <w:rPr>
          <w:szCs w:val="22"/>
        </w:rPr>
        <w:t>empirical study indicate that significant relationship</w:t>
      </w:r>
      <w:r w:rsidR="00E56FB8">
        <w:rPr>
          <w:szCs w:val="22"/>
        </w:rPr>
        <w:t>s</w:t>
      </w:r>
      <w:r w:rsidRPr="00B14576">
        <w:rPr>
          <w:szCs w:val="22"/>
        </w:rPr>
        <w:t xml:space="preserve"> can be identified between A-REITs return</w:t>
      </w:r>
      <w:r w:rsidR="00104410">
        <w:rPr>
          <w:szCs w:val="22"/>
        </w:rPr>
        <w:t>s</w:t>
      </w:r>
      <w:r w:rsidRPr="00B14576">
        <w:rPr>
          <w:szCs w:val="22"/>
        </w:rPr>
        <w:t xml:space="preserve"> and investor sentiment proxies. A-REITs returns increase (decrease) when investor sentiment is optimistic (pessimistic). This study will provide market participants</w:t>
      </w:r>
      <w:r w:rsidR="0008063D">
        <w:rPr>
          <w:szCs w:val="22"/>
        </w:rPr>
        <w:t xml:space="preserve"> with </w:t>
      </w:r>
      <w:r w:rsidRPr="00B14576">
        <w:rPr>
          <w:szCs w:val="22"/>
        </w:rPr>
        <w:t>a better understanding of the risk and return characteristics,</w:t>
      </w:r>
      <w:r w:rsidR="00191AAD">
        <w:rPr>
          <w:szCs w:val="22"/>
        </w:rPr>
        <w:t xml:space="preserve"> and</w:t>
      </w:r>
      <w:r w:rsidRPr="00B14576">
        <w:rPr>
          <w:szCs w:val="22"/>
        </w:rPr>
        <w:t xml:space="preserve"> also suggest ways to improve risk management and investment decision</w:t>
      </w:r>
      <w:r w:rsidR="001D775C">
        <w:rPr>
          <w:szCs w:val="22"/>
        </w:rPr>
        <w:t>-</w:t>
      </w:r>
      <w:r w:rsidRPr="00B14576">
        <w:rPr>
          <w:szCs w:val="22"/>
        </w:rPr>
        <w:t>making strategies.</w:t>
      </w:r>
    </w:p>
    <w:p w14:paraId="589F7C73" w14:textId="77777777" w:rsidR="009C0408" w:rsidRDefault="009C0408" w:rsidP="003F6281">
      <w:pPr>
        <w:rPr>
          <w:lang w:eastAsia="zh-CN"/>
        </w:rPr>
      </w:pPr>
    </w:p>
    <w:p w14:paraId="769D5424" w14:textId="6218486E" w:rsidR="003F6281" w:rsidRDefault="00ED1D42" w:rsidP="003F6281">
      <w:pPr>
        <w:rPr>
          <w:szCs w:val="22"/>
        </w:rPr>
      </w:pPr>
      <w:r w:rsidRPr="0005361A">
        <w:rPr>
          <w:szCs w:val="22"/>
        </w:rPr>
        <w:t xml:space="preserve">Keywords: </w:t>
      </w:r>
      <w:r w:rsidR="00D16784">
        <w:rPr>
          <w:szCs w:val="22"/>
        </w:rPr>
        <w:t>REITs, Investor sentiment, Behavioural finance</w:t>
      </w:r>
      <w:r w:rsidR="003F6281" w:rsidRPr="003F6281">
        <w:rPr>
          <w:szCs w:val="22"/>
        </w:rPr>
        <w:t>, A</w:t>
      </w:r>
      <w:r w:rsidR="002B78F3">
        <w:rPr>
          <w:szCs w:val="22"/>
        </w:rPr>
        <w:t xml:space="preserve">ustralian </w:t>
      </w:r>
      <w:r w:rsidR="003F6281" w:rsidRPr="003F6281">
        <w:rPr>
          <w:szCs w:val="22"/>
        </w:rPr>
        <w:t>REITs</w:t>
      </w:r>
      <w:r w:rsidR="003F6281">
        <w:rPr>
          <w:szCs w:val="22"/>
        </w:rPr>
        <w:t>,</w:t>
      </w:r>
      <w:r w:rsidR="00E21A78">
        <w:rPr>
          <w:szCs w:val="22"/>
        </w:rPr>
        <w:t xml:space="preserve"> Fama-French</w:t>
      </w:r>
      <w:r w:rsidR="00B80E7B">
        <w:rPr>
          <w:szCs w:val="22"/>
        </w:rPr>
        <w:t xml:space="preserve"> </w:t>
      </w:r>
      <w:r w:rsidR="00633BB7">
        <w:rPr>
          <w:szCs w:val="22"/>
        </w:rPr>
        <w:t>factors</w:t>
      </w:r>
    </w:p>
    <w:p w14:paraId="7AA72410" w14:textId="77777777" w:rsidR="00E510B9" w:rsidRPr="003F6281" w:rsidRDefault="00E510B9" w:rsidP="003F6281">
      <w:pPr>
        <w:rPr>
          <w:szCs w:val="22"/>
        </w:rPr>
      </w:pPr>
    </w:p>
    <w:p w14:paraId="6DEF2A30" w14:textId="77777777" w:rsidR="00182990" w:rsidRPr="00353C04" w:rsidRDefault="00182990" w:rsidP="00D3639B">
      <w:pPr>
        <w:pStyle w:val="Heading1"/>
      </w:pPr>
      <w:r w:rsidRPr="008B5BAD">
        <w:t>1 INTRODUCTION</w:t>
      </w:r>
    </w:p>
    <w:p w14:paraId="0B327358" w14:textId="11CA0D68" w:rsidR="00182990" w:rsidRPr="00D314D5" w:rsidRDefault="00182990" w:rsidP="00D3639B">
      <w:pPr>
        <w:rPr>
          <w:szCs w:val="22"/>
        </w:rPr>
      </w:pPr>
      <w:bookmarkStart w:id="0" w:name="OLE_LINK278"/>
      <w:bookmarkStart w:id="1" w:name="OLE_LINK279"/>
      <w:r w:rsidRPr="00D314D5">
        <w:rPr>
          <w:szCs w:val="22"/>
        </w:rPr>
        <w:t>With the development of behavioural finance, the impact of investor sentiment on financial market</w:t>
      </w:r>
      <w:r w:rsidR="0090748A">
        <w:rPr>
          <w:szCs w:val="22"/>
        </w:rPr>
        <w:t>s</w:t>
      </w:r>
      <w:r w:rsidRPr="00D314D5">
        <w:rPr>
          <w:szCs w:val="22"/>
        </w:rPr>
        <w:t xml:space="preserve"> has received increasing attention. Investor sentiment can be seen as a generalisation of the changes in the mindset and behavioural characteristics of market participants during the investment process. Behavioural finance recognises that investors have varying psychological characteristics which also influence their perception of risk and return when engaging in financial activities. Therefore, it is necessary to integrate the psychological factors of investors with financial market activities </w:t>
      </w:r>
      <w:r w:rsidRPr="00D314D5">
        <w:rPr>
          <w:szCs w:val="22"/>
        </w:rPr>
        <w:fldChar w:fldCharType="begin">
          <w:fldData xml:space="preserve">PEVuZE5vdGU+PENpdGU+PEF1dGhvcj5TaGVmcmluPC9BdXRob3I+PFllYXI+MjAwMDwvWWVhcj48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</w:fldData>
        </w:fldChar>
      </w:r>
      <w:r w:rsidRPr="00D314D5">
        <w:rPr>
          <w:szCs w:val="22"/>
        </w:rPr>
        <w:instrText xml:space="preserve"> ADDIN EN.CITE </w:instrText>
      </w:r>
      <w:r w:rsidRPr="00D314D5">
        <w:rPr>
          <w:szCs w:val="22"/>
        </w:rPr>
        <w:fldChar w:fldCharType="begin">
          <w:fldData xml:space="preserve">PEVuZE5vdGU+PENpdGU+PEF1dGhvcj5TaGVmcmluPC9BdXRob3I+PFllYXI+MjAwMDwvWWVhcj48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</w:fldData>
        </w:fldChar>
      </w:r>
      <w:r w:rsidRPr="00D314D5">
        <w:rPr>
          <w:szCs w:val="22"/>
        </w:rPr>
        <w:instrText xml:space="preserve"> ADDIN EN.CITE.DATA </w:instrText>
      </w:r>
      <w:r w:rsidRPr="00D314D5">
        <w:rPr>
          <w:szCs w:val="22"/>
        </w:rPr>
      </w:r>
      <w:r w:rsidRPr="00D314D5">
        <w:rPr>
          <w:szCs w:val="22"/>
        </w:rPr>
        <w:fldChar w:fldCharType="end"/>
      </w:r>
      <w:r w:rsidRPr="00D314D5">
        <w:rPr>
          <w:szCs w:val="22"/>
        </w:rPr>
      </w:r>
      <w:r w:rsidRPr="00D314D5">
        <w:rPr>
          <w:szCs w:val="22"/>
        </w:rPr>
        <w:fldChar w:fldCharType="separate"/>
      </w:r>
      <w:r w:rsidRPr="00D314D5">
        <w:rPr>
          <w:noProof/>
          <w:szCs w:val="22"/>
        </w:rPr>
        <w:t>(Kapoor &amp; Prosad 2017; Shefrin &amp; Statman 2000; Statman 2014)</w:t>
      </w:r>
      <w:r w:rsidRPr="00D314D5">
        <w:rPr>
          <w:szCs w:val="22"/>
        </w:rPr>
        <w:fldChar w:fldCharType="end"/>
      </w:r>
      <w:r w:rsidRPr="00D314D5">
        <w:rPr>
          <w:szCs w:val="22"/>
        </w:rPr>
        <w:t xml:space="preserve">. </w:t>
      </w:r>
    </w:p>
    <w:p w14:paraId="297FACD8" w14:textId="77777777" w:rsidR="00182990" w:rsidRPr="00D314D5" w:rsidRDefault="00182990" w:rsidP="00D3639B">
      <w:pPr>
        <w:rPr>
          <w:szCs w:val="22"/>
        </w:rPr>
      </w:pPr>
    </w:p>
    <w:p w14:paraId="2054A651" w14:textId="081BBE58" w:rsidR="00182990" w:rsidRPr="00BB4169" w:rsidRDefault="00182990" w:rsidP="00D3639B">
      <w:pPr>
        <w:rPr>
          <w:szCs w:val="22"/>
        </w:rPr>
      </w:pPr>
      <w:r w:rsidRPr="00BB4169">
        <w:rPr>
          <w:szCs w:val="22"/>
        </w:rPr>
        <w:t xml:space="preserve">Studies on investor sentiment in recent decades </w:t>
      </w:r>
      <w:r w:rsidR="00F75279" w:rsidRPr="00BB4169">
        <w:rPr>
          <w:szCs w:val="22"/>
        </w:rPr>
        <w:t xml:space="preserve">are </w:t>
      </w:r>
      <w:r w:rsidRPr="00BB4169">
        <w:rPr>
          <w:szCs w:val="22"/>
        </w:rPr>
        <w:t>on wider equit</w:t>
      </w:r>
      <w:r w:rsidR="00F75279" w:rsidRPr="00BB4169">
        <w:rPr>
          <w:szCs w:val="22"/>
        </w:rPr>
        <w:t>y</w:t>
      </w:r>
      <w:r w:rsidRPr="00BB4169">
        <w:rPr>
          <w:szCs w:val="22"/>
        </w:rPr>
        <w:t xml:space="preserve"> market</w:t>
      </w:r>
      <w:r w:rsidR="00F75279" w:rsidRPr="00BB4169">
        <w:rPr>
          <w:szCs w:val="22"/>
        </w:rPr>
        <w:t>s</w:t>
      </w:r>
      <w:r w:rsidRPr="00BB4169">
        <w:rPr>
          <w:szCs w:val="22"/>
        </w:rPr>
        <w:t>. However, only a small number of studies have discussed how investor sentiment affects REIT market</w:t>
      </w:r>
      <w:r w:rsidR="00737C86" w:rsidRPr="00BB4169">
        <w:rPr>
          <w:szCs w:val="22"/>
        </w:rPr>
        <w:t>s</w:t>
      </w:r>
      <w:r w:rsidRPr="00BB4169">
        <w:rPr>
          <w:szCs w:val="22"/>
        </w:rPr>
        <w:t>. When the search is narrowed down to the Australian REIT (A-REIT) market, the relevant literature is even more limited.</w:t>
      </w:r>
      <w:r w:rsidR="004F31E5" w:rsidRPr="00BB4169">
        <w:rPr>
          <w:szCs w:val="22"/>
        </w:rPr>
        <w:t xml:space="preserve"> </w:t>
      </w:r>
      <w:r w:rsidRPr="00BB4169">
        <w:rPr>
          <w:szCs w:val="22"/>
        </w:rPr>
        <w:t xml:space="preserve">The importance of REITs as an investment asset class cannot be ignored. Most REITs can be traded publicly as stocks, this high liquidity attracts investors </w:t>
      </w:r>
      <w:r w:rsidRPr="00BB4169">
        <w:rPr>
          <w:szCs w:val="22"/>
        </w:rPr>
        <w:fldChar w:fldCharType="begin"/>
      </w:r>
      <w:r w:rsidRPr="00BB4169">
        <w:rPr>
          <w:szCs w:val="22"/>
        </w:rPr>
        <w:instrText xml:space="preserve"> ADDIN EN.CITE &lt;EndNote&gt;&lt;Cite&gt;&lt;Author&gt;Chan&lt;/Author&gt;&lt;Year&gt;2003&lt;/Year&gt;&lt;RecNum&gt;258&lt;/RecNum&gt;&lt;DisplayText&gt;(Chan, SH, Erickson &amp;amp; Wang 2003)&lt;/DisplayText&gt;&lt;record&gt;&lt;rec-number&gt;258&lt;/rec-number&gt;&lt;foreign-keys&gt;&lt;key app="EN" db-id="e9xrw0ppjrxazme9sdavssd69wf90saf5s09" timestamp="1650998775" guid="e6e62765-04c8-4ea7-bb46-fb3910903427"&gt;258&lt;/key&gt;&lt;/foreign-keys&gt;&lt;ref-type name="Book"&gt;6&lt;/ref-type&gt;&lt;contributors&gt;&lt;authors&gt;&lt;author&gt;Chan, Su Han&lt;/author&gt;&lt;author&gt;Erickson, John&lt;/author&gt;&lt;author&gt;Wang, Ko&lt;/author&gt;&lt;/authors&gt;&lt;/contributors&gt;&lt;titles&gt;&lt;title&gt;Real estate investment trusts : structure, performance, and investment opportunities&lt;/title&gt;&lt;secondary-title&gt;Financial Management Association survey and synthesis series&lt;/secondary-title&gt;&lt;/titles&gt;&lt;keywords&gt;&lt;keyword&gt;Real estate investment trusts&lt;/keyword&gt;&lt;/keywords&gt;&lt;dates&gt;&lt;year&gt;2003&lt;/year&gt;&lt;/dates&gt;&lt;pub-location&gt;Oxford ;&lt;/pub-location&gt;&lt;publisher&gt;Oxford University Press&lt;/publisher&gt;&lt;isbn&gt;0195155343&lt;/isbn&gt;&lt;urls&gt;&lt;/urls&gt;&lt;/record&gt;&lt;/Cite&gt;&lt;/EndNote&gt;</w:instrText>
      </w:r>
      <w:r w:rsidRPr="00BB4169">
        <w:rPr>
          <w:szCs w:val="22"/>
        </w:rPr>
        <w:fldChar w:fldCharType="separate"/>
      </w:r>
      <w:r w:rsidRPr="00BB4169">
        <w:rPr>
          <w:noProof/>
          <w:szCs w:val="22"/>
        </w:rPr>
        <w:t>(Chan, SH, Erickson &amp; Wang 2003)</w:t>
      </w:r>
      <w:r w:rsidRPr="00BB4169">
        <w:rPr>
          <w:szCs w:val="22"/>
        </w:rPr>
        <w:fldChar w:fldCharType="end"/>
      </w:r>
      <w:r w:rsidRPr="00BB4169">
        <w:rPr>
          <w:szCs w:val="22"/>
        </w:rPr>
        <w:t xml:space="preserve">. Furthermore, as </w:t>
      </w:r>
      <w:r w:rsidRPr="00BB4169">
        <w:rPr>
          <w:szCs w:val="22"/>
        </w:rPr>
        <w:fldChar w:fldCharType="begin"/>
      </w:r>
      <w:r w:rsidRPr="00BB4169">
        <w:rPr>
          <w:szCs w:val="22"/>
        </w:rPr>
        <w:instrText xml:space="preserve"> ADDIN EN.CITE &lt;EndNote&gt;&lt;Cite AuthorYear="1"&gt;&lt;Author&gt;Stephen&lt;/Author&gt;&lt;Year&gt;2005&lt;/Year&gt;&lt;RecNum&gt;150&lt;/RecNum&gt;&lt;DisplayText&gt;Stephen and Simon (2005)&lt;/DisplayText&gt;&lt;record&gt;&lt;rec-number&gt;150&lt;/rec-number&gt;&lt;foreign-keys&gt;&lt;key app="EN" db-id="e9xrw0ppjrxazme9sdavssd69wf90saf5s09" timestamp="1643052876" guid="1690cc49-c69c-474c-96f3-40a7ec4b1ad6"&gt;150&lt;/key&gt;&lt;/foreign-keys&gt;&lt;ref-type name="Journal Article"&gt;17&lt;/ref-type&gt;&lt;contributors&gt;&lt;authors&gt;&lt;author&gt;Stephen, Lee&lt;/author&gt;&lt;author&gt;Simon, Stevenson&lt;/author&gt;&lt;/authors&gt;&lt;/contributors&gt;&lt;titles&gt;&lt;title&gt;The case for REITs in the mixed-asset portfolio in the short and long run&lt;/title&gt;&lt;secondary-title&gt;Journal of Real Estate Portfolio Management&lt;/secondary-title&gt;&lt;/titles&gt;&lt;periodical&gt;&lt;full-title&gt;Journal of Real Estate Portfolio Management&lt;/full-title&gt;&lt;/periodical&gt;&lt;pages&gt;55-80&lt;/pages&gt;&lt;volume&gt;11&lt;/volume&gt;&lt;number&gt;1&lt;/number&gt;&lt;dates&gt;&lt;year&gt;2005&lt;/year&gt;&lt;/dates&gt;&lt;isbn&gt;1083-5547&lt;/isbn&gt;&lt;urls&gt;&lt;/urls&gt;&lt;/record&gt;&lt;/Cite&gt;&lt;/EndNote&gt;</w:instrText>
      </w:r>
      <w:r w:rsidRPr="00BB4169">
        <w:rPr>
          <w:szCs w:val="22"/>
        </w:rPr>
        <w:fldChar w:fldCharType="separate"/>
      </w:r>
      <w:r w:rsidRPr="00BB4169">
        <w:rPr>
          <w:noProof/>
          <w:szCs w:val="22"/>
        </w:rPr>
        <w:t>Stephen and Simon (2005)</w:t>
      </w:r>
      <w:r w:rsidRPr="00BB4169">
        <w:rPr>
          <w:szCs w:val="22"/>
        </w:rPr>
        <w:fldChar w:fldCharType="end"/>
      </w:r>
      <w:r w:rsidRPr="00BB4169">
        <w:rPr>
          <w:szCs w:val="22"/>
        </w:rPr>
        <w:t xml:space="preserve"> point out REITs play a critical role in constructing a well-diversified portfolio and improving returns. </w:t>
      </w:r>
    </w:p>
    <w:p w14:paraId="6A7D3F93" w14:textId="77777777" w:rsidR="00182990" w:rsidRPr="00BB4169" w:rsidRDefault="00182990" w:rsidP="00D3639B">
      <w:pPr>
        <w:rPr>
          <w:szCs w:val="22"/>
        </w:rPr>
      </w:pPr>
      <w:r w:rsidRPr="00BB4169">
        <w:rPr>
          <w:szCs w:val="22"/>
        </w:rPr>
        <w:t xml:space="preserve"> </w:t>
      </w:r>
    </w:p>
    <w:p w14:paraId="61FCD58C" w14:textId="514A5CA8" w:rsidR="00182990" w:rsidRPr="00BB4169" w:rsidRDefault="00182990" w:rsidP="00D3639B">
      <w:pPr>
        <w:rPr>
          <w:szCs w:val="22"/>
        </w:rPr>
      </w:pPr>
      <w:r w:rsidRPr="00BB4169">
        <w:rPr>
          <w:szCs w:val="22"/>
        </w:rPr>
        <w:t xml:space="preserve">In Australia, the market capitalisation of A-REITs is A$138.66 billion as </w:t>
      </w:r>
      <w:r w:rsidR="00D92139" w:rsidRPr="00BB4169">
        <w:rPr>
          <w:szCs w:val="22"/>
        </w:rPr>
        <w:t>of</w:t>
      </w:r>
      <w:r w:rsidRPr="00BB4169">
        <w:rPr>
          <w:szCs w:val="22"/>
        </w:rPr>
        <w:t xml:space="preserve"> June 2023 </w:t>
      </w:r>
      <w:r w:rsidRPr="00BB4169">
        <w:rPr>
          <w:szCs w:val="22"/>
        </w:rPr>
        <w:fldChar w:fldCharType="begin"/>
      </w:r>
      <w:r w:rsidRPr="00BB4169">
        <w:rPr>
          <w:szCs w:val="22"/>
        </w:rPr>
        <w:instrText xml:space="preserve"> ADDIN EN.CITE &lt;EndNote&gt;&lt;Cite&gt;&lt;Author&gt;ASX&lt;/Author&gt;&lt;Year&gt;2023&lt;/Year&gt;&lt;RecNum&gt;923&lt;/RecNum&gt;&lt;DisplayText&gt;(ASX 2023)&lt;/DisplayText&gt;&lt;record&gt;&lt;rec-number&gt;923&lt;/rec-number&gt;&lt;foreign-keys&gt;&lt;key app="EN" db-id="e9xrw0ppjrxazme9sdavssd69wf90saf5s09" timestamp="1691372201" guid="6d70eef5-8959-4baa-a96b-65f81b9de568"&gt;923&lt;/key&gt;&lt;/foreign-keys&gt;&lt;ref-type name="Report"&gt;27&lt;/ref-type&gt;&lt;contributors&gt;&lt;authors&gt;&lt;author&gt;ASX&lt;/author&gt;&lt;/authors&gt;&lt;/contributors&gt;&lt;titles&gt;&lt;title&gt;ASX Investment Products Monthly Update - June 2023&lt;/title&gt;&lt;/titles&gt;&lt;dates&gt;&lt;year&gt;2023&lt;/year&gt;&lt;/dates&gt;&lt;urls&gt;&lt;/urls&gt;&lt;/record&gt;&lt;/Cite&gt;&lt;/EndNote&gt;</w:instrText>
      </w:r>
      <w:r w:rsidRPr="00BB4169">
        <w:rPr>
          <w:szCs w:val="22"/>
        </w:rPr>
        <w:fldChar w:fldCharType="separate"/>
      </w:r>
      <w:r w:rsidRPr="00BB4169">
        <w:rPr>
          <w:noProof/>
          <w:szCs w:val="22"/>
        </w:rPr>
        <w:t>(ASX 2023)</w:t>
      </w:r>
      <w:r w:rsidRPr="00BB4169">
        <w:rPr>
          <w:szCs w:val="22"/>
        </w:rPr>
        <w:fldChar w:fldCharType="end"/>
      </w:r>
      <w:r w:rsidRPr="00BB4169">
        <w:rPr>
          <w:szCs w:val="22"/>
        </w:rPr>
        <w:t xml:space="preserve">. A-REITs is one of the key indirect real estate investment vehicles for investors when accessing the Australian real estate market </w:t>
      </w:r>
      <w:r w:rsidRPr="00BB4169">
        <w:rPr>
          <w:szCs w:val="22"/>
        </w:rPr>
        <w:fldChar w:fldCharType="begin"/>
      </w:r>
      <w:r w:rsidRPr="00BB4169">
        <w:rPr>
          <w:szCs w:val="22"/>
        </w:rPr>
        <w:instrText xml:space="preserve"> ADDIN EN.CITE &lt;EndNote&gt;&lt;Cite&gt;&lt;Author&gt;Rowland&lt;/Author&gt;&lt;Year&gt;2010&lt;/Year&gt;&lt;RecNum&gt;186&lt;/RecNum&gt;&lt;DisplayText&gt;(Rowland 2010)&lt;/DisplayText&gt;&lt;record&gt;&lt;rec-number&gt;186&lt;/rec-number&gt;&lt;foreign-keys&gt;&lt;key app="EN" db-id="e9xrw0ppjrxazme9sdavssd69wf90saf5s09" timestamp="1647810366" guid="9cdd3725-e31e-4dbe-9e08-e74e5a774d8e"&gt;186&lt;/key&gt;&lt;/foreign-keys&gt;&lt;ref-type name="Book"&gt;6&lt;/ref-type&gt;&lt;contributors&gt;&lt;authors&gt;&lt;author&gt;Rowland, Patrick J&lt;/author&gt;&lt;/authors&gt;&lt;/contributors&gt;&lt;titles&gt;&lt;title&gt;Australian property investment and financing&lt;/title&gt;&lt;/titles&gt;&lt;dates&gt;&lt;year&gt;2010&lt;/year&gt;&lt;/dates&gt;&lt;publisher&gt;Thomson Reuters (Professional) Australia&lt;/publisher&gt;&lt;isbn&gt;0455224323&lt;/isbn&gt;&lt;urls&gt;&lt;/urls&gt;&lt;/record&gt;&lt;/Cite&gt;&lt;/EndNote&gt;</w:instrText>
      </w:r>
      <w:r w:rsidRPr="00BB4169">
        <w:rPr>
          <w:szCs w:val="22"/>
        </w:rPr>
        <w:fldChar w:fldCharType="separate"/>
      </w:r>
      <w:r w:rsidRPr="00BB4169">
        <w:rPr>
          <w:noProof/>
          <w:szCs w:val="22"/>
        </w:rPr>
        <w:t>(Rowland 2010)</w:t>
      </w:r>
      <w:r w:rsidRPr="00BB4169">
        <w:rPr>
          <w:szCs w:val="22"/>
        </w:rPr>
        <w:fldChar w:fldCharType="end"/>
      </w:r>
      <w:r w:rsidRPr="00BB4169">
        <w:rPr>
          <w:szCs w:val="22"/>
        </w:rPr>
        <w:t>. However, in recent years, the A-REITs industry has experienced unparalleled conditions post</w:t>
      </w:r>
      <w:r w:rsidR="00A55338" w:rsidRPr="00BB4169">
        <w:rPr>
          <w:szCs w:val="22"/>
        </w:rPr>
        <w:t>-</w:t>
      </w:r>
      <w:r w:rsidRPr="00BB4169">
        <w:rPr>
          <w:szCs w:val="22"/>
        </w:rPr>
        <w:t xml:space="preserve">COVID-19 pandemic after endured a tremendous shock during the pandemic. Therefore, it is necessary and meaningful to conduct research on investor sentiment for the </w:t>
      </w:r>
      <w:r w:rsidR="00A95314" w:rsidRPr="00BB4169">
        <w:rPr>
          <w:szCs w:val="22"/>
        </w:rPr>
        <w:t>A-</w:t>
      </w:r>
      <w:r w:rsidRPr="00BB4169">
        <w:rPr>
          <w:szCs w:val="22"/>
        </w:rPr>
        <w:t xml:space="preserve">REIT market. </w:t>
      </w:r>
    </w:p>
    <w:bookmarkEnd w:id="0"/>
    <w:bookmarkEnd w:id="1"/>
    <w:p w14:paraId="3B995252" w14:textId="77777777" w:rsidR="00182990" w:rsidRPr="00BB4169" w:rsidRDefault="00182990" w:rsidP="00D3639B">
      <w:pPr>
        <w:rPr>
          <w:szCs w:val="22"/>
        </w:rPr>
      </w:pPr>
    </w:p>
    <w:p w14:paraId="03F7F44D" w14:textId="3929DFDE" w:rsidR="00182990" w:rsidRPr="008D2E0A" w:rsidRDefault="00182990" w:rsidP="00D3639B">
      <w:pPr>
        <w:rPr>
          <w:szCs w:val="22"/>
        </w:rPr>
      </w:pPr>
      <w:r w:rsidRPr="00BB4169">
        <w:rPr>
          <w:szCs w:val="22"/>
        </w:rPr>
        <w:t>Based on the background, this study will investigate the impact o</w:t>
      </w:r>
      <w:r w:rsidR="00213C4E" w:rsidRPr="00BB4169">
        <w:rPr>
          <w:szCs w:val="22"/>
        </w:rPr>
        <w:t>f</w:t>
      </w:r>
      <w:r w:rsidRPr="00BB4169">
        <w:rPr>
          <w:szCs w:val="22"/>
        </w:rPr>
        <w:t xml:space="preserve"> investor sentiment on the Real Estate Investment Trusts (REITs) in Australia. It will select behavioural finance as the entry point to summarise theories and results related to investor sentiment through literature research and systematically explain the </w:t>
      </w:r>
      <w:r w:rsidRPr="00BB4169">
        <w:rPr>
          <w:szCs w:val="22"/>
        </w:rPr>
        <w:lastRenderedPageBreak/>
        <w:t xml:space="preserve">characteristics and measurement techniques of investor sentiment and its impact on the </w:t>
      </w:r>
      <w:r w:rsidR="006F0CC4" w:rsidRPr="00BB4169">
        <w:rPr>
          <w:szCs w:val="22"/>
        </w:rPr>
        <w:t>A-</w:t>
      </w:r>
      <w:r w:rsidRPr="00BB4169">
        <w:rPr>
          <w:szCs w:val="22"/>
        </w:rPr>
        <w:t>REIT market. The purpose of this study is to provide market participants with a better understanding of the risk and return</w:t>
      </w:r>
      <w:r w:rsidRPr="00D314D5">
        <w:rPr>
          <w:szCs w:val="22"/>
        </w:rPr>
        <w:t xml:space="preserve"> </w:t>
      </w:r>
      <w:r w:rsidRPr="008D2E0A">
        <w:rPr>
          <w:szCs w:val="22"/>
        </w:rPr>
        <w:t>characteristics, as well as the market dynamics, of A-REIT</w:t>
      </w:r>
      <w:r w:rsidR="00B25DBC" w:rsidRPr="008D2E0A">
        <w:rPr>
          <w:szCs w:val="22"/>
        </w:rPr>
        <w:t xml:space="preserve"> market</w:t>
      </w:r>
      <w:r w:rsidRPr="008D2E0A">
        <w:rPr>
          <w:szCs w:val="22"/>
        </w:rPr>
        <w:t>. Also, it will</w:t>
      </w:r>
      <w:r w:rsidR="00CF1D62" w:rsidRPr="008D2E0A">
        <w:rPr>
          <w:szCs w:val="22"/>
        </w:rPr>
        <w:t xml:space="preserve"> </w:t>
      </w:r>
      <w:r w:rsidRPr="008D2E0A">
        <w:rPr>
          <w:szCs w:val="22"/>
        </w:rPr>
        <w:t xml:space="preserve">suggest ways to improve the risk management framework and investment strategies to respond </w:t>
      </w:r>
      <w:r w:rsidR="00CF1D62" w:rsidRPr="008D2E0A">
        <w:rPr>
          <w:szCs w:val="22"/>
        </w:rPr>
        <w:t xml:space="preserve">to </w:t>
      </w:r>
      <w:r w:rsidRPr="008D2E0A">
        <w:rPr>
          <w:szCs w:val="22"/>
        </w:rPr>
        <w:t xml:space="preserve">the impact of investor sentiment. </w:t>
      </w:r>
    </w:p>
    <w:p w14:paraId="4487CD8E" w14:textId="77777777" w:rsidR="00182990" w:rsidRPr="008D2E0A" w:rsidRDefault="00182990" w:rsidP="00D3639B">
      <w:pPr>
        <w:rPr>
          <w:szCs w:val="22"/>
        </w:rPr>
      </w:pPr>
    </w:p>
    <w:p w14:paraId="28E589CB" w14:textId="77777777" w:rsidR="00182990" w:rsidRPr="008D2E0A" w:rsidRDefault="00182990" w:rsidP="00D3639B">
      <w:pPr>
        <w:pStyle w:val="Heading2"/>
      </w:pPr>
      <w:r w:rsidRPr="008D2E0A">
        <w:t>2 LITERATURE REVIEW</w:t>
      </w:r>
    </w:p>
    <w:p w14:paraId="08E3F5FC" w14:textId="06D2EEDF" w:rsidR="00182990" w:rsidRPr="008D2E0A" w:rsidRDefault="00182990" w:rsidP="00D3639B">
      <w:pPr>
        <w:pStyle w:val="Heading2"/>
      </w:pPr>
      <w:r w:rsidRPr="008D2E0A">
        <w:t>2.1 Australian Real Estate Investment Trust (A-REIT) Market</w:t>
      </w:r>
    </w:p>
    <w:p w14:paraId="2C6071BB" w14:textId="254B62BF" w:rsidR="00182990" w:rsidRPr="008D2E0A" w:rsidRDefault="00182990" w:rsidP="00D3639B">
      <w:pPr>
        <w:rPr>
          <w:szCs w:val="22"/>
        </w:rPr>
      </w:pPr>
      <w:r w:rsidRPr="008D2E0A">
        <w:rPr>
          <w:szCs w:val="22"/>
        </w:rPr>
        <w:t xml:space="preserve">Australian Real Estate Investment Trusts, usually abbreviated as Australian REITs or A-REITs, are defined as unit trusts under the regulation in Australia. Generally, Australian REITs are not taxable entities because they have a ‘flow-through’ tax status </w:t>
      </w:r>
      <w:r w:rsidRPr="008D2E0A">
        <w:rPr>
          <w:szCs w:val="22"/>
        </w:rPr>
        <w:fldChar w:fldCharType="begin"/>
      </w:r>
      <w:r w:rsidRPr="008D2E0A">
        <w:rPr>
          <w:szCs w:val="22"/>
        </w:rPr>
        <w:instrText xml:space="preserve"> ADDIN EN.CITE &lt;EndNote&gt;&lt;Cite&gt;&lt;Author&gt;Simontacchi&lt;/Author&gt;&lt;Year&gt;2010&lt;/Year&gt;&lt;RecNum&gt;199&lt;/RecNum&gt;&lt;DisplayText&gt;(Rowland 2010; Simontacchi &amp;amp; Stoschek 2010)&lt;/DisplayText&gt;&lt;record&gt;&lt;rec-number&gt;199&lt;/rec-number&gt;&lt;foreign-keys&gt;&lt;key app="EN" db-id="e9xrw0ppjrxazme9sdavssd69wf90saf5s09" timestamp="1648619460" guid="8c8f7de2-b41a-4c1b-b720-78e22d422d86"&gt;199&lt;/key&gt;&lt;/foreign-keys&gt;&lt;ref-type name="Book"&gt;6&lt;/ref-type&gt;&lt;contributors&gt;&lt;authors&gt;&lt;author&gt;Simontacchi, Stefano&lt;/author&gt;&lt;author&gt;Stoschek, Uwe&lt;/author&gt;&lt;/authors&gt;&lt;/contributors&gt;&lt;titles&gt;&lt;title&gt;Guide to global real estate investment trusts&lt;/title&gt;&lt;/titles&gt;&lt;keywords&gt;&lt;keyword&gt;Real property tax -- Law and legislation&lt;/keyword&gt;&lt;keyword&gt;Real estate investment trusts&lt;/keyword&gt;&lt;keyword&gt;Real estate investment trusts -- Taxation&lt;/keyword&gt;&lt;/keywords&gt;&lt;dates&gt;&lt;year&gt;2010&lt;/year&gt;&lt;/dates&gt;&lt;pub-location&gt;Austin, Tex. : Biggleswade&lt;/pub-location&gt;&lt;publisher&gt;Wolters Kluwer, Law &amp;amp; Business ; Distributed by Turpin Distribution Services&lt;/publisher&gt;&lt;isbn&gt;9789041128461&lt;/isbn&gt;&lt;urls&gt;&lt;/urls&gt;&lt;/record&gt;&lt;/Cite&gt;&lt;Cite&gt;&lt;Author&gt;Rowland&lt;/Author&gt;&lt;Year&gt;2010&lt;/Year&gt;&lt;RecNum&gt;186&lt;/RecNum&gt;&lt;record&gt;&lt;rec-number&gt;186&lt;/rec-number&gt;&lt;foreign-keys&gt;&lt;key app="EN" db-id="e9xrw0ppjrxazme9sdavssd69wf90saf5s09" timestamp="1647810366" guid="9cdd3725-e31e-4dbe-9e08-e74e5a774d8e"&gt;186&lt;/key&gt;&lt;/foreign-keys&gt;&lt;ref-type name="Book"&gt;6&lt;/ref-type&gt;&lt;contributors&gt;&lt;authors&gt;&lt;author&gt;Rowland, Patrick J&lt;/author&gt;&lt;/authors&gt;&lt;/contributors&gt;&lt;titles&gt;&lt;title&gt;Australian property investment and financing&lt;/title&gt;&lt;/titles&gt;&lt;dates&gt;&lt;year&gt;2010&lt;/year&gt;&lt;/dates&gt;&lt;publisher&gt;Thomson Reuters (Professional) Australia&lt;/publisher&gt;&lt;isbn&gt;0455224323&lt;/isbn&gt;&lt;urls&gt;&lt;/urls&gt;&lt;/record&gt;&lt;/Cite&gt;&lt;/EndNote&gt;</w:instrText>
      </w:r>
      <w:r w:rsidRPr="008D2E0A">
        <w:rPr>
          <w:szCs w:val="22"/>
        </w:rPr>
        <w:fldChar w:fldCharType="separate"/>
      </w:r>
      <w:r w:rsidRPr="008D2E0A">
        <w:rPr>
          <w:szCs w:val="22"/>
        </w:rPr>
        <w:t>(Rowland 2010; Simontacchi &amp; Stoschek 2010)</w:t>
      </w:r>
      <w:r w:rsidRPr="008D2E0A">
        <w:rPr>
          <w:szCs w:val="22"/>
        </w:rPr>
        <w:fldChar w:fldCharType="end"/>
      </w:r>
      <w:r w:rsidRPr="008D2E0A">
        <w:rPr>
          <w:szCs w:val="22"/>
        </w:rPr>
        <w:t xml:space="preserve">. The research focus for this paper is specific to Australian REITs that </w:t>
      </w:r>
      <w:r w:rsidR="0043687A" w:rsidRPr="008D2E0A">
        <w:rPr>
          <w:szCs w:val="22"/>
        </w:rPr>
        <w:t>are</w:t>
      </w:r>
      <w:r w:rsidRPr="008D2E0A">
        <w:rPr>
          <w:szCs w:val="22"/>
        </w:rPr>
        <w:t xml:space="preserve"> listed on the Australian Securities Exchange (ASX) and therefore references to Australian REITs and A-REITs in the subsequent narrative and discussion refer to such only. </w:t>
      </w:r>
    </w:p>
    <w:p w14:paraId="0AF7DAB8" w14:textId="77777777" w:rsidR="00182990" w:rsidRPr="008D2E0A" w:rsidRDefault="00182990" w:rsidP="00D3639B">
      <w:pPr>
        <w:rPr>
          <w:szCs w:val="22"/>
        </w:rPr>
      </w:pPr>
    </w:p>
    <w:p w14:paraId="618E78C4" w14:textId="62E1FAD9" w:rsidR="00182990" w:rsidRPr="008D2E0A" w:rsidRDefault="00182990" w:rsidP="00D3639B">
      <w:pPr>
        <w:rPr>
          <w:szCs w:val="22"/>
        </w:rPr>
      </w:pPr>
      <w:r w:rsidRPr="008D2E0A">
        <w:rPr>
          <w:szCs w:val="22"/>
        </w:rPr>
        <w:t xml:space="preserve">The history of Australian REIT market can be dated back as far as the early 1970s </w:t>
      </w:r>
      <w:r w:rsidRPr="008D2E0A">
        <w:rPr>
          <w:szCs w:val="22"/>
        </w:rPr>
        <w:fldChar w:fldCharType="begin"/>
      </w:r>
      <w:r w:rsidRPr="008D2E0A">
        <w:rPr>
          <w:szCs w:val="22"/>
        </w:rPr>
        <w:instrText xml:space="preserve"> ADDIN EN.CITE &lt;EndNote&gt;&lt;Cite&gt;&lt;Author&gt;Simontacchi&lt;/Author&gt;&lt;Year&gt;2010&lt;/Year&gt;&lt;RecNum&gt;199&lt;/RecNum&gt;&lt;DisplayText&gt;(Simontacchi &amp;amp; Stoschek 2010)&lt;/DisplayText&gt;&lt;record&gt;&lt;rec-number&gt;199&lt;/rec-number&gt;&lt;foreign-keys&gt;&lt;key app="EN" db-id="e9xrw0ppjrxazme9sdavssd69wf90saf5s09" timestamp="1648619460" guid="8c8f7de2-b41a-4c1b-b720-78e22d422d86"&gt;199&lt;/key&gt;&lt;/foreign-keys&gt;&lt;ref-type name="Book"&gt;6&lt;/ref-type&gt;&lt;contributors&gt;&lt;authors&gt;&lt;author&gt;Simontacchi, Stefano&lt;/author&gt;&lt;author&gt;Stoschek, Uwe&lt;/author&gt;&lt;/authors&gt;&lt;/contributors&gt;&lt;titles&gt;&lt;title&gt;Guide to global real estate investment trusts&lt;/title&gt;&lt;/titles&gt;&lt;keywords&gt;&lt;keyword&gt;Real property tax -- Law and legislation&lt;/keyword&gt;&lt;keyword&gt;Real estate investment trusts&lt;/keyword&gt;&lt;keyword&gt;Real estate investment trusts -- Taxation&lt;/keyword&gt;&lt;/keywords&gt;&lt;dates&gt;&lt;year&gt;2010&lt;/year&gt;&lt;/dates&gt;&lt;pub-location&gt;Austin, Tex. : Biggleswade&lt;/pub-location&gt;&lt;publisher&gt;Wolters Kluwer, Law &amp;amp; Business ; Distributed by Turpin Distribution Services&lt;/publisher&gt;&lt;isbn&gt;9789041128461&lt;/isbn&gt;&lt;urls&gt;&lt;/urls&gt;&lt;/record&gt;&lt;/Cite&gt;&lt;/EndNote&gt;</w:instrText>
      </w:r>
      <w:r w:rsidRPr="008D2E0A">
        <w:rPr>
          <w:szCs w:val="22"/>
        </w:rPr>
        <w:fldChar w:fldCharType="separate"/>
      </w:r>
      <w:r w:rsidRPr="008D2E0A">
        <w:rPr>
          <w:szCs w:val="22"/>
        </w:rPr>
        <w:t>(Simontacchi &amp; Stoschek 2010)</w:t>
      </w:r>
      <w:r w:rsidRPr="008D2E0A">
        <w:rPr>
          <w:szCs w:val="22"/>
        </w:rPr>
        <w:fldChar w:fldCharType="end"/>
      </w:r>
      <w:r w:rsidRPr="008D2E0A">
        <w:rPr>
          <w:szCs w:val="22"/>
        </w:rPr>
        <w:t xml:space="preserve">. The General Property Trust (now the GPT Group), as the first Australian REIT, listed in the Australian stock market in 1971 </w:t>
      </w:r>
      <w:r w:rsidRPr="008D2E0A">
        <w:rPr>
          <w:szCs w:val="22"/>
        </w:rPr>
        <w:fldChar w:fldCharType="begin"/>
      </w:r>
      <w:r w:rsidRPr="008D2E0A">
        <w:rPr>
          <w:szCs w:val="22"/>
        </w:rPr>
        <w:instrText xml:space="preserve"> ADDIN EN.CITE &lt;EndNote&gt;&lt;Cite&gt;&lt;Author&gt;PCA&lt;/Author&gt;&lt;Year&gt;2017&lt;/Year&gt;&lt;RecNum&gt;60&lt;/RecNum&gt;&lt;DisplayText&gt;(ASX 2022; PCA 2017)&lt;/DisplayText&gt;&lt;record&gt;&lt;rec-number&gt;60&lt;/rec-number&gt;&lt;foreign-keys&gt;&lt;key app="EN" db-id="e9xrw0ppjrxazme9sdavssd69wf90saf5s09" timestamp="1642785685" guid="0f4650fc-621a-46b7-bfb8-791f857ece24"&gt;60&lt;/key&gt;&lt;/foreign-keys&gt;&lt;ref-type name="Government Document"&gt;46&lt;/ref-type&gt;&lt;contributors&gt;&lt;authors&gt;&lt;author&gt;PCA&lt;/author&gt;&lt;/authors&gt;&lt;/contributors&gt;&lt;titles&gt;&lt;title&gt;Stapled Structures Consultation Paper&lt;/title&gt;&lt;/titles&gt;&lt;dates&gt;&lt;year&gt;2017&lt;/year&gt;&lt;/dates&gt;&lt;publisher&gt;Property Council of Australia&lt;/publisher&gt;&lt;urls&gt;&lt;related-urls&gt;&lt;url&gt;https://treasury.gov.au/sites/default/files/2019-03/c2017-t240634-Property-Council.pdf&lt;/url&gt;&lt;/related-urls&gt;&lt;/urls&gt;&lt;/record&gt;&lt;/Cite&gt;&lt;Cite&gt;&lt;Author&gt;ASX&lt;/Author&gt;&lt;Year&gt;2022&lt;/Year&gt;&lt;RecNum&gt;306&lt;/RecNum&gt;&lt;record&gt;&lt;rec-number&gt;306&lt;/rec-number&gt;&lt;foreign-keys&gt;&lt;key app="EN" db-id="e9xrw0ppjrxazme9sdavssd69wf90saf5s09" timestamp="1658707746" guid="1f6f2f1f-fb37-42ab-b87e-f159b509c88d"&gt;306&lt;/key&gt;&lt;/foreign-keys&gt;&lt;ref-type name="Web Page"&gt;12&lt;/ref-type&gt;&lt;contributors&gt;&lt;authors&gt;&lt;author&gt;ASX&lt;/author&gt;&lt;/authors&gt;&lt;/contributors&gt;&lt;titles&gt;&lt;title&gt;ASX Investment Products - A-REITs&lt;/title&gt;&lt;/titles&gt;&lt;volume&gt;2022&lt;/volume&gt;&lt;number&gt;25 July&lt;/number&gt;&lt;dates&gt;&lt;year&gt;2022&lt;/year&gt;&lt;/dates&gt;&lt;urls&gt;&lt;related-urls&gt;&lt;url&gt;https://www2.asx.com.au/markets/trade-our-cash-market/asx-investment-products-directory/areits&lt;/url&gt;&lt;/related-urls&gt;&lt;/urls&gt;&lt;/record&gt;&lt;/Cite&gt;&lt;/EndNote&gt;</w:instrText>
      </w:r>
      <w:r w:rsidRPr="008D2E0A">
        <w:rPr>
          <w:szCs w:val="22"/>
        </w:rPr>
        <w:fldChar w:fldCharType="separate"/>
      </w:r>
      <w:r w:rsidRPr="008D2E0A">
        <w:rPr>
          <w:noProof/>
          <w:szCs w:val="22"/>
        </w:rPr>
        <w:t>(ASX 2022; PCA 2017)</w:t>
      </w:r>
      <w:r w:rsidRPr="008D2E0A">
        <w:rPr>
          <w:szCs w:val="22"/>
        </w:rPr>
        <w:fldChar w:fldCharType="end"/>
      </w:r>
      <w:r w:rsidRPr="008D2E0A">
        <w:rPr>
          <w:szCs w:val="22"/>
        </w:rPr>
        <w:t xml:space="preserve">. Before </w:t>
      </w:r>
      <w:r w:rsidRPr="008D2E0A">
        <w:rPr>
          <w:rFonts w:hint="eastAsia"/>
          <w:szCs w:val="22"/>
        </w:rPr>
        <w:t>March</w:t>
      </w:r>
      <w:r w:rsidRPr="008D2E0A">
        <w:rPr>
          <w:szCs w:val="22"/>
        </w:rPr>
        <w:t xml:space="preserve"> 2008, this type of investment vehicle was also called the Listed Property Trusts (LPTs) </w:t>
      </w:r>
      <w:r w:rsidRPr="008D2E0A">
        <w:rPr>
          <w:rFonts w:hint="eastAsia"/>
          <w:szCs w:val="22"/>
        </w:rPr>
        <w:t>in</w:t>
      </w:r>
      <w:r w:rsidRPr="008D2E0A">
        <w:rPr>
          <w:szCs w:val="22"/>
        </w:rPr>
        <w:t xml:space="preserve"> Australia, and</w:t>
      </w:r>
      <w:r w:rsidR="007C0AE7" w:rsidRPr="008D2E0A">
        <w:rPr>
          <w:szCs w:val="22"/>
        </w:rPr>
        <w:t xml:space="preserve"> then</w:t>
      </w:r>
      <w:r w:rsidRPr="008D2E0A">
        <w:rPr>
          <w:szCs w:val="22"/>
        </w:rPr>
        <w:t xml:space="preserve"> it </w:t>
      </w:r>
      <w:r w:rsidR="007C0AE7" w:rsidRPr="008D2E0A">
        <w:rPr>
          <w:szCs w:val="22"/>
        </w:rPr>
        <w:t xml:space="preserve">was </w:t>
      </w:r>
      <w:r w:rsidRPr="008D2E0A">
        <w:rPr>
          <w:szCs w:val="22"/>
        </w:rPr>
        <w:t xml:space="preserve">renamed as REITs to be more consistent with international terms </w:t>
      </w:r>
      <w:r w:rsidRPr="008D2E0A">
        <w:rPr>
          <w:szCs w:val="22"/>
        </w:rPr>
        <w:fldChar w:fldCharType="begin"/>
      </w:r>
      <w:r w:rsidRPr="008D2E0A">
        <w:rPr>
          <w:szCs w:val="22"/>
        </w:rPr>
        <w:instrText xml:space="preserve"> ADDIN EN.CITE &lt;EndNote&gt;&lt;Cite&gt;&lt;Author&gt;Rowland&lt;/Author&gt;&lt;Year&gt;2010&lt;/Year&gt;&lt;RecNum&gt;186&lt;/RecNum&gt;&lt;DisplayText&gt;(Rowland 2010)&lt;/DisplayText&gt;&lt;record&gt;&lt;rec-number&gt;186&lt;/rec-number&gt;&lt;foreign-keys&gt;&lt;key app="EN" db-id="e9xrw0ppjrxazme9sdavssd69wf90saf5s09" timestamp="1647810366" guid="9cdd3725-e31e-4dbe-9e08-e74e5a774d8e"&gt;186&lt;/key&gt;&lt;/foreign-keys&gt;&lt;ref-type name="Book"&gt;6&lt;/ref-type&gt;&lt;contributors&gt;&lt;authors&gt;&lt;author&gt;Rowland, Patrick J&lt;/author&gt;&lt;/authors&gt;&lt;/contributors&gt;&lt;titles&gt;&lt;title&gt;Australian property investment and financing&lt;/title&gt;&lt;/titles&gt;&lt;dates&gt;&lt;year&gt;2010&lt;/year&gt;&lt;/dates&gt;&lt;publisher&gt;Thomson Reuters (Professional) Australia&lt;/publisher&gt;&lt;isbn&gt;0455224323&lt;/isbn&gt;&lt;urls&gt;&lt;/urls&gt;&lt;/record&gt;&lt;/Cite&gt;&lt;/EndNote&gt;</w:instrText>
      </w:r>
      <w:r w:rsidRPr="008D2E0A">
        <w:rPr>
          <w:szCs w:val="22"/>
        </w:rPr>
        <w:fldChar w:fldCharType="separate"/>
      </w:r>
      <w:r w:rsidRPr="008D2E0A">
        <w:rPr>
          <w:szCs w:val="22"/>
        </w:rPr>
        <w:t>(Rowland 2010)</w:t>
      </w:r>
      <w:r w:rsidRPr="008D2E0A">
        <w:rPr>
          <w:szCs w:val="22"/>
        </w:rPr>
        <w:fldChar w:fldCharType="end"/>
      </w:r>
      <w:r w:rsidRPr="008D2E0A">
        <w:rPr>
          <w:szCs w:val="22"/>
        </w:rPr>
        <w:t xml:space="preserve">. </w:t>
      </w:r>
    </w:p>
    <w:p w14:paraId="31BBF2B0" w14:textId="77777777" w:rsidR="00182990" w:rsidRPr="008D2E0A" w:rsidRDefault="00182990" w:rsidP="00D3639B">
      <w:pPr>
        <w:rPr>
          <w:szCs w:val="22"/>
        </w:rPr>
      </w:pPr>
    </w:p>
    <w:p w14:paraId="125A0A9B" w14:textId="3624C1B1" w:rsidR="00182990" w:rsidRDefault="00182990" w:rsidP="00D3639B">
      <w:pPr>
        <w:rPr>
          <w:szCs w:val="22"/>
        </w:rPr>
      </w:pPr>
      <w:r w:rsidRPr="008D2E0A">
        <w:rPr>
          <w:szCs w:val="22"/>
        </w:rPr>
        <w:t>The Australian REIT market is one of the most developed global REIT markets, and owns approximately 70% of Australian investment</w:t>
      </w:r>
      <w:r w:rsidR="00BF4C93" w:rsidRPr="008D2E0A">
        <w:rPr>
          <w:szCs w:val="22"/>
        </w:rPr>
        <w:t>-</w:t>
      </w:r>
      <w:r w:rsidRPr="008D2E0A">
        <w:rPr>
          <w:szCs w:val="22"/>
        </w:rPr>
        <w:t xml:space="preserve">grade properties </w:t>
      </w:r>
      <w:r w:rsidRPr="008D2E0A">
        <w:rPr>
          <w:szCs w:val="22"/>
        </w:rPr>
        <w:fldChar w:fldCharType="begin"/>
      </w:r>
      <w:r w:rsidRPr="008D2E0A">
        <w:rPr>
          <w:szCs w:val="22"/>
        </w:rPr>
        <w:instrText xml:space="preserve"> ADDIN EN.CITE &lt;EndNote&gt;&lt;Cite&gt;&lt;Author&gt;Stevenson&lt;/Author&gt;&lt;Year&gt;2014&lt;/Year&gt;&lt;RecNum&gt;205&lt;/RecNum&gt;&lt;DisplayText&gt;(PWC 2019; Stevenson &amp;amp; Dimovski 2014)&lt;/DisplayText&gt;&lt;record&gt;&lt;rec-number&gt;205&lt;/rec-number&gt;&lt;foreign-keys&gt;&lt;key app="EN" db-id="e9xrw0ppjrxazme9sdavssd69wf90saf5s09" timestamp="1649161789" guid="3d682a07-cd31-46a9-b411-3ea4524257a6"&gt;205&lt;/key&gt;&lt;/foreign-keys&gt;&lt;ref-type name="Journal Article"&gt;17&lt;/ref-type&gt;&lt;contributors&gt;&lt;authors&gt;&lt;author&gt;Stevenson, Shaun&lt;/author&gt;&lt;author&gt;Dimovski, Bill&lt;/author&gt;&lt;/authors&gt;&lt;/contributors&gt;&lt;titles&gt;&lt;title&gt;The long-term performance of Australian REIT IPOs&lt;/title&gt;&lt;secondary-title&gt;Journal of Real Estate Literature&lt;/secondary-title&gt;&lt;/titles&gt;&lt;periodical&gt;&lt;full-title&gt;Journal of Real Estate Literature&lt;/full-title&gt;&lt;/periodical&gt;&lt;pages&gt;151-165&lt;/pages&gt;&lt;volume&gt;20&lt;/volume&gt;&lt;number&gt;3&lt;/number&gt;&lt;dates&gt;&lt;year&gt;2014&lt;/year&gt;&lt;/dates&gt;&lt;isbn&gt;0927-7544&lt;/isbn&gt;&lt;urls&gt;&lt;/urls&gt;&lt;/record&gt;&lt;/Cite&gt;&lt;Cite&gt;&lt;Author&gt;PWC&lt;/Author&gt;&lt;Year&gt;2019&lt;/Year&gt;&lt;RecNum&gt;203&lt;/RecNum&gt;&lt;record&gt;&lt;rec-number&gt;203&lt;/rec-number&gt;&lt;foreign-keys&gt;&lt;key app="EN" db-id="e9xrw0ppjrxazme9sdavssd69wf90saf5s09" timestamp="1649160351" guid="77b791fc-b24a-4252-ba0b-b849f5f60a72"&gt;203&lt;/key&gt;&lt;/foreign-keys&gt;&lt;ref-type name="Electronic Book"&gt;44&lt;/ref-type&gt;&lt;contributors&gt;&lt;authors&gt;&lt;author&gt;PWC&lt;/author&gt;&lt;/authors&gt;&lt;/contributors&gt;&lt;titles&gt;&lt;title&gt;Worldwide Real Estate Investment Trust (REIT) Regimes&lt;/title&gt;&lt;secondary-title&gt;Compare and contrast&lt;/secondary-title&gt;&lt;/titles&gt;&lt;dates&gt;&lt;year&gt;2019&lt;/year&gt;&lt;/dates&gt;&lt;urls&gt;&lt;/urls&gt;&lt;/record&gt;&lt;/Cite&gt;&lt;/EndNote&gt;</w:instrText>
      </w:r>
      <w:r w:rsidRPr="008D2E0A">
        <w:rPr>
          <w:szCs w:val="22"/>
        </w:rPr>
        <w:fldChar w:fldCharType="separate"/>
      </w:r>
      <w:r w:rsidRPr="008D2E0A">
        <w:rPr>
          <w:noProof/>
          <w:szCs w:val="22"/>
        </w:rPr>
        <w:t>(PWC 2019; Stevenson &amp; Dimovski 2014)</w:t>
      </w:r>
      <w:r w:rsidRPr="008D2E0A">
        <w:rPr>
          <w:szCs w:val="22"/>
        </w:rPr>
        <w:fldChar w:fldCharType="end"/>
      </w:r>
      <w:r w:rsidRPr="008D2E0A">
        <w:rPr>
          <w:szCs w:val="22"/>
        </w:rPr>
        <w:t xml:space="preserve">. </w:t>
      </w:r>
      <w:r w:rsidRPr="008D2E0A">
        <w:rPr>
          <w:szCs w:val="22"/>
        </w:rPr>
        <w:fldChar w:fldCharType="begin"/>
      </w:r>
      <w:r w:rsidR="00DD5B04" w:rsidRPr="008D2E0A">
        <w:rPr>
          <w:szCs w:val="22"/>
        </w:rPr>
        <w:instrText xml:space="preserve"> ADDIN EN.CITE &lt;EndNote&gt;&lt;Cite AuthorYear="1"&gt;&lt;Author&gt;Higgins&lt;/Author&gt;&lt;Year&gt;2007&lt;/Year&gt;&lt;RecNum&gt;196&lt;/RecNum&gt;&lt;Pages&gt;10&lt;/Pages&gt;&lt;DisplayText&gt;Higgins, DM (2007, p. 10)&lt;/DisplayText&gt;&lt;record&gt;&lt;rec-number&gt;196&lt;/rec-number&gt;&lt;foreign-keys&gt;&lt;key app="EN" db-id="e9xrw0ppjrxazme9sdavssd69wf90saf5s09" timestamp="1647860362" guid="24c051c3-ae07-41d1-8d3a-f508cbd4a991"&gt;196&lt;/key&gt;&lt;/foreign-keys&gt;&lt;ref-type name="Journal Article"&gt;17&lt;/ref-type&gt;&lt;contributors&gt;&lt;authors&gt;&lt;author&gt;Higgins, David M&lt;/author&gt;&lt;/authors&gt;&lt;/contributors&gt;&lt;titles&gt;&lt;title&gt;Placing commercial property in the Australian capital market&lt;/title&gt;&lt;secondary-title&gt;RICS Research paper series&lt;/secondary-title&gt;&lt;/titles&gt;&lt;periodical&gt;&lt;full-title&gt;RICS Research paper series&lt;/full-title&gt;&lt;/periodical&gt;&lt;dates&gt;&lt;year&gt;2007&lt;/year&gt;&lt;/dates&gt;&lt;isbn&gt;1464-648X&lt;/isbn&gt;&lt;urls&gt;&lt;/urls&gt;&lt;/record&gt;&lt;/Cite&gt;&lt;/EndNote&gt;</w:instrText>
      </w:r>
      <w:r w:rsidRPr="008D2E0A">
        <w:rPr>
          <w:szCs w:val="22"/>
        </w:rPr>
        <w:fldChar w:fldCharType="separate"/>
      </w:r>
      <w:r w:rsidR="00DD5B04" w:rsidRPr="008D2E0A">
        <w:rPr>
          <w:noProof/>
          <w:szCs w:val="22"/>
        </w:rPr>
        <w:t>Higgins, DM (2007, p. 10)</w:t>
      </w:r>
      <w:r w:rsidRPr="008D2E0A">
        <w:rPr>
          <w:szCs w:val="22"/>
        </w:rPr>
        <w:fldChar w:fldCharType="end"/>
      </w:r>
      <w:r w:rsidRPr="008D2E0A">
        <w:rPr>
          <w:szCs w:val="22"/>
        </w:rPr>
        <w:t xml:space="preserve"> described Australian REITs are ‘tax transparent, open-ended property investment vehicles that primarily hold, manage and maintain properties for investment’. Australian REITs attract various types of investors because it has been considered as an ideal alternative to the direct real estate investment in Australia, providing investors </w:t>
      </w:r>
      <w:r w:rsidR="001F63CA" w:rsidRPr="008D2E0A">
        <w:rPr>
          <w:szCs w:val="22"/>
        </w:rPr>
        <w:t xml:space="preserve">with </w:t>
      </w:r>
      <w:r w:rsidRPr="008D2E0A">
        <w:rPr>
          <w:szCs w:val="22"/>
        </w:rPr>
        <w:t xml:space="preserve">tax benefits, high liquidity, high divisibility, and low entry and exit costs </w:t>
      </w:r>
      <w:r w:rsidRPr="008D2E0A">
        <w:rPr>
          <w:szCs w:val="22"/>
        </w:rPr>
        <w:fldChar w:fldCharType="begin"/>
      </w:r>
      <w:r w:rsidRPr="008D2E0A">
        <w:rPr>
          <w:szCs w:val="22"/>
        </w:rPr>
        <w:instrText xml:space="preserve"> ADDIN EN.CITE &lt;EndNote&gt;&lt;Cite&gt;&lt;Author&gt;Newell&lt;/Author&gt;&lt;Year&gt;2013&lt;/Year&gt;&lt;RecNum&gt;237&lt;/RecNum&gt;&lt;DisplayText&gt;(Newell 2013; Wong &amp;amp; Reddy 2018)&lt;/DisplayText&gt;&lt;record&gt;&lt;rec-number&gt;237&lt;/rec-number&gt;&lt;foreign-keys&gt;&lt;key app="EN" db-id="e9xrw0ppjrxazme9sdavssd69wf90saf5s09" timestamp="1650828178" guid="2ebc4c1f-7014-41d4-8c31-63f9261d05ab"&gt;237&lt;/key&gt;&lt;/foreign-keys&gt;&lt;ref-type name="Book Section"&gt;5&lt;/ref-type&gt;&lt;contributors&gt;&lt;authors&gt;&lt;author&gt;Newell, Graeme&lt;/author&gt;&lt;/authors&gt;&lt;secondary-authors&gt;&lt;author&gt;Sotelo, Ramón&lt;/author&gt;&lt;author&gt;McGreal, Stanley&lt;/author&gt;&lt;/secondary-authors&gt;&lt;/contributors&gt;&lt;titles&gt;&lt;title&gt;REITs in Australia: Moving forward from the GFC&lt;/title&gt;&lt;secondary-title&gt;Real Estate Investment Trusts in Europe: Evolution, Regulation, and Opportunities for Growth&lt;/secondary-title&gt;&lt;/titles&gt;&lt;pages&gt;69-76&lt;/pages&gt;&lt;dates&gt;&lt;year&gt;2013&lt;/year&gt;&lt;pub-dates&gt;&lt;date&gt;2013//&lt;/date&gt;&lt;/pub-dates&gt;&lt;/dates&gt;&lt;pub-location&gt;Berlin, Heidelberg&lt;/pub-location&gt;&lt;publisher&gt;Springer Berlin Heidelberg&lt;/publisher&gt;&lt;isbn&gt;978-3-642-36856-1&lt;/isbn&gt;&lt;urls&gt;&lt;related-urls&gt;&lt;url&gt;https://doi.org/10.1007/978-3-642-36856-1_6&lt;/url&gt;&lt;/related-urls&gt;&lt;/urls&gt;&lt;electronic-resource-num&gt;10.1007/978-3-642-36856-1_6&lt;/electronic-resource-num&gt;&lt;/record&gt;&lt;/Cite&gt;&lt;Cite&gt;&lt;Author&gt;Wong&lt;/Author&gt;&lt;Year&gt;2018&lt;/Year&gt;&lt;RecNum&gt;200&lt;/RecNum&gt;&lt;record&gt;&lt;rec-number&gt;200&lt;/rec-number&gt;&lt;foreign-keys&gt;&lt;key app="EN" db-id="e9xrw0ppjrxazme9sdavssd69wf90saf5s09" timestamp="1648664084" guid="f60593c0-a9e5-4930-b3f6-4176490a7955"&gt;200&lt;/key&gt;&lt;/foreign-keys&gt;&lt;ref-type name="Journal Article"&gt;17&lt;/ref-type&gt;&lt;contributors&gt;&lt;authors&gt;&lt;author&gt;Wong, Woon Weng&lt;/author&gt;&lt;author&gt;Reddy, Wejendra&lt;/author&gt;&lt;/authors&gt;&lt;/contributors&gt;&lt;titles&gt;&lt;title&gt;Evaluation of Australian REIT performance and the impact of interest rates and leverage&lt;/title&gt;&lt;secondary-title&gt;International Real Estate Review&lt;/secondary-title&gt;&lt;/titles&gt;&lt;periodical&gt;&lt;full-title&gt;International Real Estate Review&lt;/full-title&gt;&lt;/periodical&gt;&lt;pages&gt;41-70&lt;/pages&gt;&lt;volume&gt;21&lt;/volume&gt;&lt;number&gt;1&lt;/number&gt;&lt;dates&gt;&lt;year&gt;2018&lt;/year&gt;&lt;/dates&gt;&lt;isbn&gt;2154-8919&lt;/isbn&gt;&lt;urls&gt;&lt;/urls&gt;&lt;/record&gt;&lt;/Cite&gt;&lt;/EndNote&gt;</w:instrText>
      </w:r>
      <w:r w:rsidRPr="008D2E0A">
        <w:rPr>
          <w:szCs w:val="22"/>
        </w:rPr>
        <w:fldChar w:fldCharType="separate"/>
      </w:r>
      <w:r w:rsidRPr="008D2E0A">
        <w:rPr>
          <w:noProof/>
          <w:szCs w:val="22"/>
        </w:rPr>
        <w:t>(Newell 2013; Wong &amp; Reddy 2018)</w:t>
      </w:r>
      <w:r w:rsidRPr="008D2E0A">
        <w:rPr>
          <w:szCs w:val="22"/>
        </w:rPr>
        <w:fldChar w:fldCharType="end"/>
      </w:r>
      <w:r w:rsidRPr="008D2E0A">
        <w:rPr>
          <w:szCs w:val="22"/>
        </w:rPr>
        <w:t>.</w:t>
      </w:r>
    </w:p>
    <w:p w14:paraId="2355866C" w14:textId="77777777" w:rsidR="00182990" w:rsidRDefault="00182990" w:rsidP="00D3639B">
      <w:pPr>
        <w:rPr>
          <w:szCs w:val="22"/>
        </w:rPr>
      </w:pPr>
    </w:p>
    <w:p w14:paraId="231293DC" w14:textId="3CDA1631" w:rsidR="00182990" w:rsidRDefault="00182990" w:rsidP="00D3639B">
      <w:pPr>
        <w:rPr>
          <w:szCs w:val="22"/>
        </w:rPr>
      </w:pPr>
      <w:r w:rsidRPr="00190A79">
        <w:rPr>
          <w:szCs w:val="22"/>
        </w:rPr>
        <w:t>A-REITs can be</w:t>
      </w:r>
      <w:r w:rsidR="00503E5E">
        <w:rPr>
          <w:szCs w:val="22"/>
        </w:rPr>
        <w:t xml:space="preserve"> </w:t>
      </w:r>
      <w:r w:rsidRPr="00190A79">
        <w:rPr>
          <w:szCs w:val="22"/>
        </w:rPr>
        <w:t>diversified funds or sector</w:t>
      </w:r>
      <w:r w:rsidR="00503E5E">
        <w:rPr>
          <w:szCs w:val="22"/>
        </w:rPr>
        <w:t>-</w:t>
      </w:r>
      <w:r w:rsidRPr="00190A79">
        <w:rPr>
          <w:szCs w:val="22"/>
        </w:rPr>
        <w:t xml:space="preserve">specific, such as retail, office, and industrial. </w:t>
      </w:r>
      <w:r w:rsidRPr="00352565">
        <w:rPr>
          <w:szCs w:val="22"/>
        </w:rPr>
        <w:t xml:space="preserve">As </w:t>
      </w:r>
      <w:r w:rsidR="00E47013">
        <w:rPr>
          <w:szCs w:val="22"/>
        </w:rPr>
        <w:t>of</w:t>
      </w:r>
      <w:r w:rsidRPr="00352565">
        <w:rPr>
          <w:szCs w:val="22"/>
        </w:rPr>
        <w:t xml:space="preserve"> </w:t>
      </w:r>
      <w:r>
        <w:rPr>
          <w:szCs w:val="22"/>
        </w:rPr>
        <w:t xml:space="preserve">the end of </w:t>
      </w:r>
      <w:r w:rsidRPr="00352565">
        <w:rPr>
          <w:szCs w:val="22"/>
        </w:rPr>
        <w:t xml:space="preserve">June 2023, </w:t>
      </w:r>
      <w:r w:rsidRPr="000C70BB">
        <w:rPr>
          <w:szCs w:val="22"/>
        </w:rPr>
        <w:t xml:space="preserve">the market capitalisation of A-REITs is AU$138.66 billion </w:t>
      </w:r>
      <w:r w:rsidR="00B3390B">
        <w:rPr>
          <w:szCs w:val="22"/>
        </w:rPr>
        <w:t>which</w:t>
      </w:r>
      <w:r w:rsidRPr="000C70BB">
        <w:rPr>
          <w:szCs w:val="22"/>
        </w:rPr>
        <w:t xml:space="preserve"> consisted by 45 listed A-REITs. Among them, the largest share of market capitalization is</w:t>
      </w:r>
      <w:r w:rsidR="00A46FFA">
        <w:rPr>
          <w:szCs w:val="22"/>
        </w:rPr>
        <w:t xml:space="preserve"> the</w:t>
      </w:r>
      <w:r w:rsidRPr="000C70BB">
        <w:rPr>
          <w:szCs w:val="22"/>
        </w:rPr>
        <w:t xml:space="preserve"> industrial A-REITs sub-sector, with 33.12%, followed by</w:t>
      </w:r>
      <w:r w:rsidR="004C6381">
        <w:rPr>
          <w:szCs w:val="22"/>
        </w:rPr>
        <w:t xml:space="preserve"> the</w:t>
      </w:r>
      <w:r w:rsidRPr="000C70BB">
        <w:rPr>
          <w:szCs w:val="22"/>
        </w:rPr>
        <w:t xml:space="preserve"> retail A-REITs sub-sector, with 28.51%. In addition, diversified A-REITs and miscellaneous A-REITs sub-sectors </w:t>
      </w:r>
      <w:r>
        <w:rPr>
          <w:szCs w:val="22"/>
        </w:rPr>
        <w:t xml:space="preserve">contribute similar market </w:t>
      </w:r>
      <w:r w:rsidRPr="000C70BB">
        <w:rPr>
          <w:szCs w:val="22"/>
        </w:rPr>
        <w:t xml:space="preserve">share, at 15.38% and 13.22%, respectively. The sub-sectors with a smaller market capitalisation are specialised A-REITs and residential A-REITs, at 7.04% and 2.72%, respectively </w:t>
      </w:r>
      <w:r w:rsidRPr="000C70BB">
        <w:rPr>
          <w:szCs w:val="22"/>
        </w:rPr>
        <w:fldChar w:fldCharType="begin"/>
      </w:r>
      <w:r w:rsidRPr="000C70BB">
        <w:rPr>
          <w:szCs w:val="22"/>
        </w:rPr>
        <w:instrText xml:space="preserve"> ADDIN EN.CITE &lt;EndNote&gt;&lt;Cite&gt;&lt;Author&gt;ASX&lt;/Author&gt;&lt;Year&gt;2023&lt;/Year&gt;&lt;RecNum&gt;923&lt;/RecNum&gt;&lt;DisplayText&gt;(ASX 2023)&lt;/DisplayText&gt;&lt;record&gt;&lt;rec-number&gt;923&lt;/rec-number&gt;&lt;foreign-keys&gt;&lt;key app="EN" db-id="e9xrw0ppjrxazme9sdavssd69wf90saf5s09" timestamp="1691372201" guid="6d70eef5-8959-4baa-a96b-65f81b9de568"&gt;923&lt;/key&gt;&lt;/foreign-keys&gt;&lt;ref-type name="Report"&gt;27&lt;/ref-type&gt;&lt;contributors&gt;&lt;authors&gt;&lt;author&gt;ASX&lt;/author&gt;&lt;/authors&gt;&lt;/contributors&gt;&lt;titles&gt;&lt;title&gt;ASX Investment Products Monthly Update - June 2023&lt;/title&gt;&lt;/titles&gt;&lt;dates&gt;&lt;year&gt;2023&lt;/year&gt;&lt;/dates&gt;&lt;urls&gt;&lt;/urls&gt;&lt;/record&gt;&lt;/Cite&gt;&lt;/EndNote&gt;</w:instrText>
      </w:r>
      <w:r w:rsidRPr="000C70BB">
        <w:rPr>
          <w:szCs w:val="22"/>
        </w:rPr>
        <w:fldChar w:fldCharType="separate"/>
      </w:r>
      <w:r w:rsidRPr="000C70BB">
        <w:rPr>
          <w:szCs w:val="22"/>
        </w:rPr>
        <w:t>(ASX 2023)</w:t>
      </w:r>
      <w:r w:rsidRPr="000C70BB">
        <w:rPr>
          <w:szCs w:val="22"/>
        </w:rPr>
        <w:fldChar w:fldCharType="end"/>
      </w:r>
      <w:r w:rsidRPr="000C70BB">
        <w:rPr>
          <w:szCs w:val="22"/>
        </w:rPr>
        <w:t xml:space="preserve">. </w:t>
      </w:r>
    </w:p>
    <w:p w14:paraId="1470C806" w14:textId="77777777" w:rsidR="00387C5E" w:rsidRDefault="00387C5E" w:rsidP="00D3639B">
      <w:pPr>
        <w:rPr>
          <w:szCs w:val="22"/>
        </w:rPr>
      </w:pPr>
    </w:p>
    <w:p w14:paraId="0FCDDE42" w14:textId="77777777" w:rsidR="00387C5E" w:rsidRDefault="00387C5E" w:rsidP="00387C5E">
      <w:pPr>
        <w:rPr>
          <w:szCs w:val="22"/>
        </w:rPr>
      </w:pPr>
      <w:r>
        <w:rPr>
          <w:szCs w:val="22"/>
        </w:rPr>
        <w:t xml:space="preserve">When reviewing previous research about A-REITs, most researchers focus on the following topics: </w:t>
      </w:r>
    </w:p>
    <w:p w14:paraId="67D440BF" w14:textId="77777777" w:rsidR="00387C5E" w:rsidRPr="003713D1" w:rsidRDefault="00387C5E" w:rsidP="00387C5E">
      <w:pPr>
        <w:pStyle w:val="ListParagraph"/>
        <w:numPr>
          <w:ilvl w:val="0"/>
          <w:numId w:val="2"/>
        </w:numPr>
        <w:rPr>
          <w:szCs w:val="22"/>
        </w:rPr>
      </w:pPr>
      <w:r w:rsidRPr="003713D1">
        <w:rPr>
          <w:szCs w:val="22"/>
        </w:rPr>
        <w:t xml:space="preserve">Impact of a certain factor on the performance of A-REITs, such as </w:t>
      </w:r>
      <w:r w:rsidRPr="003713D1">
        <w:rPr>
          <w:szCs w:val="22"/>
        </w:rPr>
        <w:fldChar w:fldCharType="begin"/>
      </w:r>
      <w:r w:rsidRPr="003713D1">
        <w:rPr>
          <w:szCs w:val="22"/>
        </w:rPr>
        <w:instrText xml:space="preserve"> ADDIN EN.CITE &lt;EndNote&gt;&lt;Cite AuthorYear="1"&gt;&lt;Author&gt;Newell&lt;/Author&gt;&lt;Year&gt;2012&lt;/Year&gt;&lt;RecNum&gt;299&lt;/RecNum&gt;&lt;DisplayText&gt;Newell and Lee (2012)&lt;/DisplayText&gt;&lt;record&gt;&lt;rec-number&gt;299&lt;/rec-number&gt;&lt;foreign-keys&gt;&lt;key app="EN" db-id="e9xrw0ppjrxazme9sdavssd69wf90saf5s09" timestamp="1656442122" guid="6f103e6c-a5bd-46b6-b6be-558083ced00a"&gt;299&lt;/key&gt;&lt;/foreign-keys&gt;&lt;ref-type name="Journal Article"&gt;17&lt;/ref-type&gt;&lt;contributors&gt;&lt;authors&gt;&lt;author&gt;Newell, Graeme&lt;/author&gt;&lt;author&gt;Lee, Chyi Lin&lt;/author&gt;&lt;/authors&gt;&lt;/contributors&gt;&lt;titles&gt;&lt;title&gt;Influence of the corporate social responsibility factors and financial factors on REIT performance in Australia&lt;/title&gt;&lt;secondary-title&gt;Journal of Property Investment &amp;amp; Finance&lt;/secondary-title&gt;&lt;/titles&gt;&lt;periodical&gt;&lt;full-title&gt;Journal of Property Investment &amp;amp; Finance&lt;/full-title&gt;&lt;/periodical&gt;&lt;dates&gt;&lt;year&gt;2012&lt;/year&gt;&lt;/dates&gt;&lt;isbn&gt;1463-578X&lt;/isbn&gt;&lt;urls&gt;&lt;/urls&gt;&lt;/record&gt;&lt;/Cite&gt;&lt;/EndNote&gt;</w:instrText>
      </w:r>
      <w:r w:rsidRPr="003713D1">
        <w:rPr>
          <w:szCs w:val="22"/>
        </w:rPr>
        <w:fldChar w:fldCharType="separate"/>
      </w:r>
      <w:r w:rsidRPr="003713D1">
        <w:rPr>
          <w:noProof/>
          <w:szCs w:val="22"/>
        </w:rPr>
        <w:t>Newell and Lee (2012)</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AuthorYear="1"&gt;&lt;Author&gt;Yong&lt;/Author&gt;&lt;Year&gt;2015&lt;/Year&gt;&lt;RecNum&gt;300&lt;/RecNum&gt;&lt;DisplayText&gt;Yong and Singh (2015)&lt;/DisplayText&gt;&lt;record&gt;&lt;rec-number&gt;300&lt;/rec-number&gt;&lt;foreign-keys&gt;&lt;key app="EN" db-id="e9xrw0ppjrxazme9sdavssd69wf90saf5s09" timestamp="1656442252" guid="55ed7c85-06f2-475f-9771-219b23a3e17e"&gt;300&lt;/key&gt;&lt;/foreign-keys&gt;&lt;ref-type name="Journal Article"&gt;17&lt;/ref-type&gt;&lt;contributors&gt;&lt;authors&gt;&lt;author&gt;Yong, Jaime&lt;/author&gt;&lt;author&gt;Singh, Abhay&lt;/author&gt;&lt;/authors&gt;&lt;/contributors&gt;&lt;titles&gt;&lt;title&gt;Interest rate risk of Australian REITS: A panel analysis&lt;/title&gt;&lt;secondary-title&gt;Pacific Rim Property Research Journal&lt;/secondary-title&gt;&lt;/titles&gt;&lt;periodical&gt;&lt;full-title&gt;Pacific Rim Property Research Journal&lt;/full-title&gt;&lt;/periodical&gt;&lt;pages&gt;77-88&lt;/pages&gt;&lt;volume&gt;21&lt;/volume&gt;&lt;number&gt;1&lt;/number&gt;&lt;dates&gt;&lt;year&gt;2015&lt;/year&gt;&lt;/dates&gt;&lt;isbn&gt;1444-5921&lt;/isbn&gt;&lt;urls&gt;&lt;/urls&gt;&lt;/record&gt;&lt;/Cite&gt;&lt;/EndNote&gt;</w:instrText>
      </w:r>
      <w:r w:rsidRPr="003713D1">
        <w:rPr>
          <w:szCs w:val="22"/>
        </w:rPr>
        <w:fldChar w:fldCharType="separate"/>
      </w:r>
      <w:r w:rsidRPr="003713D1">
        <w:rPr>
          <w:noProof/>
          <w:szCs w:val="22"/>
        </w:rPr>
        <w:t>Yong and Singh (2015)</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AuthorYear="1"&gt;&lt;Author&gt;Reddy&lt;/Author&gt;&lt;Year&gt;2018&lt;/Year&gt;&lt;RecNum&gt;298&lt;/RecNum&gt;&lt;DisplayText&gt;Reddy and Wong (2018)&lt;/DisplayText&gt;&lt;record&gt;&lt;rec-number&gt;298&lt;/rec-number&gt;&lt;foreign-keys&gt;&lt;key app="EN" db-id="e9xrw0ppjrxazme9sdavssd69wf90saf5s09" timestamp="1656441974" guid="bc22f92b-556c-47f1-b2f3-c275b24f3bcf"&gt;298&lt;/key&gt;&lt;/foreign-keys&gt;&lt;ref-type name="Journal Article"&gt;17&lt;/ref-type&gt;&lt;contributors&gt;&lt;authors&gt;&lt;author&gt;Reddy, Wejendra&lt;/author&gt;&lt;author&gt;Wong, Woon-Weng&lt;/author&gt;&lt;/authors&gt;&lt;/contributors&gt;&lt;titles&gt;&lt;title&gt;Australian interest rate movements and A-REITs performance: an analysis by industry sector&lt;/title&gt;&lt;secondary-title&gt;Pacific Rim Property Research Journal&lt;/secondary-title&gt;&lt;/titles&gt;&lt;periodical&gt;&lt;full-title&gt;Pacific Rim Property Research Journal&lt;/full-title&gt;&lt;/periodical&gt;&lt;pages&gt;85-103&lt;/pages&gt;&lt;volume&gt;24&lt;/volume&gt;&lt;number&gt;1&lt;/number&gt;&lt;dates&gt;&lt;year&gt;2018&lt;/year&gt;&lt;/dates&gt;&lt;isbn&gt;1444-5921&lt;/isbn&gt;&lt;urls&gt;&lt;/urls&gt;&lt;/record&gt;&lt;/Cite&gt;&lt;/EndNote&gt;</w:instrText>
      </w:r>
      <w:r w:rsidRPr="003713D1">
        <w:rPr>
          <w:szCs w:val="22"/>
        </w:rPr>
        <w:fldChar w:fldCharType="separate"/>
      </w:r>
      <w:r w:rsidRPr="003713D1">
        <w:rPr>
          <w:noProof/>
          <w:szCs w:val="22"/>
        </w:rPr>
        <w:t>Reddy and Wong (2018)</w:t>
      </w:r>
      <w:r w:rsidRPr="003713D1">
        <w:rPr>
          <w:szCs w:val="22"/>
        </w:rPr>
        <w:fldChar w:fldCharType="end"/>
      </w:r>
      <w:r w:rsidRPr="003713D1">
        <w:rPr>
          <w:szCs w:val="22"/>
        </w:rPr>
        <w:t xml:space="preserve">, </w:t>
      </w:r>
      <w:r w:rsidRPr="003713D1">
        <w:rPr>
          <w:szCs w:val="22"/>
        </w:rPr>
        <w:fldChar w:fldCharType="begin"/>
      </w:r>
      <w:r>
        <w:rPr>
          <w:szCs w:val="22"/>
        </w:rPr>
        <w:instrText xml:space="preserve"> ADDIN EN.CITE &lt;EndNote&gt;&lt;Cite AuthorYear="1"&gt;&lt;Author&gt;Westermann&lt;/Author&gt;&lt;Year&gt;2018&lt;/Year&gt;&lt;RecNum&gt;926&lt;/RecNum&gt;&lt;DisplayText&gt;Westermann, Niblock and Kortt (2018)&lt;/DisplayText&gt;&lt;record&gt;&lt;rec-number&gt;926&lt;/rec-number&gt;&lt;foreign-keys&gt;&lt;key app="EN" db-id="e9xrw0ppjrxazme9sdavssd69wf90saf5s09" timestamp="1693555874" guid="c56f8b37-ceb5-47a7-aafe-5bc96ccb5ef5"&gt;926&lt;/key&gt;&lt;/foreign-keys&gt;&lt;ref-type name="Journal Article"&gt;17&lt;/ref-type&gt;&lt;contributors&gt;&lt;authors&gt;&lt;author&gt;Westermann, Steffen&lt;/author&gt;&lt;author&gt;Niblock, Scott&lt;/author&gt;&lt;author&gt;Kortt, Michael&lt;/author&gt;&lt;/authors&gt;&lt;/contributors&gt;&lt;titles&gt;&lt;title&gt;Corporate social responsibility and the performance of Australian REITs: A rolling regression approach&lt;/title&gt;&lt;secondary-title&gt;Journal of Asset Management&lt;/secondary-title&gt;&lt;/titles&gt;&lt;periodical&gt;&lt;full-title&gt;Journal of Asset Management&lt;/full-title&gt;&lt;/periodical&gt;&lt;pages&gt;222-234&lt;/pages&gt;&lt;volume&gt;19&lt;/volume&gt;&lt;dates&gt;&lt;year&gt;2018&lt;/year&gt;&lt;/dates&gt;&lt;isbn&gt;1470-8272&lt;/isbn&gt;&lt;urls&gt;&lt;/urls&gt;&lt;/record&gt;&lt;/Cite&gt;&lt;/EndNote&gt;</w:instrText>
      </w:r>
      <w:r w:rsidRPr="003713D1">
        <w:rPr>
          <w:szCs w:val="22"/>
        </w:rPr>
        <w:fldChar w:fldCharType="separate"/>
      </w:r>
      <w:r w:rsidRPr="003713D1">
        <w:rPr>
          <w:noProof/>
          <w:szCs w:val="22"/>
        </w:rPr>
        <w:t>Westermann, Niblock and Kortt (2018)</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AuthorYear="1"&gt;&lt;Author&gt;Wong&lt;/Author&gt;&lt;Year&gt;2018&lt;/Year&gt;&lt;RecNum&gt;200&lt;/RecNum&gt;&lt;DisplayText&gt;Wong and Reddy (2018)&lt;/DisplayText&gt;&lt;record&gt;&lt;rec-number&gt;200&lt;/rec-number&gt;&lt;foreign-keys&gt;&lt;key app="EN" db-id="e9xrw0ppjrxazme9sdavssd69wf90saf5s09" timestamp="1648664084" guid="f60593c0-a9e5-4930-b3f6-4176490a7955"&gt;200&lt;/key&gt;&lt;/foreign-keys&gt;&lt;ref-type name="Journal Article"&gt;17&lt;/ref-type&gt;&lt;contributors&gt;&lt;authors&gt;&lt;author&gt;Wong, Woon Weng&lt;/author&gt;&lt;author&gt;Reddy, Wejendra&lt;/author&gt;&lt;/authors&gt;&lt;/contributors&gt;&lt;titles&gt;&lt;title&gt;Evaluation of Australian REIT performance and the impact of interest rates and leverage&lt;/title&gt;&lt;secondary-title&gt;International Real Estate Review&lt;/secondary-title&gt;&lt;/titles&gt;&lt;periodical&gt;&lt;full-title&gt;International Real Estate Review&lt;/full-title&gt;&lt;/periodical&gt;&lt;pages&gt;41-70&lt;/pages&gt;&lt;volume&gt;21&lt;/volume&gt;&lt;number&gt;1&lt;/number&gt;&lt;dates&gt;&lt;year&gt;2018&lt;/year&gt;&lt;/dates&gt;&lt;isbn&gt;2154-8919&lt;/isbn&gt;&lt;urls&gt;&lt;/urls&gt;&lt;/record&gt;&lt;/Cite&gt;&lt;/EndNote&gt;</w:instrText>
      </w:r>
      <w:r w:rsidRPr="003713D1">
        <w:rPr>
          <w:szCs w:val="22"/>
        </w:rPr>
        <w:fldChar w:fldCharType="separate"/>
      </w:r>
      <w:r w:rsidRPr="003713D1">
        <w:rPr>
          <w:noProof/>
          <w:szCs w:val="22"/>
        </w:rPr>
        <w:t>Wong and Reddy (2018)</w:t>
      </w:r>
      <w:r w:rsidRPr="003713D1">
        <w:rPr>
          <w:szCs w:val="22"/>
        </w:rPr>
        <w:fldChar w:fldCharType="end"/>
      </w:r>
      <w:r w:rsidRPr="003713D1">
        <w:rPr>
          <w:szCs w:val="22"/>
        </w:rPr>
        <w:t xml:space="preserve">, and </w:t>
      </w:r>
      <w:r w:rsidRPr="003713D1">
        <w:rPr>
          <w:szCs w:val="22"/>
        </w:rPr>
        <w:fldChar w:fldCharType="begin"/>
      </w:r>
      <w:r>
        <w:rPr>
          <w:szCs w:val="22"/>
        </w:rPr>
        <w:instrText xml:space="preserve"> ADDIN EN.CITE &lt;EndNote&gt;&lt;Cite AuthorYear="1"&gt;&lt;Author&gt;Westermann&lt;/Author&gt;&lt;Year&gt;2022&lt;/Year&gt;&lt;RecNum&gt;928&lt;/RecNum&gt;&lt;DisplayText&gt;Westermann, Niblock and Kortt (2022)&lt;/DisplayText&gt;&lt;record&gt;&lt;rec-number&gt;928&lt;/rec-number&gt;&lt;foreign-keys&gt;&lt;key app="EN" db-id="e9xrw0ppjrxazme9sdavssd69wf90saf5s09" timestamp="1693556108" guid="03c7910d-3a37-4e47-81df-679183c25fce"&gt;928&lt;/key&gt;&lt;/foreign-keys&gt;&lt;ref-type name="Journal Article"&gt;17&lt;/ref-type&gt;&lt;contributors&gt;&lt;authors&gt;&lt;author&gt;Westermann, Steffen&lt;/author&gt;&lt;author&gt;Niblock, Scott J&lt;/author&gt;&lt;author&gt;Kortt, Michael A&lt;/author&gt;&lt;/authors&gt;&lt;/contributors&gt;&lt;titles&gt;&lt;title&gt;Does it pay to be responsible? Evidence on corporate social responsibility and the investment performance of Australian REITs&lt;/title&gt;&lt;secondary-title&gt;Asia-Pacific Journal of Accounting &amp;amp; Economics&lt;/secondary-title&gt;&lt;/titles&gt;&lt;periodical&gt;&lt;full-title&gt;Asia-Pacific Journal of Accounting &amp;amp; Economics&lt;/full-title&gt;&lt;/periodical&gt;&lt;pages&gt;1102-1119&lt;/pages&gt;&lt;volume&gt;29&lt;/volume&gt;&lt;number&gt;4&lt;/number&gt;&lt;dates&gt;&lt;year&gt;2022&lt;/year&gt;&lt;/dates&gt;&lt;isbn&gt;1608-1625&lt;/isbn&gt;&lt;urls&gt;&lt;/urls&gt;&lt;/record&gt;&lt;/Cite&gt;&lt;/EndNote&gt;</w:instrText>
      </w:r>
      <w:r w:rsidRPr="003713D1">
        <w:rPr>
          <w:szCs w:val="22"/>
        </w:rPr>
        <w:fldChar w:fldCharType="separate"/>
      </w:r>
      <w:r w:rsidRPr="003713D1">
        <w:rPr>
          <w:noProof/>
          <w:szCs w:val="22"/>
        </w:rPr>
        <w:t>Westermann, Niblock and Kortt (2022)</w:t>
      </w:r>
      <w:r w:rsidRPr="003713D1">
        <w:rPr>
          <w:szCs w:val="22"/>
        </w:rPr>
        <w:fldChar w:fldCharType="end"/>
      </w:r>
      <w:r w:rsidRPr="003713D1">
        <w:rPr>
          <w:szCs w:val="22"/>
        </w:rPr>
        <w:t xml:space="preserve">; </w:t>
      </w:r>
    </w:p>
    <w:p w14:paraId="54C4D71F" w14:textId="77777777" w:rsidR="00387C5E" w:rsidRPr="003713D1" w:rsidRDefault="00387C5E" w:rsidP="00387C5E">
      <w:pPr>
        <w:pStyle w:val="ListParagraph"/>
        <w:numPr>
          <w:ilvl w:val="0"/>
          <w:numId w:val="2"/>
        </w:numPr>
        <w:rPr>
          <w:szCs w:val="22"/>
        </w:rPr>
      </w:pPr>
      <w:r w:rsidRPr="003713D1">
        <w:rPr>
          <w:szCs w:val="22"/>
        </w:rPr>
        <w:t xml:space="preserve">IPO and IPO pricing, such as </w:t>
      </w:r>
      <w:r w:rsidRPr="003713D1">
        <w:rPr>
          <w:szCs w:val="22"/>
        </w:rPr>
        <w:fldChar w:fldCharType="begin"/>
      </w:r>
      <w:r w:rsidRPr="003713D1">
        <w:rPr>
          <w:szCs w:val="22"/>
        </w:rPr>
        <w:instrText xml:space="preserve"> ADDIN EN.CITE &lt;EndNote&gt;&lt;Cite AuthorYear="1"&gt;&lt;Author&gt;Dimovski&lt;/Author&gt;&lt;Year&gt;2006&lt;/Year&gt;&lt;RecNum&gt;292&lt;/RecNum&gt;&lt;DisplayText&gt;Dimovski, W and Brooks (2006)&lt;/DisplayText&gt;&lt;record&gt;&lt;rec-number&gt;292&lt;/rec-number&gt;&lt;foreign-keys&gt;&lt;key app="EN" db-id="e9xrw0ppjrxazme9sdavssd69wf90saf5s09" timestamp="1656440573" guid="f1011cdc-6687-4bdb-8dd8-1fe60de269cc"&gt;292&lt;/key&gt;&lt;/foreign-keys&gt;&lt;ref-type name="Journal Article"&gt;17&lt;/ref-type&gt;&lt;contributors&gt;&lt;authors&gt;&lt;author&gt;Dimovski, William&lt;/author&gt;&lt;author&gt;Brooks, Robert&lt;/author&gt;&lt;/authors&gt;&lt;/contributors&gt;&lt;titles&gt;&lt;title&gt;The pricing of property trust IPOs in Australia&lt;/title&gt;&lt;secondary-title&gt;The Journal of Real Estate Finance and Economics&lt;/secondary-title&gt;&lt;/titles&gt;&lt;periodical&gt;&lt;full-title&gt;The Journal of Real Estate Finance and Economics&lt;/full-title&gt;&lt;/periodical&gt;&lt;pages&gt;185-199&lt;/pages&gt;&lt;volume&gt;32&lt;/volume&gt;&lt;number&gt;2&lt;/number&gt;&lt;dates&gt;&lt;year&gt;2006&lt;/year&gt;&lt;/dates&gt;&lt;isbn&gt;1573-045X&lt;/isbn&gt;&lt;urls&gt;&lt;/urls&gt;&lt;/record&gt;&lt;/Cite&gt;&lt;/EndNote&gt;</w:instrText>
      </w:r>
      <w:r w:rsidRPr="003713D1">
        <w:rPr>
          <w:szCs w:val="22"/>
        </w:rPr>
        <w:fldChar w:fldCharType="separate"/>
      </w:r>
      <w:r w:rsidRPr="003713D1">
        <w:rPr>
          <w:noProof/>
          <w:szCs w:val="22"/>
        </w:rPr>
        <w:t>Dimovski, W and Brooks (2006)</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AuthorYear="1"&gt;&lt;Author&gt;Dimovski&lt;/Author&gt;&lt;Year&gt;2010&lt;/Year&gt;&lt;RecNum&gt;293&lt;/RecNum&gt;&lt;DisplayText&gt;Dimovski, W (2010)&lt;/DisplayText&gt;&lt;record&gt;&lt;rec-number&gt;293&lt;/rec-number&gt;&lt;foreign-keys&gt;&lt;key app="EN" db-id="e9xrw0ppjrxazme9sdavssd69wf90saf5s09" timestamp="1656440577" guid="6f7dc75a-54c4-462e-9600-ed83ce354236"&gt;293&lt;/key&gt;&lt;/foreign-keys&gt;&lt;ref-type name="Journal Article"&gt;17&lt;/ref-type&gt;&lt;contributors&gt;&lt;authors&gt;&lt;author&gt;Dimovski, William&lt;/author&gt;&lt;/authors&gt;&lt;/contributors&gt;&lt;titles&gt;&lt;title&gt;The underpricing of A-REIT IPOs in Australia during 2002 to 2008&lt;/title&gt;&lt;secondary-title&gt;Pacific Rim Property Research Journal&lt;/secondary-title&gt;&lt;/titles&gt;&lt;periodical&gt;&lt;full-title&gt;Pacific Rim Property Research Journal&lt;/full-title&gt;&lt;/periodical&gt;&lt;pages&gt;39-51&lt;/pages&gt;&lt;volume&gt;16&lt;/volume&gt;&lt;number&gt;1&lt;/number&gt;&lt;dates&gt;&lt;year&gt;2010&lt;/year&gt;&lt;/dates&gt;&lt;isbn&gt;1444-5921&lt;/isbn&gt;&lt;urls&gt;&lt;/urls&gt;&lt;/record&gt;&lt;/Cite&gt;&lt;/EndNote&gt;</w:instrText>
      </w:r>
      <w:r w:rsidRPr="003713D1">
        <w:rPr>
          <w:szCs w:val="22"/>
        </w:rPr>
        <w:fldChar w:fldCharType="separate"/>
      </w:r>
      <w:r w:rsidRPr="003713D1">
        <w:rPr>
          <w:noProof/>
          <w:szCs w:val="22"/>
        </w:rPr>
        <w:t>Dimovski, W (2010)</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AuthorYear="1"&gt;&lt;Author&gt;Dimovski&lt;/Author&gt;&lt;Year&gt;2011&lt;/Year&gt;&lt;RecNum&gt;295&lt;/RecNum&gt;&lt;DisplayText&gt;Dimovski, W and Ratcliffe (2011)&lt;/DisplayText&gt;&lt;record&gt;&lt;rec-number&gt;295&lt;/rec-number&gt;&lt;foreign-keys&gt;&lt;key app="EN" db-id="e9xrw0ppjrxazme9sdavssd69wf90saf5s09" timestamp="1656441075" guid="d8162eb1-dc6e-4344-9b40-b43362aa8129"&gt;295&lt;/key&gt;&lt;/foreign-keys&gt;&lt;ref-type name="Journal Article"&gt;17&lt;/ref-type&gt;&lt;contributors&gt;&lt;authors&gt;&lt;author&gt;Dimovski, William&lt;/author&gt;&lt;author&gt;Ratcliffe, Chris&lt;/author&gt;&lt;/authors&gt;&lt;/contributors&gt;&lt;titles&gt;&lt;title&gt;A duration analysis of the time from prospectus to listing for A-REIT IPOs&lt;/title&gt;&lt;secondary-title&gt;Pacific Rim Property Research Journal&lt;/secondary-title&gt;&lt;/titles&gt;&lt;periodical&gt;&lt;full-title&gt;Pacific Rim Property Research Journal&lt;/full-title&gt;&lt;/periodical&gt;&lt;pages&gt;248-259&lt;/pages&gt;&lt;volume&gt;17&lt;/volume&gt;&lt;number&gt;2&lt;/number&gt;&lt;dates&gt;&lt;year&gt;2011&lt;/year&gt;&lt;/dates&gt;&lt;isbn&gt;1444-5921&lt;/isbn&gt;&lt;urls&gt;&lt;/urls&gt;&lt;/record&gt;&lt;/Cite&gt;&lt;/EndNote&gt;</w:instrText>
      </w:r>
      <w:r w:rsidRPr="003713D1">
        <w:rPr>
          <w:szCs w:val="22"/>
        </w:rPr>
        <w:fldChar w:fldCharType="separate"/>
      </w:r>
      <w:r w:rsidRPr="003713D1">
        <w:rPr>
          <w:noProof/>
          <w:szCs w:val="22"/>
        </w:rPr>
        <w:t>Dimovski, W and Ratcliffe (2011)</w:t>
      </w:r>
      <w:r w:rsidRPr="003713D1">
        <w:rPr>
          <w:szCs w:val="22"/>
        </w:rPr>
        <w:fldChar w:fldCharType="end"/>
      </w:r>
      <w:r w:rsidRPr="003713D1">
        <w:rPr>
          <w:szCs w:val="22"/>
        </w:rPr>
        <w:t xml:space="preserve">, and </w:t>
      </w:r>
      <w:r w:rsidRPr="003713D1">
        <w:rPr>
          <w:szCs w:val="22"/>
        </w:rPr>
        <w:fldChar w:fldCharType="begin"/>
      </w:r>
      <w:r w:rsidRPr="003713D1">
        <w:rPr>
          <w:szCs w:val="22"/>
        </w:rPr>
        <w:instrText xml:space="preserve"> ADDIN EN.CITE &lt;EndNote&gt;&lt;Cite AuthorYear="1"&gt;&lt;Author&gt;Dimovski&lt;/Author&gt;&lt;Year&gt;2016&lt;/Year&gt;&lt;RecNum&gt;291&lt;/RecNum&gt;&lt;DisplayText&gt;Dimovski, B (2016)&lt;/DisplayText&gt;&lt;record&gt;&lt;rec-number&gt;291&lt;/rec-number&gt;&lt;foreign-keys&gt;&lt;key app="EN" db-id="e9xrw0ppjrxazme9sdavssd69wf90saf5s09" timestamp="1656440570" guid="ad5b7079-941a-48df-9f65-96e574d361ed"&gt;291&lt;/key&gt;&lt;/foreign-keys&gt;&lt;ref-type name="Journal Article"&gt;17&lt;/ref-type&gt;&lt;contributors&gt;&lt;authors&gt;&lt;author&gt;Dimovski, Bill&lt;/author&gt;&lt;/authors&gt;&lt;/contributors&gt;&lt;titles&gt;&lt;title&gt;Differences in underpricing of A-REIT IPOs and Australian property company IPOs&lt;/title&gt;&lt;secondary-title&gt;Journal of Property Investment &amp;amp; Finance&lt;/secondary-title&gt;&lt;/titles&gt;&lt;periodical&gt;&lt;full-title&gt;Journal of Property Investment &amp;amp; Finance&lt;/full-title&gt;&lt;/periodical&gt;&lt;dates&gt;&lt;year&gt;2016&lt;/year&gt;&lt;/dates&gt;&lt;isbn&gt;1463-578X&lt;/isbn&gt;&lt;urls&gt;&lt;/urls&gt;&lt;/record&gt;&lt;/Cite&gt;&lt;/EndNote&gt;</w:instrText>
      </w:r>
      <w:r w:rsidRPr="003713D1">
        <w:rPr>
          <w:szCs w:val="22"/>
        </w:rPr>
        <w:fldChar w:fldCharType="separate"/>
      </w:r>
      <w:r w:rsidRPr="003713D1">
        <w:rPr>
          <w:noProof/>
          <w:szCs w:val="22"/>
        </w:rPr>
        <w:t>Dimovski, B (2016)</w:t>
      </w:r>
      <w:r w:rsidRPr="003713D1">
        <w:rPr>
          <w:szCs w:val="22"/>
        </w:rPr>
        <w:fldChar w:fldCharType="end"/>
      </w:r>
      <w:r w:rsidRPr="003713D1">
        <w:rPr>
          <w:szCs w:val="22"/>
        </w:rPr>
        <w:t xml:space="preserve">; </w:t>
      </w:r>
    </w:p>
    <w:p w14:paraId="1E7DA425" w14:textId="77777777" w:rsidR="00387C5E" w:rsidRPr="003713D1" w:rsidRDefault="00387C5E" w:rsidP="00387C5E">
      <w:pPr>
        <w:pStyle w:val="ListParagraph"/>
        <w:numPr>
          <w:ilvl w:val="0"/>
          <w:numId w:val="2"/>
        </w:numPr>
        <w:rPr>
          <w:szCs w:val="22"/>
        </w:rPr>
      </w:pPr>
      <w:r w:rsidRPr="003713D1">
        <w:rPr>
          <w:szCs w:val="22"/>
        </w:rPr>
        <w:t xml:space="preserve">NAV premium, such as </w:t>
      </w:r>
      <w:r w:rsidRPr="003713D1">
        <w:rPr>
          <w:szCs w:val="22"/>
        </w:rPr>
        <w:fldChar w:fldCharType="begin"/>
      </w:r>
      <w:r w:rsidRPr="003713D1">
        <w:rPr>
          <w:szCs w:val="22"/>
        </w:rPr>
        <w:instrText xml:space="preserve"> ADDIN EN.CITE &lt;EndNote&gt;&lt;Cite AuthorYear="1"&gt;&lt;Author&gt;Erol&lt;/Author&gt;&lt;Year&gt;2019&lt;/Year&gt;&lt;RecNum&gt;206&lt;/RecNum&gt;&lt;DisplayText&gt;Erol and Tyvimaa (2019)&lt;/DisplayText&gt;&lt;record&gt;&lt;rec-number&gt;206&lt;/rec-number&gt;&lt;foreign-keys&gt;&lt;key app="EN" db-id="e9xrw0ppjrxazme9sdavssd69wf90saf5s09" timestamp="1649162670" guid="3c323b6e-7f23-4256-b7f2-cbf2fe7a1aa8"&gt;206&lt;/key&gt;&lt;/foreign-keys&gt;&lt;ref-type name="Journal Article"&gt;17&lt;/ref-type&gt;&lt;contributors&gt;&lt;authors&gt;&lt;author&gt;Erol, Isil&lt;/author&gt;&lt;author&gt;Tyvimaa, Tanja&lt;/author&gt;&lt;/authors&gt;&lt;/contributors&gt;&lt;titles&gt;&lt;title&gt;Explaining the premium to NAV in publicly traded Australian REITs, 2008–2018&lt;/title&gt;&lt;secondary-title&gt;Journal of Property Investment &amp;amp; Finance&lt;/secondary-title&gt;&lt;/titles&gt;&lt;periodical&gt;&lt;full-title&gt;Journal of Property Investment &amp;amp; Finance&lt;/full-title&gt;&lt;/periodical&gt;&lt;dates&gt;&lt;year&gt;2019&lt;/year&gt;&lt;/dates&gt;&lt;isbn&gt;1463-578X&lt;/isbn&gt;&lt;urls&gt;&lt;/urls&gt;&lt;/record&gt;&lt;/Cite&gt;&lt;/EndNote&gt;</w:instrText>
      </w:r>
      <w:r w:rsidRPr="003713D1">
        <w:rPr>
          <w:szCs w:val="22"/>
        </w:rPr>
        <w:fldChar w:fldCharType="separate"/>
      </w:r>
      <w:r w:rsidRPr="003713D1">
        <w:rPr>
          <w:noProof/>
          <w:szCs w:val="22"/>
        </w:rPr>
        <w:t>Erol and Tyvimaa (2019)</w:t>
      </w:r>
      <w:r w:rsidRPr="003713D1">
        <w:rPr>
          <w:szCs w:val="22"/>
        </w:rPr>
        <w:fldChar w:fldCharType="end"/>
      </w:r>
      <w:r w:rsidRPr="003713D1">
        <w:rPr>
          <w:szCs w:val="22"/>
        </w:rPr>
        <w:t xml:space="preserve">; </w:t>
      </w:r>
    </w:p>
    <w:p w14:paraId="550ED7C9" w14:textId="77777777" w:rsidR="00387C5E" w:rsidRPr="003713D1" w:rsidRDefault="00387C5E" w:rsidP="00387C5E">
      <w:pPr>
        <w:pStyle w:val="ListParagraph"/>
        <w:numPr>
          <w:ilvl w:val="0"/>
          <w:numId w:val="2"/>
        </w:numPr>
        <w:rPr>
          <w:szCs w:val="22"/>
        </w:rPr>
      </w:pPr>
      <w:r w:rsidRPr="003713D1">
        <w:rPr>
          <w:szCs w:val="22"/>
        </w:rPr>
        <w:t xml:space="preserve">Risk and decision-making, such as </w:t>
      </w:r>
      <w:r w:rsidRPr="003713D1">
        <w:rPr>
          <w:szCs w:val="22"/>
        </w:rPr>
        <w:fldChar w:fldCharType="begin"/>
      </w:r>
      <w:r w:rsidRPr="003713D1">
        <w:rPr>
          <w:szCs w:val="22"/>
        </w:rPr>
        <w:instrText xml:space="preserve"> ADDIN EN.CITE &lt;EndNote&gt;&lt;Cite AuthorYear="1"&gt;&lt;Author&gt;De Francesco&lt;/Author&gt;&lt;Year&gt;2009&lt;/Year&gt;&lt;RecNum&gt;209&lt;/RecNum&gt;&lt;DisplayText&gt;De Francesco and Hartigan (2009)&lt;/DisplayText&gt;&lt;record&gt;&lt;rec-number&gt;209&lt;/rec-number&gt;&lt;foreign-keys&gt;&lt;key app="EN" db-id="e9xrw0ppjrxazme9sdavssd69wf90saf5s09" timestamp="1649191127" guid="8767d3f9-d96c-423e-a422-a8bb690624f4"&gt;209&lt;/key&gt;&lt;/foreign-keys&gt;&lt;ref-type name="Journal Article"&gt;17&lt;/ref-type&gt;&lt;contributors&gt;&lt;authors&gt;&lt;author&gt;De Francesco, Anthony J&lt;/author&gt;&lt;author&gt;Hartigan, Luke R&lt;/author&gt;&lt;/authors&gt;&lt;/contributors&gt;&lt;titles&gt;&lt;title&gt;The impact of changing risk characteristics in the A‐REIT sector&lt;/title&gt;&lt;secondary-title&gt;Journal of Property Investment &amp;amp; Finance&lt;/secondary-title&gt;&lt;/titles&gt;&lt;periodical&gt;&lt;full-title&gt;Journal of Property Investment &amp;amp; Finance&lt;/full-title&gt;&lt;/periodical&gt;&lt;dates&gt;&lt;year&gt;2009&lt;/year&gt;&lt;/dates&gt;&lt;isbn&gt;1463-578X&lt;/isbn&gt;&lt;urls&gt;&lt;/urls&gt;&lt;/record&gt;&lt;/Cite&gt;&lt;/EndNote&gt;</w:instrText>
      </w:r>
      <w:r w:rsidRPr="003713D1">
        <w:rPr>
          <w:szCs w:val="22"/>
        </w:rPr>
        <w:fldChar w:fldCharType="separate"/>
      </w:r>
      <w:r w:rsidRPr="003713D1">
        <w:rPr>
          <w:noProof/>
          <w:szCs w:val="22"/>
        </w:rPr>
        <w:t>De Francesco and Hartigan (2009)</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AuthorYear="1"&gt;&lt;Author&gt;Higgins&lt;/Author&gt;&lt;Year&gt;2009&lt;/Year&gt;&lt;RecNum&gt;296&lt;/RecNum&gt;&lt;DisplayText&gt;Higgins, D and Ng (2009)&lt;/DisplayText&gt;&lt;record&gt;&lt;rec-number&gt;296&lt;/rec-number&gt;&lt;foreign-keys&gt;&lt;key app="EN" db-id="e9xrw0ppjrxazme9sdavssd69wf90saf5s09" timestamp="1656441902" guid="bdb8d2ff-6c93-4981-a3b2-ba876b776fdc"&gt;296&lt;/key&gt;&lt;/foreign-keys&gt;&lt;ref-type name="Journal Article"&gt;17&lt;/ref-type&gt;&lt;contributors&gt;&lt;authors&gt;&lt;author&gt;Higgins, David&lt;/author&gt;&lt;author&gt;Ng, Boon&lt;/author&gt;&lt;/authors&gt;&lt;/contributors&gt;&lt;titles&gt;&lt;title&gt;Australian securitised property funds: an examination of their risk‐adjusted performance&lt;/title&gt;&lt;secondary-title&gt;Journal of Property Investment &amp;amp; Finance&lt;/secondary-title&gt;&lt;/titles&gt;&lt;periodical&gt;&lt;full-title&gt;Journal of Property Investment &amp;amp; Finance&lt;/full-title&gt;&lt;/periodical&gt;&lt;dates&gt;&lt;year&gt;2009&lt;/year&gt;&lt;/dates&gt;&lt;isbn&gt;1463-578X&lt;/isbn&gt;&lt;urls&gt;&lt;/urls&gt;&lt;/record&gt;&lt;/Cite&gt;&lt;/EndNote&gt;</w:instrText>
      </w:r>
      <w:r w:rsidRPr="003713D1">
        <w:rPr>
          <w:szCs w:val="22"/>
        </w:rPr>
        <w:fldChar w:fldCharType="separate"/>
      </w:r>
      <w:r w:rsidRPr="003713D1">
        <w:rPr>
          <w:noProof/>
          <w:szCs w:val="22"/>
        </w:rPr>
        <w:t>Higgins, D and Ng (2009)</w:t>
      </w:r>
      <w:r w:rsidRPr="003713D1">
        <w:rPr>
          <w:szCs w:val="22"/>
        </w:rPr>
        <w:fldChar w:fldCharType="end"/>
      </w:r>
      <w:r w:rsidRPr="003713D1">
        <w:rPr>
          <w:szCs w:val="22"/>
        </w:rPr>
        <w:t xml:space="preserve">, and </w:t>
      </w:r>
      <w:r w:rsidRPr="003713D1">
        <w:rPr>
          <w:szCs w:val="22"/>
        </w:rPr>
        <w:fldChar w:fldCharType="begin"/>
      </w:r>
      <w:r w:rsidRPr="003713D1">
        <w:rPr>
          <w:szCs w:val="22"/>
        </w:rPr>
        <w:instrText xml:space="preserve"> ADDIN EN.CITE &lt;EndNote&gt;&lt;Cite AuthorYear="1"&gt;&lt;Author&gt;Parker&lt;/Author&gt;&lt;Year&gt;2014&lt;/Year&gt;&lt;RecNum&gt;294&lt;/RecNum&gt;&lt;DisplayText&gt;Parker (2014)&lt;/DisplayText&gt;&lt;record&gt;&lt;rec-number&gt;294&lt;/rec-number&gt;&lt;foreign-keys&gt;&lt;key app="EN" db-id="e9xrw0ppjrxazme9sdavssd69wf90saf5s09" timestamp="1656440773" guid="25e0882b-06b6-4805-8293-c2c5e06737ce"&gt;294&lt;/key&gt;&lt;/foreign-keys&gt;&lt;ref-type name="Journal Article"&gt;17&lt;/ref-type&gt;&lt;contributors&gt;&lt;authors&gt;&lt;author&gt;Parker, David&lt;/author&gt;&lt;/authors&gt;&lt;/contributors&gt;&lt;titles&gt;&lt;title&gt;Property investment decision making by Australian REITs&lt;/title&gt;&lt;secondary-title&gt;Journal of property investment &amp;amp; finance&lt;/secondary-title&gt;&lt;/titles&gt;&lt;periodical&gt;&lt;full-title&gt;Journal of Property Investment &amp;amp; Finance&lt;/full-title&gt;&lt;/periodical&gt;&lt;dates&gt;&lt;year&gt;2014&lt;/year&gt;&lt;/dates&gt;&lt;isbn&gt;1463-578X&lt;/isbn&gt;&lt;urls&gt;&lt;/urls&gt;&lt;/record&gt;&lt;/Cite&gt;&lt;/EndNote&gt;</w:instrText>
      </w:r>
      <w:r w:rsidRPr="003713D1">
        <w:rPr>
          <w:szCs w:val="22"/>
        </w:rPr>
        <w:fldChar w:fldCharType="separate"/>
      </w:r>
      <w:r w:rsidRPr="003713D1">
        <w:rPr>
          <w:noProof/>
          <w:szCs w:val="22"/>
        </w:rPr>
        <w:t>Parker (2014)</w:t>
      </w:r>
      <w:r w:rsidRPr="003713D1">
        <w:rPr>
          <w:szCs w:val="22"/>
        </w:rPr>
        <w:fldChar w:fldCharType="end"/>
      </w:r>
      <w:r w:rsidRPr="003713D1">
        <w:rPr>
          <w:szCs w:val="22"/>
        </w:rPr>
        <w:t xml:space="preserve">; </w:t>
      </w:r>
    </w:p>
    <w:p w14:paraId="35792AA3" w14:textId="77777777" w:rsidR="00387C5E" w:rsidRPr="003713D1" w:rsidRDefault="00387C5E" w:rsidP="00387C5E">
      <w:pPr>
        <w:pStyle w:val="ListParagraph"/>
        <w:numPr>
          <w:ilvl w:val="0"/>
          <w:numId w:val="2"/>
        </w:numPr>
        <w:rPr>
          <w:szCs w:val="22"/>
        </w:rPr>
      </w:pPr>
      <w:r w:rsidRPr="003713D1">
        <w:rPr>
          <w:szCs w:val="22"/>
        </w:rPr>
        <w:t xml:space="preserve">REIT futures market, such as </w:t>
      </w:r>
      <w:r w:rsidRPr="003713D1">
        <w:rPr>
          <w:szCs w:val="22"/>
        </w:rPr>
        <w:fldChar w:fldCharType="begin"/>
      </w:r>
      <w:r w:rsidRPr="003713D1">
        <w:rPr>
          <w:szCs w:val="22"/>
        </w:rPr>
        <w:instrText xml:space="preserve"> ADDIN EN.CITE &lt;EndNote&gt;&lt;Cite AuthorYear="1"&gt;&lt;Author&gt;Lee&lt;/Author&gt;&lt;Year&gt;2009&lt;/Year&gt;&lt;RecNum&gt;924&lt;/RecNum&gt;&lt;DisplayText&gt;Lee, CL (2009)&lt;/DisplayText&gt;&lt;record&gt;&lt;rec-number&gt;924&lt;/rec-number&gt;&lt;foreign-keys&gt;&lt;key app="EN" db-id="e9xrw0ppjrxazme9sdavssd69wf90saf5s09" timestamp="1693555741" guid="e500691a-ed76-48cc-b283-203366f26903"&gt;924&lt;/key&gt;&lt;/foreign-keys&gt;&lt;ref-type name="Journal Article"&gt;17&lt;/ref-type&gt;&lt;contributors&gt;&lt;authors&gt;&lt;author&gt;Lee, Chyi Lin&lt;/author&gt;&lt;/authors&gt;&lt;/contributors&gt;&lt;titles&gt;&lt;title&gt;Volatility transmission in Australian REIT futures&lt;/title&gt;&lt;secondary-title&gt;Journal of Real Estate Portfolio Management&lt;/secondary-title&gt;&lt;/titles&gt;&lt;periodical&gt;&lt;full-title&gt;Journal of Real Estate Portfolio Management&lt;/full-title&gt;&lt;/periodical&gt;&lt;pages&gt;221-238&lt;/pages&gt;&lt;volume&gt;15&lt;/volume&gt;&lt;number&gt;3&lt;/number&gt;&lt;dates&gt;&lt;year&gt;2009&lt;/year&gt;&lt;/dates&gt;&lt;isbn&gt;1083-5547&lt;/isbn&gt;&lt;urls&gt;&lt;/urls&gt;&lt;/record&gt;&lt;/Cite&gt;&lt;/EndNote&gt;</w:instrText>
      </w:r>
      <w:r w:rsidRPr="003713D1">
        <w:rPr>
          <w:szCs w:val="22"/>
        </w:rPr>
        <w:fldChar w:fldCharType="separate"/>
      </w:r>
      <w:r w:rsidRPr="003713D1">
        <w:rPr>
          <w:noProof/>
          <w:szCs w:val="22"/>
        </w:rPr>
        <w:t>Lee, CL (2009)</w:t>
      </w:r>
      <w:r w:rsidRPr="003713D1">
        <w:rPr>
          <w:szCs w:val="22"/>
        </w:rPr>
        <w:fldChar w:fldCharType="end"/>
      </w:r>
      <w:r w:rsidRPr="003713D1">
        <w:rPr>
          <w:szCs w:val="22"/>
        </w:rPr>
        <w:t xml:space="preserve">, </w:t>
      </w:r>
      <w:r w:rsidRPr="003713D1">
        <w:rPr>
          <w:szCs w:val="22"/>
        </w:rPr>
        <w:fldChar w:fldCharType="begin"/>
      </w:r>
      <w:r w:rsidRPr="003713D1">
        <w:rPr>
          <w:szCs w:val="22"/>
        </w:rPr>
        <w:instrText xml:space="preserve"> ADDIN EN.CITE &lt;EndNote&gt;&lt;Cite AuthorYear="1"&gt;&lt;Author&gt;Newell&lt;/Author&gt;&lt;Year&gt;2010&lt;/Year&gt;&lt;RecNum&gt;925&lt;/RecNum&gt;&lt;DisplayText&gt;Newell (2010)&lt;/DisplayText&gt;&lt;record&gt;&lt;rec-number&gt;925&lt;/rec-number&gt;&lt;foreign-keys&gt;&lt;key app="EN" db-id="e9xrw0ppjrxazme9sdavssd69wf90saf5s09" timestamp="1693555778" guid="34b51ee1-3848-4358-b4ae-2e5ad7ea4e44"&gt;925&lt;/key&gt;&lt;/foreign-keys&gt;&lt;ref-type name="Journal Article"&gt;17&lt;/ref-type&gt;&lt;contributors&gt;&lt;authors&gt;&lt;author&gt;Newell, Graeme&lt;/author&gt;&lt;/authors&gt;&lt;/contributors&gt;&lt;titles&gt;&lt;title&gt;The effectiveness of A-REIT futures as a risk management strategy in the global financial crisis&lt;/title&gt;&lt;secondary-title&gt;Pacific Rim Property Research Journal&lt;/secondary-title&gt;&lt;/titles&gt;&lt;periodical&gt;&lt;full-title&gt;Pacific Rim Property Research Journal&lt;/full-title&gt;&lt;/periodical&gt;&lt;pages&gt;339-357&lt;/pages&gt;&lt;volume&gt;16&lt;/volume&gt;&lt;number&gt;3&lt;/number&gt;&lt;dates&gt;&lt;year&gt;2010&lt;/year&gt;&lt;/dates&gt;&lt;isbn&gt;1444-5921&lt;/isbn&gt;&lt;urls&gt;&lt;/urls&gt;&lt;/record&gt;&lt;/Cite&gt;&lt;/EndNote&gt;</w:instrText>
      </w:r>
      <w:r w:rsidRPr="003713D1">
        <w:rPr>
          <w:szCs w:val="22"/>
        </w:rPr>
        <w:fldChar w:fldCharType="separate"/>
      </w:r>
      <w:r w:rsidRPr="003713D1">
        <w:rPr>
          <w:noProof/>
          <w:szCs w:val="22"/>
        </w:rPr>
        <w:t>Newell (2010)</w:t>
      </w:r>
      <w:r w:rsidRPr="003713D1">
        <w:rPr>
          <w:szCs w:val="22"/>
        </w:rPr>
        <w:fldChar w:fldCharType="end"/>
      </w:r>
      <w:r w:rsidRPr="003713D1">
        <w:rPr>
          <w:szCs w:val="22"/>
        </w:rPr>
        <w:t xml:space="preserve">, </w:t>
      </w:r>
      <w:r w:rsidRPr="003713D1">
        <w:rPr>
          <w:szCs w:val="22"/>
        </w:rPr>
        <w:fldChar w:fldCharType="begin"/>
      </w:r>
      <w:r>
        <w:rPr>
          <w:szCs w:val="22"/>
        </w:rPr>
        <w:instrText xml:space="preserve"> ADDIN EN.CITE &lt;EndNote&gt;&lt;Cite AuthorYear="1"&gt;&lt;Author&gt;Lin Lee&lt;/Author&gt;&lt;Year&gt;2012&lt;/Year&gt;&lt;RecNum&gt;927&lt;/RecNum&gt;&lt;DisplayText&gt;Lin Lee and Lee (2012)&lt;/DisplayText&gt;&lt;record&gt;&lt;rec-number&gt;927&lt;/rec-number&gt;&lt;foreign-keys&gt;&lt;key app="EN" db-id="e9xrw0ppjrxazme9sdavssd69wf90saf5s09" timestamp="1693555976" guid="c12e670d-b4a8-431a-9025-58ee33e22f74"&gt;927&lt;/key&gt;&lt;/foreign-keys&gt;&lt;ref-type name="Journal Article"&gt;17&lt;/ref-type&gt;&lt;contributors&gt;&lt;authors&gt;&lt;author&gt;Lin Lee, Chyi&lt;/author&gt;&lt;author&gt;Lee, Ming‐Long&lt;/author&gt;&lt;/authors&gt;&lt;/contributors&gt;&lt;titles&gt;&lt;title&gt;Hedging effectiveness of REIT futures&lt;/title&gt;&lt;secondary-title&gt;Journal of Property Investment &amp;amp; Finance&lt;/secondary-title&gt;&lt;/titles&gt;&lt;periodical&gt;&lt;full-title&gt;Journal of Property Investment &amp;amp; Finance&lt;/full-title&gt;&lt;/periodical&gt;&lt;pages&gt;257-281&lt;/pages&gt;&lt;volume&gt;30&lt;/volume&gt;&lt;number&gt;3&lt;/number&gt;&lt;dates&gt;&lt;year&gt;2012&lt;/year&gt;&lt;/dates&gt;&lt;isbn&gt;1463-578X&lt;/isbn&gt;&lt;urls&gt;&lt;/urls&gt;&lt;/record&gt;&lt;/Cite&gt;&lt;/EndNote&gt;</w:instrText>
      </w:r>
      <w:r w:rsidRPr="003713D1">
        <w:rPr>
          <w:szCs w:val="22"/>
        </w:rPr>
        <w:fldChar w:fldCharType="separate"/>
      </w:r>
      <w:r w:rsidRPr="003713D1">
        <w:rPr>
          <w:noProof/>
          <w:szCs w:val="22"/>
        </w:rPr>
        <w:t>Lin Lee and Lee (2012)</w:t>
      </w:r>
      <w:r w:rsidRPr="003713D1">
        <w:rPr>
          <w:szCs w:val="22"/>
        </w:rPr>
        <w:fldChar w:fldCharType="end"/>
      </w:r>
      <w:r w:rsidRPr="003713D1">
        <w:rPr>
          <w:szCs w:val="22"/>
        </w:rPr>
        <w:t xml:space="preserve">, and </w:t>
      </w:r>
      <w:r w:rsidRPr="003713D1">
        <w:rPr>
          <w:szCs w:val="22"/>
        </w:rPr>
        <w:fldChar w:fldCharType="begin"/>
      </w:r>
      <w:r>
        <w:rPr>
          <w:szCs w:val="22"/>
        </w:rPr>
        <w:instrText xml:space="preserve"> ADDIN EN.CITE &lt;EndNote&gt;&lt;Cite AuthorYear="1"&gt;&lt;Author&gt;Lee&lt;/Author&gt;&lt;Year&gt;2016&lt;/Year&gt;&lt;RecNum&gt;929&lt;/RecNum&gt;&lt;DisplayText&gt;Lee, M-T et al. (2016)&lt;/DisplayText&gt;&lt;record&gt;&lt;rec-number&gt;929&lt;/rec-number&gt;&lt;foreign-keys&gt;&lt;key app="EN" db-id="e9xrw0ppjrxazme9sdavssd69wf90saf5s09" timestamp="1693556202" guid="fbb0f4c6-aeaf-444e-9be0-37392d87887c"&gt;929&lt;/key&gt;&lt;/foreign-keys&gt;&lt;ref-type name="Journal Article"&gt;17&lt;/ref-type&gt;&lt;contributors&gt;&lt;authors&gt;&lt;author&gt;Lee, Ming-Te&lt;/author&gt;&lt;author&gt;Kuo, Shew-Huei&lt;/author&gt;&lt;author&gt;Lee, Ming-Long&lt;/author&gt;&lt;author&gt;Lee, Chyi Lin&lt;/author&gt;&lt;/authors&gt;&lt;/contributors&gt;&lt;titles&gt;&lt;title&gt;Price discovery and volatility transmission in Australian REIT cash and futures markets&lt;/title&gt;&lt;secondary-title&gt;International Journal of Strategic Property Management&lt;/secondary-title&gt;&lt;/titles&gt;&lt;periodical&gt;&lt;full-title&gt;International Journal of Strategic Property Management&lt;/full-title&gt;&lt;/periodical&gt;&lt;pages&gt;113-129&lt;/pages&gt;&lt;volume&gt;20&lt;/volume&gt;&lt;number&gt;2&lt;/number&gt;&lt;dates&gt;&lt;year&gt;2016&lt;/year&gt;&lt;/dates&gt;&lt;isbn&gt;1648-715X&lt;/isbn&gt;&lt;urls&gt;&lt;/urls&gt;&lt;/record&gt;&lt;/Cite&gt;&lt;/EndNote&gt;</w:instrText>
      </w:r>
      <w:r w:rsidRPr="003713D1">
        <w:rPr>
          <w:szCs w:val="22"/>
        </w:rPr>
        <w:fldChar w:fldCharType="separate"/>
      </w:r>
      <w:r w:rsidRPr="003713D1">
        <w:rPr>
          <w:noProof/>
          <w:szCs w:val="22"/>
        </w:rPr>
        <w:t>Lee, M-T et al. (2016)</w:t>
      </w:r>
      <w:r w:rsidRPr="003713D1">
        <w:rPr>
          <w:szCs w:val="22"/>
        </w:rPr>
        <w:fldChar w:fldCharType="end"/>
      </w:r>
      <w:r w:rsidRPr="003713D1">
        <w:rPr>
          <w:szCs w:val="22"/>
        </w:rPr>
        <w:t>;</w:t>
      </w:r>
    </w:p>
    <w:p w14:paraId="04658948" w14:textId="77777777" w:rsidR="00387C5E" w:rsidRPr="003713D1" w:rsidRDefault="00387C5E" w:rsidP="00387C5E">
      <w:pPr>
        <w:pStyle w:val="ListParagraph"/>
        <w:numPr>
          <w:ilvl w:val="0"/>
          <w:numId w:val="2"/>
        </w:numPr>
        <w:rPr>
          <w:szCs w:val="22"/>
          <w:lang w:eastAsia="zh-CN"/>
        </w:rPr>
      </w:pPr>
      <w:r w:rsidRPr="003713D1">
        <w:rPr>
          <w:szCs w:val="22"/>
        </w:rPr>
        <w:t xml:space="preserve">REITs and GFC, such as </w:t>
      </w:r>
      <w:r w:rsidRPr="003713D1">
        <w:rPr>
          <w:szCs w:val="22"/>
        </w:rPr>
        <w:fldChar w:fldCharType="begin"/>
      </w:r>
      <w:r>
        <w:rPr>
          <w:szCs w:val="22"/>
        </w:rPr>
        <w:instrText xml:space="preserve"> ADDIN EN.CITE &lt;EndNote&gt;&lt;Cite AuthorYear="1"&gt;&lt;Author&gt;Zarebski&lt;/Author&gt;&lt;Year&gt;2012&lt;/Year&gt;&lt;RecNum&gt;930&lt;/RecNum&gt;&lt;DisplayText&gt;Zarebski and Dimovski (2012)&lt;/DisplayText&gt;&lt;record&gt;&lt;rec-number&gt;930&lt;/rec-number&gt;&lt;foreign-keys&gt;&lt;key app="EN" db-id="e9xrw0ppjrxazme9sdavssd69wf90saf5s09" timestamp="1693556467" guid="d26e3340-af86-4fe0-a8a1-8d9e778391de"&gt;930&lt;/key&gt;&lt;/foreign-keys&gt;&lt;ref-type name="Journal Article"&gt;17&lt;/ref-type&gt;&lt;contributors&gt;&lt;authors&gt;&lt;author&gt;Zarebski, Paul&lt;/author&gt;&lt;author&gt;Dimovski, Bill&lt;/author&gt;&lt;/authors&gt;&lt;/contributors&gt;&lt;titles&gt;&lt;title&gt;Determinants of capital structure of A-REITS and the global financial crisis&lt;/title&gt;&lt;secondary-title&gt;Pacific rim property research journal&lt;/secondary-title&gt;&lt;/titles&gt;&lt;periodical&gt;&lt;full-title&gt;Pacific Rim Property Research Journal&lt;/full-title&gt;&lt;/periodical&gt;&lt;pages&gt;3-19&lt;/pages&gt;&lt;volume&gt;18&lt;/volume&gt;&lt;number&gt;1&lt;/number&gt;&lt;dates&gt;&lt;year&gt;2012&lt;/year&gt;&lt;/dates&gt;&lt;isbn&gt;1444-5921&lt;/isbn&gt;&lt;urls&gt;&lt;/urls&gt;&lt;/record&gt;&lt;/Cite&gt;&lt;/EndNote&gt;</w:instrText>
      </w:r>
      <w:r w:rsidRPr="003713D1">
        <w:rPr>
          <w:szCs w:val="22"/>
        </w:rPr>
        <w:fldChar w:fldCharType="separate"/>
      </w:r>
      <w:r w:rsidRPr="003713D1">
        <w:rPr>
          <w:noProof/>
          <w:szCs w:val="22"/>
        </w:rPr>
        <w:t>Zarebski and Dimovski (2012)</w:t>
      </w:r>
      <w:r w:rsidRPr="003713D1">
        <w:rPr>
          <w:szCs w:val="22"/>
        </w:rPr>
        <w:fldChar w:fldCharType="end"/>
      </w:r>
      <w:r w:rsidRPr="003713D1">
        <w:rPr>
          <w:szCs w:val="22"/>
        </w:rPr>
        <w:t xml:space="preserve">, and </w:t>
      </w:r>
      <w:r w:rsidRPr="003713D1">
        <w:rPr>
          <w:szCs w:val="22"/>
        </w:rPr>
        <w:fldChar w:fldCharType="begin"/>
      </w:r>
      <w:r w:rsidRPr="003713D1">
        <w:rPr>
          <w:szCs w:val="22"/>
        </w:rPr>
        <w:instrText xml:space="preserve"> ADDIN EN.CITE &lt;EndNote&gt;&lt;Cite AuthorYear="1"&gt;&lt;Author&gt;Newell&lt;/Author&gt;&lt;Year&gt;2013&lt;/Year&gt;&lt;RecNum&gt;237&lt;/RecNum&gt;&lt;DisplayText&gt;Newell (2013)&lt;/DisplayText&gt;&lt;record&gt;&lt;rec-number&gt;237&lt;/rec-number&gt;&lt;foreign-keys&gt;&lt;key app="EN" db-id="e9xrw0ppjrxazme9sdavssd69wf90saf5s09" timestamp="1650828178" guid="2ebc4c1f-7014-41d4-8c31-63f9261d05ab"&gt;237&lt;/key&gt;&lt;/foreign-keys&gt;&lt;ref-type name="Book Section"&gt;5&lt;/ref-type&gt;&lt;contributors&gt;&lt;authors&gt;&lt;author&gt;Newell, Graeme&lt;/author&gt;&lt;/authors&gt;&lt;secondary-authors&gt;&lt;author&gt;Sotelo, Ramón&lt;/author&gt;&lt;author&gt;McGreal, Stanley&lt;/author&gt;&lt;/secondary-authors&gt;&lt;/contributors&gt;&lt;titles&gt;&lt;title&gt;REITs in Australia: Moving forward from the GFC&lt;/title&gt;&lt;secondary-title&gt;Real Estate Investment Trusts in Europe: Evolution, Regulation, and Opportunities for Growth&lt;/secondary-title&gt;&lt;/titles&gt;&lt;pages&gt;69-76&lt;/pages&gt;&lt;dates&gt;&lt;year&gt;2013&lt;/year&gt;&lt;pub-dates&gt;&lt;date&gt;2013//&lt;/date&gt;&lt;/pub-dates&gt;&lt;/dates&gt;&lt;pub-location&gt;Berlin, Heidelberg&lt;/pub-location&gt;&lt;publisher&gt;Springer Berlin Heidelberg&lt;/publisher&gt;&lt;isbn&gt;978-3-642-36856-1&lt;/isbn&gt;&lt;urls&gt;&lt;related-urls&gt;&lt;url&gt;https://doi.org/10.1007/978-3-642-36856-1_6&lt;/url&gt;&lt;/related-urls&gt;&lt;/urls&gt;&lt;electronic-resource-num&gt;10.1007/978-3-642-36856-1_6&lt;/electronic-resource-num&gt;&lt;/record&gt;&lt;/Cite&gt;&lt;/EndNote&gt;</w:instrText>
      </w:r>
      <w:r w:rsidRPr="003713D1">
        <w:rPr>
          <w:szCs w:val="22"/>
        </w:rPr>
        <w:fldChar w:fldCharType="separate"/>
      </w:r>
      <w:r w:rsidRPr="003713D1">
        <w:rPr>
          <w:noProof/>
          <w:szCs w:val="22"/>
        </w:rPr>
        <w:t>Newell (2013)</w:t>
      </w:r>
      <w:r w:rsidRPr="003713D1">
        <w:rPr>
          <w:szCs w:val="22"/>
        </w:rPr>
        <w:fldChar w:fldCharType="end"/>
      </w:r>
      <w:r>
        <w:rPr>
          <w:szCs w:val="22"/>
        </w:rPr>
        <w:t xml:space="preserve">. </w:t>
      </w:r>
    </w:p>
    <w:p w14:paraId="1ABF225C" w14:textId="77777777" w:rsidR="00182990" w:rsidRDefault="00182990" w:rsidP="00D3639B">
      <w:pPr>
        <w:rPr>
          <w:szCs w:val="22"/>
        </w:rPr>
      </w:pPr>
    </w:p>
    <w:p w14:paraId="3195E92E" w14:textId="7B5C68EE" w:rsidR="00182990" w:rsidRPr="000B038D" w:rsidRDefault="00182990" w:rsidP="00D3639B">
      <w:pPr>
        <w:rPr>
          <w:szCs w:val="22"/>
        </w:rPr>
      </w:pPr>
      <w:r w:rsidRPr="008D2E0A">
        <w:rPr>
          <w:szCs w:val="22"/>
        </w:rPr>
        <w:lastRenderedPageBreak/>
        <w:t xml:space="preserve">To better understand the performance of A-REIT market, this study adopts </w:t>
      </w:r>
      <w:r w:rsidR="00D852FB" w:rsidRPr="008D2E0A">
        <w:rPr>
          <w:szCs w:val="22"/>
        </w:rPr>
        <w:t xml:space="preserve">the </w:t>
      </w:r>
      <w:r w:rsidRPr="008D2E0A">
        <w:rPr>
          <w:szCs w:val="22"/>
        </w:rPr>
        <w:t xml:space="preserve">S&amp;P/ASX 200 A-REITs index as the benchmark of </w:t>
      </w:r>
      <w:r w:rsidR="00D852FB" w:rsidRPr="008D2E0A">
        <w:rPr>
          <w:szCs w:val="22"/>
        </w:rPr>
        <w:t xml:space="preserve">the </w:t>
      </w:r>
      <w:r w:rsidRPr="008D2E0A">
        <w:rPr>
          <w:szCs w:val="22"/>
        </w:rPr>
        <w:t>entire A-REIT market to compare</w:t>
      </w:r>
      <w:r>
        <w:rPr>
          <w:szCs w:val="22"/>
        </w:rPr>
        <w:t xml:space="preserve"> with the Australian equity market. </w:t>
      </w:r>
      <w:r w:rsidRPr="00443D46">
        <w:rPr>
          <w:szCs w:val="22"/>
        </w:rPr>
        <w:t xml:space="preserve">Figure </w:t>
      </w:r>
      <w:r w:rsidR="00B86C9C">
        <w:rPr>
          <w:szCs w:val="22"/>
        </w:rPr>
        <w:t>1</w:t>
      </w:r>
      <w:r w:rsidRPr="00443D46">
        <w:rPr>
          <w:szCs w:val="22"/>
        </w:rPr>
        <w:t xml:space="preserve"> shows the trend of price return of S&amp;P/ASX 200 A-REITs and S&amp;P/ASX 200 in recent 10 years. For the most time, the S&amp;P/ASX 200 A-REITs index has outperformed the S&amp;P/ASX 200 index, but in the most recent year, the opposite trend has occurred. The annualised 10</w:t>
      </w:r>
      <w:r w:rsidR="00D852FB">
        <w:rPr>
          <w:szCs w:val="22"/>
        </w:rPr>
        <w:t>-</w:t>
      </w:r>
      <w:r w:rsidRPr="00443D46">
        <w:rPr>
          <w:szCs w:val="22"/>
        </w:rPr>
        <w:t>y</w:t>
      </w:r>
      <w:r w:rsidR="00D852FB">
        <w:rPr>
          <w:szCs w:val="22"/>
        </w:rPr>
        <w:t>ea</w:t>
      </w:r>
      <w:r w:rsidRPr="00443D46">
        <w:rPr>
          <w:szCs w:val="22"/>
        </w:rPr>
        <w:t>r price returns of S&amp;P/ASX 200 A-REITs and S&amp;P/ASX 200 are 3.02% and 3.65%, respectively.</w:t>
      </w:r>
      <w:r>
        <w:rPr>
          <w:szCs w:val="22"/>
        </w:rPr>
        <w:t xml:space="preserve"> </w:t>
      </w:r>
    </w:p>
    <w:p w14:paraId="5F1F67AB" w14:textId="77777777" w:rsidR="00182990" w:rsidRDefault="00182990" w:rsidP="00D3639B">
      <w:pPr>
        <w:rPr>
          <w:szCs w:val="22"/>
        </w:rPr>
      </w:pPr>
    </w:p>
    <w:p w14:paraId="05769F93" w14:textId="77777777" w:rsidR="00766F6B" w:rsidRDefault="00182990" w:rsidP="00EB3C47">
      <w:pPr>
        <w:keepNext/>
        <w:jc w:val="center"/>
      </w:pPr>
      <w:r>
        <w:rPr>
          <w:noProof/>
        </w:rPr>
        <w:drawing>
          <wp:inline distT="0" distB="0" distL="0" distR="0" wp14:anchorId="02C2B877" wp14:editId="068FDE39">
            <wp:extent cx="5094654" cy="1745851"/>
            <wp:effectExtent l="0" t="0" r="0" b="0"/>
            <wp:docPr id="749997438" name="Picture 3"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97438" name="Picture 3" descr="A graph of a stock marke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3962" cy="1766175"/>
                    </a:xfrm>
                    <a:prstGeom prst="rect">
                      <a:avLst/>
                    </a:prstGeom>
                  </pic:spPr>
                </pic:pic>
              </a:graphicData>
            </a:graphic>
          </wp:inline>
        </w:drawing>
      </w:r>
    </w:p>
    <w:p w14:paraId="52D902C8" w14:textId="18BB98C9" w:rsidR="00182990" w:rsidRDefault="00766F6B" w:rsidP="00766F6B">
      <w:pPr>
        <w:pStyle w:val="Caption"/>
      </w:pPr>
      <w:r>
        <w:t xml:space="preserve">Figure </w:t>
      </w:r>
      <w:fldSimple w:instr=" SEQ Figure \* ARABIC ">
        <w:r w:rsidR="004C2795">
          <w:rPr>
            <w:noProof/>
          </w:rPr>
          <w:t>1</w:t>
        </w:r>
      </w:fldSimple>
      <w:r>
        <w:t xml:space="preserve"> </w:t>
      </w:r>
      <w:r w:rsidRPr="00240D5E">
        <w:t>Price Return of S&amp;P/ASX 200 A-REITs and S&amp;P/ASX 200 (Data has been based at 100)</w:t>
      </w:r>
    </w:p>
    <w:p w14:paraId="162C9082" w14:textId="77777777" w:rsidR="00182990" w:rsidRPr="00320CC7" w:rsidRDefault="00182990" w:rsidP="00857C1E">
      <w:pPr>
        <w:pStyle w:val="BalloonText"/>
        <w:rPr>
          <w:rStyle w:val="SubtleReference"/>
        </w:rPr>
      </w:pPr>
      <w:r w:rsidRPr="00320CC7">
        <w:rPr>
          <w:rStyle w:val="SubtleReference"/>
        </w:rPr>
        <w:t>Source: Author, adopted data from S&amp;P Global (2023)</w:t>
      </w:r>
    </w:p>
    <w:p w14:paraId="75A64F59" w14:textId="77777777" w:rsidR="00B900D1" w:rsidRDefault="00B900D1" w:rsidP="00D3639B">
      <w:pPr>
        <w:rPr>
          <w:szCs w:val="22"/>
        </w:rPr>
      </w:pPr>
    </w:p>
    <w:p w14:paraId="4D98768B" w14:textId="77777777" w:rsidR="00182990" w:rsidRPr="00C63BC0" w:rsidRDefault="00182990" w:rsidP="00D3639B">
      <w:pPr>
        <w:pStyle w:val="Heading2"/>
      </w:pPr>
      <w:r w:rsidRPr="00C63BC0">
        <w:t>2.2 Behavioural Finance and Investor Sentiment</w:t>
      </w:r>
    </w:p>
    <w:p w14:paraId="6D087FE5" w14:textId="477D1D97" w:rsidR="00182990" w:rsidRDefault="00182990" w:rsidP="00D3639B">
      <w:pPr>
        <w:rPr>
          <w:szCs w:val="22"/>
        </w:rPr>
      </w:pPr>
      <w:r w:rsidRPr="003436BD">
        <w:rPr>
          <w:szCs w:val="22"/>
        </w:rPr>
        <w:t>The efficient markets hypothesis (EMH) in</w:t>
      </w:r>
      <w:r w:rsidR="00AA37DD">
        <w:rPr>
          <w:szCs w:val="22"/>
        </w:rPr>
        <w:t xml:space="preserve"> </w:t>
      </w:r>
      <w:r w:rsidRPr="003436BD">
        <w:rPr>
          <w:szCs w:val="22"/>
        </w:rPr>
        <w:t xml:space="preserve">neoclassical finance reached its heyday in academia around the 1970s </w:t>
      </w:r>
      <w:r w:rsidRPr="003436BD">
        <w:rPr>
          <w:szCs w:val="22"/>
        </w:rPr>
        <w:fldChar w:fldCharType="begin"/>
      </w:r>
      <w:r w:rsidRPr="003436BD">
        <w:rPr>
          <w:szCs w:val="22"/>
        </w:rPr>
        <w:instrText xml:space="preserve"> ADDIN EN.CITE &lt;EndNote&gt;&lt;Cite&gt;&lt;Author&gt;Shiller&lt;/Author&gt;&lt;Year&gt;2003&lt;/Year&gt;&lt;RecNum&gt;255&lt;/RecNum&gt;&lt;DisplayText&gt;(Shiller 2003)&lt;/DisplayText&gt;&lt;record&gt;&lt;rec-number&gt;255&lt;/rec-number&gt;&lt;foreign-keys&gt;&lt;key app="EN" db-id="e9xrw0ppjrxazme9sdavssd69wf90saf5s09" timestamp="1650996145" guid="9abb8849-e22e-4e8a-81ff-261f063be7a1"&gt;255&lt;/key&gt;&lt;/foreign-keys&gt;&lt;ref-type name="Journal Article"&gt;17&lt;/ref-type&gt;&lt;contributors&gt;&lt;authors&gt;&lt;author&gt;Shiller, Robert J&lt;/author&gt;&lt;/authors&gt;&lt;/contributors&gt;&lt;titles&gt;&lt;title&gt;From efficient markets theory to behavioral finance&lt;/title&gt;&lt;secondary-title&gt;Journal of economic perspectives&lt;/secondary-title&gt;&lt;/titles&gt;&lt;periodical&gt;&lt;full-title&gt;Journal of Economic Perspectives&lt;/full-title&gt;&lt;/periodical&gt;&lt;pages&gt;83-104&lt;/pages&gt;&lt;volume&gt;17&lt;/volume&gt;&lt;number&gt;1&lt;/number&gt;&lt;dates&gt;&lt;year&gt;2003&lt;/year&gt;&lt;/dates&gt;&lt;isbn&gt;0895-3309&lt;/isbn&gt;&lt;urls&gt;&lt;/urls&gt;&lt;/record&gt;&lt;/Cite&gt;&lt;/EndNote&gt;</w:instrText>
      </w:r>
      <w:r w:rsidRPr="003436BD">
        <w:rPr>
          <w:szCs w:val="22"/>
        </w:rPr>
        <w:fldChar w:fldCharType="separate"/>
      </w:r>
      <w:r w:rsidRPr="003436BD">
        <w:rPr>
          <w:szCs w:val="22"/>
        </w:rPr>
        <w:t>(Shiller 2003)</w:t>
      </w:r>
      <w:r w:rsidRPr="003436BD">
        <w:rPr>
          <w:szCs w:val="22"/>
        </w:rPr>
        <w:fldChar w:fldCharType="end"/>
      </w:r>
      <w:r w:rsidRPr="003436BD">
        <w:rPr>
          <w:szCs w:val="22"/>
        </w:rPr>
        <w:t>. This is one of the most familiar theories to academics and practitioners in the field of finance and investment. The EMH is based on the controversial premise that investors participating in the market are homogeneous and sufficiently rational and able to respond quickly and reasonably to all market information</w:t>
      </w:r>
      <w:r>
        <w:rPr>
          <w:szCs w:val="22"/>
        </w:rPr>
        <w:t xml:space="preserve"> </w:t>
      </w:r>
      <w:r w:rsidRPr="003436BD">
        <w:rPr>
          <w:szCs w:val="22"/>
        </w:rPr>
        <w:fldChar w:fldCharType="begin"/>
      </w:r>
      <w:r w:rsidRPr="003436BD">
        <w:rPr>
          <w:szCs w:val="22"/>
        </w:rPr>
        <w:instrText xml:space="preserve"> ADDIN EN.CITE &lt;EndNote&gt;&lt;Cite&gt;&lt;Author&gt;Hirshleifer&lt;/Author&gt;&lt;Year&gt;2015&lt;/Year&gt;&lt;RecNum&gt;254&lt;/RecNum&gt;&lt;DisplayText&gt;(Hirshleifer 2015; Shiller 2003)&lt;/DisplayText&gt;&lt;record&gt;&lt;rec-number&gt;254&lt;/rec-number&gt;&lt;foreign-keys&gt;&lt;key app="EN" db-id="e9xrw0ppjrxazme9sdavssd69wf90saf5s09" timestamp="1650995586" guid="796cb5fa-3086-4970-b074-60f08b2592b4"&gt;254&lt;/key&gt;&lt;/foreign-keys&gt;&lt;ref-type name="Journal Article"&gt;17&lt;/ref-type&gt;&lt;contributors&gt;&lt;authors&gt;&lt;author&gt;Hirshleifer, David&lt;/author&gt;&lt;/authors&gt;&lt;/contributors&gt;&lt;titles&gt;&lt;title&gt;Behavioral finance&lt;/title&gt;&lt;secondary-title&gt;Annual Review of Financial Economics&lt;/secondary-title&gt;&lt;/titles&gt;&lt;periodical&gt;&lt;full-title&gt;Annual Review of Financial Economics&lt;/full-title&gt;&lt;/periodical&gt;&lt;pages&gt;133-159&lt;/pages&gt;&lt;volume&gt;7&lt;/volume&gt;&lt;dates&gt;&lt;year&gt;2015&lt;/year&gt;&lt;/dates&gt;&lt;isbn&gt;1941-1367&lt;/isbn&gt;&lt;urls&gt;&lt;/urls&gt;&lt;/record&gt;&lt;/Cite&gt;&lt;Cite&gt;&lt;Author&gt;Shiller&lt;/Author&gt;&lt;Year&gt;2003&lt;/Year&gt;&lt;RecNum&gt;255&lt;/RecNum&gt;&lt;record&gt;&lt;rec-number&gt;255&lt;/rec-number&gt;&lt;foreign-keys&gt;&lt;key app="EN" db-id="e9xrw0ppjrxazme9sdavssd69wf90saf5s09" timestamp="1650996145" guid="9abb8849-e22e-4e8a-81ff-261f063be7a1"&gt;255&lt;/key&gt;&lt;/foreign-keys&gt;&lt;ref-type name="Journal Article"&gt;17&lt;/ref-type&gt;&lt;contributors&gt;&lt;authors&gt;&lt;author&gt;Shiller, Robert J&lt;/author&gt;&lt;/authors&gt;&lt;/contributors&gt;&lt;titles&gt;&lt;title&gt;From efficient markets theory to behavioral finance&lt;/title&gt;&lt;secondary-title&gt;Journal of economic perspectives&lt;/secondary-title&gt;&lt;/titles&gt;&lt;periodical&gt;&lt;full-title&gt;Journal of Economic Perspectives&lt;/full-title&gt;&lt;/periodical&gt;&lt;pages&gt;83-104&lt;/pages&gt;&lt;volume&gt;17&lt;/volume&gt;&lt;number&gt;1&lt;/number&gt;&lt;dates&gt;&lt;year&gt;2003&lt;/year&gt;&lt;/dates&gt;&lt;isbn&gt;0895-3309&lt;/isbn&gt;&lt;urls&gt;&lt;/urls&gt;&lt;/record&gt;&lt;/Cite&gt;&lt;/EndNote&gt;</w:instrText>
      </w:r>
      <w:r w:rsidRPr="003436BD">
        <w:rPr>
          <w:szCs w:val="22"/>
        </w:rPr>
        <w:fldChar w:fldCharType="separate"/>
      </w:r>
      <w:r w:rsidRPr="003436BD">
        <w:rPr>
          <w:szCs w:val="22"/>
        </w:rPr>
        <w:t>(Hirshleifer 2015; Shiller 2003)</w:t>
      </w:r>
      <w:r w:rsidRPr="003436BD">
        <w:rPr>
          <w:szCs w:val="22"/>
        </w:rPr>
        <w:fldChar w:fldCharType="end"/>
      </w:r>
      <w:r w:rsidRPr="003436BD">
        <w:rPr>
          <w:szCs w:val="22"/>
        </w:rPr>
        <w:t xml:space="preserve">. Since proposed, the EMH has become a popular topic for empirical research on capital markets, with many voices both for and against it. </w:t>
      </w:r>
      <w:bookmarkStart w:id="2" w:name="OLE_LINK8"/>
      <w:bookmarkStart w:id="3" w:name="OLE_LINK19"/>
      <w:r w:rsidR="00342134">
        <w:rPr>
          <w:szCs w:val="22"/>
        </w:rPr>
        <w:t>B</w:t>
      </w:r>
      <w:r w:rsidRPr="003436BD">
        <w:rPr>
          <w:szCs w:val="22"/>
        </w:rPr>
        <w:t xml:space="preserve">ehavioural finance </w:t>
      </w:r>
      <w:r>
        <w:rPr>
          <w:szCs w:val="22"/>
        </w:rPr>
        <w:t>provides an alternative view.</w:t>
      </w:r>
    </w:p>
    <w:bookmarkEnd w:id="2"/>
    <w:bookmarkEnd w:id="3"/>
    <w:p w14:paraId="7A1F6661" w14:textId="77777777" w:rsidR="00182990" w:rsidRPr="003436BD" w:rsidRDefault="00182990" w:rsidP="00D3639B">
      <w:pPr>
        <w:rPr>
          <w:szCs w:val="22"/>
        </w:rPr>
      </w:pPr>
    </w:p>
    <w:p w14:paraId="21A7908D" w14:textId="0296F84B" w:rsidR="00182990" w:rsidRPr="003436BD" w:rsidRDefault="00182990" w:rsidP="00D3639B">
      <w:pPr>
        <w:rPr>
          <w:szCs w:val="22"/>
        </w:rPr>
      </w:pPr>
      <w:bookmarkStart w:id="4" w:name="OLE_LINK304"/>
      <w:bookmarkStart w:id="5" w:name="OLE_LINK305"/>
      <w:r w:rsidRPr="003436BD">
        <w:rPr>
          <w:szCs w:val="22"/>
        </w:rPr>
        <w:t>In contrast to the EMH's belief that investors are rational, and markets are efficient, behavioural finance believes that investors may behave irrationally, and also markets are not always efficient.</w:t>
      </w:r>
      <w:r>
        <w:rPr>
          <w:szCs w:val="22"/>
        </w:rPr>
        <w:t xml:space="preserve"> </w:t>
      </w:r>
      <w:r w:rsidRPr="003436BD">
        <w:rPr>
          <w:szCs w:val="22"/>
        </w:rPr>
        <w:fldChar w:fldCharType="begin"/>
      </w:r>
      <w:r w:rsidRPr="003436BD">
        <w:rPr>
          <w:szCs w:val="22"/>
        </w:rPr>
        <w:instrText xml:space="preserve"> ADDIN EN.CITE &lt;EndNote&gt;&lt;Cite AuthorYear="1"&gt;&lt;Author&gt;Ramiah&lt;/Author&gt;&lt;Year&gt;2015&lt;/Year&gt;&lt;RecNum&gt;253&lt;/RecNum&gt;&lt;DisplayText&gt;Ramiah, Xu and Moosa (2015)&lt;/DisplayText&gt;&lt;record&gt;&lt;rec-number&gt;253&lt;/rec-number&gt;&lt;foreign-keys&gt;&lt;key app="EN" db-id="e9xrw0ppjrxazme9sdavssd69wf90saf5s09" timestamp="1650995430" guid="0a246d70-9ec9-4e92-b048-9a28422f7edd"&gt;253&lt;/key&gt;&lt;/foreign-keys&gt;&lt;ref-type name="Journal Article"&gt;17&lt;/ref-type&gt;&lt;contributors&gt;&lt;authors&gt;&lt;author&gt;Ramiah, Vikash&lt;/author&gt;&lt;author&gt;Xu, Xiaoming&lt;/author&gt;&lt;author&gt;Moosa, Imad A.&lt;/author&gt;&lt;/authors&gt;&lt;/contributors&gt;&lt;titles&gt;&lt;title&gt;Neoclassical finance, behavioral finance and noise traders: A review and assessment of the literature&lt;/title&gt;&lt;secondary-title&gt;International Review of Financial Analysis&lt;/secondary-title&gt;&lt;/titles&gt;&lt;periodical&gt;&lt;full-title&gt;International Review of Financial Analysis&lt;/full-title&gt;&lt;/periodical&gt;&lt;pages&gt;89-100&lt;/pages&gt;&lt;volume&gt;41&lt;/volume&gt;&lt;keywords&gt;&lt;keyword&gt;Behavioral finance&lt;/keyword&gt;&lt;keyword&gt;EMH&lt;/keyword&gt;&lt;keyword&gt;Noise trader risk&lt;/keyword&gt;&lt;keyword&gt;Market anomalies&lt;/keyword&gt;&lt;/keywords&gt;&lt;dates&gt;&lt;year&gt;2015&lt;/year&gt;&lt;pub-dates&gt;&lt;date&gt;2015/10/01/&lt;/date&gt;&lt;/pub-dates&gt;&lt;/dates&gt;&lt;isbn&gt;1057-5219&lt;/isbn&gt;&lt;urls&gt;&lt;related-urls&gt;&lt;url&gt;https://www.sciencedirect.com/science/article/pii/S1057521915001039&lt;/url&gt;&lt;/related-urls&gt;&lt;/urls&gt;&lt;electronic-resource-num&gt;https://doi.org/10.1016/j.irfa.2015.05.021&lt;/electronic-resource-num&gt;&lt;/record&gt;&lt;/Cite&gt;&lt;/EndNote&gt;</w:instrText>
      </w:r>
      <w:r w:rsidRPr="003436BD">
        <w:rPr>
          <w:szCs w:val="22"/>
        </w:rPr>
        <w:fldChar w:fldCharType="separate"/>
      </w:r>
      <w:r w:rsidRPr="003436BD">
        <w:rPr>
          <w:szCs w:val="22"/>
        </w:rPr>
        <w:t>Ramiah, Xu and Moosa (2015)</w:t>
      </w:r>
      <w:r w:rsidRPr="003436BD">
        <w:rPr>
          <w:szCs w:val="22"/>
        </w:rPr>
        <w:fldChar w:fldCharType="end"/>
      </w:r>
      <w:r w:rsidRPr="003436BD">
        <w:rPr>
          <w:szCs w:val="22"/>
        </w:rPr>
        <w:t xml:space="preserve"> pointed out that market participants are subject to common human errors due to heuristics</w:t>
      </w:r>
      <w:r w:rsidRPr="003436BD">
        <w:rPr>
          <w:szCs w:val="22"/>
          <w:vertAlign w:val="superscript"/>
        </w:rPr>
        <w:footnoteReference w:id="2"/>
      </w:r>
      <w:r w:rsidRPr="003436BD">
        <w:rPr>
          <w:szCs w:val="22"/>
        </w:rPr>
        <w:t xml:space="preserve"> and biases. This implies that investors are heterogeneous and limited rational. The term ‘bounded rationality</w:t>
      </w:r>
      <w:r w:rsidRPr="003436BD">
        <w:rPr>
          <w:szCs w:val="22"/>
          <w:vertAlign w:val="superscript"/>
        </w:rPr>
        <w:footnoteReference w:id="3"/>
      </w:r>
      <w:r w:rsidRPr="003436BD">
        <w:rPr>
          <w:szCs w:val="22"/>
        </w:rPr>
        <w:t xml:space="preserve">’ is used to describe this situation </w:t>
      </w:r>
      <w:r w:rsidRPr="003436BD">
        <w:rPr>
          <w:szCs w:val="22"/>
        </w:rPr>
        <w:fldChar w:fldCharType="begin"/>
      </w:r>
      <w:r w:rsidRPr="003436BD">
        <w:rPr>
          <w:szCs w:val="22"/>
        </w:rPr>
        <w:instrText xml:space="preserve"> ADDIN EN.CITE &lt;EndNote&gt;&lt;Cite&gt;&lt;Author&gt;Sent&lt;/Author&gt;&lt;Year&gt;2018&lt;/Year&gt;&lt;RecNum&gt;900&lt;/RecNum&gt;&lt;DisplayText&gt;(Sent 2018)&lt;/DisplayText&gt;&lt;record&gt;&lt;rec-number&gt;900&lt;/rec-number&gt;&lt;foreign-keys&gt;&lt;key app="EN" db-id="e9xrw0ppjrxazme9sdavssd69wf90saf5s09" timestamp="1690929623" guid="262c55bd-30b5-4a2a-a060-d9bf89996e2b"&gt;900&lt;/key&gt;&lt;/foreign-keys&gt;&lt;ref-type name="Journal Article"&gt;17&lt;/ref-type&gt;&lt;contributors&gt;&lt;authors&gt;&lt;author&gt;Sent, Esther-Mirjam&lt;/author&gt;&lt;/authors&gt;&lt;/contributors&gt;&lt;titles&gt;&lt;title&gt;Rationality and bounded rationality: You can’t have one without the other&lt;/title&gt;&lt;secondary-title&gt;The European Journal of the History of Economic Thought&lt;/secondary-title&gt;&lt;/titles&gt;&lt;periodical&gt;&lt;full-title&gt;The European Journal of the History of Economic Thought&lt;/full-title&gt;&lt;/periodical&gt;&lt;pages&gt;1370-1386&lt;/pages&gt;&lt;volume&gt;25&lt;/volume&gt;&lt;number&gt;6&lt;/number&gt;&lt;dates&gt;&lt;year&gt;2018&lt;/year&gt;&lt;/dates&gt;&lt;isbn&gt;0967-2567&lt;/isbn&gt;&lt;urls&gt;&lt;/urls&gt;&lt;/record&gt;&lt;/Cite&gt;&lt;/EndNote&gt;</w:instrText>
      </w:r>
      <w:r w:rsidRPr="003436BD">
        <w:rPr>
          <w:szCs w:val="22"/>
        </w:rPr>
        <w:fldChar w:fldCharType="separate"/>
      </w:r>
      <w:r w:rsidRPr="003436BD">
        <w:rPr>
          <w:szCs w:val="22"/>
        </w:rPr>
        <w:t>(Sent 2018)</w:t>
      </w:r>
      <w:r w:rsidRPr="003436BD">
        <w:rPr>
          <w:szCs w:val="22"/>
        </w:rPr>
        <w:fldChar w:fldCharType="end"/>
      </w:r>
      <w:r w:rsidRPr="003436BD">
        <w:rPr>
          <w:szCs w:val="22"/>
        </w:rPr>
        <w:t xml:space="preserve">. Such investors with irrational behaviour are often referred to as noise traders or irrational investors in behavioural finance research. </w:t>
      </w:r>
      <w:r w:rsidRPr="003436BD">
        <w:rPr>
          <w:szCs w:val="22"/>
        </w:rPr>
        <w:fldChar w:fldCharType="begin"/>
      </w:r>
      <w:r w:rsidRPr="003436BD">
        <w:rPr>
          <w:szCs w:val="22"/>
        </w:rPr>
        <w:instrText xml:space="preserve"> ADDIN EN.CITE &lt;EndNote&gt;&lt;Cite AuthorYear="1"&gt;&lt;Author&gt;De Long&lt;/Author&gt;&lt;Year&gt;1990&lt;/Year&gt;&lt;RecNum&gt;2&lt;/RecNum&gt;&lt;DisplayText&gt;De Long et al. (1990)&lt;/DisplayText&gt;&lt;record&gt;&lt;rec-number&gt;2&lt;/rec-number&gt;&lt;foreign-keys&gt;&lt;key app="EN" db-id="e9xrw0ppjrxazme9sdavssd69wf90saf5s09" timestamp="1638708183" guid="940fe901-dcae-4679-b59e-2ac021164ab7"&gt;2&lt;/key&gt;&lt;/foreign-keys&gt;&lt;ref-type name="Journal Article"&gt;17&lt;/ref-type&gt;&lt;contributors&gt;&lt;authors&gt;&lt;author&gt;De Long, J. Bradford&lt;/author&gt;&lt;author&gt;Shleifer, Andrei&lt;/author&gt;&lt;author&gt;Summers, Lawrence H.&lt;/author&gt;&lt;author&gt;Waldmann, Robert J.&lt;/author&gt;&lt;/authors&gt;&lt;/contributors&gt;&lt;titles&gt;&lt;title&gt;Noise Trader Risk in Financial Markets&lt;/title&gt;&lt;secondary-title&gt;Journal of Political Economy&lt;/secondary-title&gt;&lt;/titles&gt;&lt;periodical&gt;&lt;full-title&gt;Journal of Political Economy&lt;/full-title&gt;&lt;/periodical&gt;&lt;pages&gt;703-738&lt;/pages&gt;&lt;volume&gt;98&lt;/volume&gt;&lt;number&gt;4&lt;/number&gt;&lt;dates&gt;&lt;year&gt;1990&lt;/year&gt;&lt;/dates&gt;&lt;publisher&gt;University of Chicago Press&lt;/publisher&gt;&lt;isbn&gt;00223808, 1537534X&lt;/isbn&gt;&lt;urls&gt;&lt;related-urls&gt;&lt;url&gt;http://www.jstor.org/stable/2937765&lt;/url&gt;&lt;/related-urls&gt;&lt;/urls&gt;&lt;custom1&gt;Full publication date: Aug., 1990&lt;/custom1&gt;&lt;remote-database-name&gt;JSTOR&lt;/remote-database-name&gt;&lt;access-date&gt;2021/12/05/&lt;/access-date&gt;&lt;/record&gt;&lt;/Cite&gt;&lt;/EndNote&gt;</w:instrText>
      </w:r>
      <w:r w:rsidRPr="003436BD">
        <w:rPr>
          <w:szCs w:val="22"/>
        </w:rPr>
        <w:fldChar w:fldCharType="separate"/>
      </w:r>
      <w:r w:rsidRPr="003436BD">
        <w:rPr>
          <w:szCs w:val="22"/>
        </w:rPr>
        <w:t>De Long et al. (1990)</w:t>
      </w:r>
      <w:r w:rsidRPr="003436BD">
        <w:rPr>
          <w:szCs w:val="22"/>
        </w:rPr>
        <w:fldChar w:fldCharType="end"/>
      </w:r>
      <w:r w:rsidRPr="003436BD">
        <w:rPr>
          <w:szCs w:val="22"/>
        </w:rPr>
        <w:t xml:space="preserve"> stated that the trading behaviour </w:t>
      </w:r>
      <w:r w:rsidR="00905BE4">
        <w:rPr>
          <w:szCs w:val="22"/>
        </w:rPr>
        <w:t>of</w:t>
      </w:r>
      <w:r w:rsidRPr="003436BD">
        <w:rPr>
          <w:szCs w:val="22"/>
        </w:rPr>
        <w:t xml:space="preserve"> noise traders is capable of explaining the divergence between market prices and the underlying value of assets. In addition, a large body of empirical </w:t>
      </w:r>
      <w:r w:rsidR="007079C8">
        <w:rPr>
          <w:szCs w:val="22"/>
        </w:rPr>
        <w:t>research-based</w:t>
      </w:r>
      <w:r>
        <w:rPr>
          <w:szCs w:val="22"/>
        </w:rPr>
        <w:t xml:space="preserve"> </w:t>
      </w:r>
      <w:r w:rsidRPr="003436BD">
        <w:rPr>
          <w:szCs w:val="22"/>
        </w:rPr>
        <w:t>evidence ha</w:t>
      </w:r>
      <w:r w:rsidR="00EB356B">
        <w:rPr>
          <w:szCs w:val="22"/>
        </w:rPr>
        <w:t>s</w:t>
      </w:r>
      <w:r w:rsidRPr="003436BD">
        <w:rPr>
          <w:szCs w:val="22"/>
        </w:rPr>
        <w:t xml:space="preserve"> confirmed that noise traders are active market participants, and their participation triggers market anomalies </w:t>
      </w:r>
      <w:r w:rsidRPr="003436BD">
        <w:rPr>
          <w:szCs w:val="22"/>
        </w:rPr>
        <w:fldChar w:fldCharType="begin">
          <w:fldData xml:space="preserve">PEVuZE5vdGU+PENpdGU+PEF1dGhvcj5SYW1pYWg8L0F1dGhvcj48WWVhcj4yMDE1PC9ZZWFyPjxS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</w:fldData>
        </w:fldChar>
      </w:r>
      <w:r w:rsidRPr="003436BD">
        <w:rPr>
          <w:szCs w:val="22"/>
        </w:rPr>
        <w:instrText xml:space="preserve"> ADDIN EN.CITE </w:instrText>
      </w:r>
      <w:r w:rsidRPr="003436BD">
        <w:rPr>
          <w:szCs w:val="22"/>
        </w:rPr>
        <w:fldChar w:fldCharType="begin">
          <w:fldData xml:space="preserve">PEVuZE5vdGU+PENpdGU+PEF1dGhvcj5SYW1pYWg8L0F1dGhvcj48WWVhcj4yMDE1PC9ZZWFyPjxS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</w:fldData>
        </w:fldChar>
      </w:r>
      <w:r w:rsidRPr="003436BD">
        <w:rPr>
          <w:szCs w:val="22"/>
        </w:rPr>
        <w:instrText xml:space="preserve"> ADDIN EN.CITE.DATA </w:instrText>
      </w:r>
      <w:r w:rsidRPr="003436BD">
        <w:rPr>
          <w:szCs w:val="22"/>
        </w:rPr>
      </w:r>
      <w:r w:rsidRPr="003436BD">
        <w:rPr>
          <w:szCs w:val="22"/>
        </w:rPr>
        <w:fldChar w:fldCharType="end"/>
      </w:r>
      <w:r w:rsidRPr="003436BD">
        <w:rPr>
          <w:szCs w:val="22"/>
        </w:rPr>
      </w:r>
      <w:r w:rsidRPr="003436BD">
        <w:rPr>
          <w:szCs w:val="22"/>
        </w:rPr>
        <w:fldChar w:fldCharType="separate"/>
      </w:r>
      <w:r w:rsidRPr="003436BD">
        <w:rPr>
          <w:szCs w:val="22"/>
        </w:rPr>
        <w:t>(De Long et al. 1990; Ramiah, Xu &amp; Moosa 2015; Yalçın 2010)</w:t>
      </w:r>
      <w:r w:rsidRPr="003436BD">
        <w:rPr>
          <w:szCs w:val="22"/>
        </w:rPr>
        <w:fldChar w:fldCharType="end"/>
      </w:r>
      <w:r w:rsidRPr="003436BD">
        <w:rPr>
          <w:szCs w:val="22"/>
        </w:rPr>
        <w:t xml:space="preserve">. </w:t>
      </w:r>
    </w:p>
    <w:bookmarkEnd w:id="4"/>
    <w:bookmarkEnd w:id="5"/>
    <w:p w14:paraId="346127B2" w14:textId="77777777" w:rsidR="00182990" w:rsidRPr="003436BD" w:rsidRDefault="00182990" w:rsidP="00D3639B">
      <w:pPr>
        <w:rPr>
          <w:szCs w:val="22"/>
          <w:lang w:eastAsia="zh-CN"/>
        </w:rPr>
      </w:pPr>
    </w:p>
    <w:p w14:paraId="0E3CB388" w14:textId="77777777" w:rsidR="00182990" w:rsidRPr="003436BD" w:rsidRDefault="00182990" w:rsidP="00D3639B">
      <w:pPr>
        <w:rPr>
          <w:szCs w:val="22"/>
        </w:rPr>
      </w:pPr>
      <w:r w:rsidRPr="003436BD">
        <w:rPr>
          <w:szCs w:val="22"/>
        </w:rPr>
        <w:t xml:space="preserve">The study of noise traders aims to analyse the impact of the mindset or investment behaviour of irrational groups on the market. This also introduces the research topic of this </w:t>
      </w:r>
      <w:r>
        <w:rPr>
          <w:szCs w:val="22"/>
        </w:rPr>
        <w:t>study</w:t>
      </w:r>
      <w:r w:rsidRPr="003436BD">
        <w:rPr>
          <w:szCs w:val="22"/>
        </w:rPr>
        <w:t>, which is investor sentiment</w:t>
      </w:r>
      <w:bookmarkStart w:id="6" w:name="OLE_LINK194"/>
      <w:bookmarkStart w:id="7" w:name="OLE_LINK195"/>
      <w:r w:rsidRPr="003436BD">
        <w:rPr>
          <w:szCs w:val="22"/>
        </w:rPr>
        <w:t xml:space="preserve">. Investor sentiment can be seen as a generalisation of the changes in the mindset and behavioural characteristics of </w:t>
      </w:r>
      <w:r w:rsidRPr="003436BD">
        <w:rPr>
          <w:szCs w:val="22"/>
        </w:rPr>
        <w:lastRenderedPageBreak/>
        <w:t xml:space="preserve">market participants during the investment process. Behavioural finance recognises that investors have varying psychological characteristics which also influence their perception of risk and return when engaging in financial activities. Therefore, it is necessary to integrate the psychological factors of investors with financial market activities </w:t>
      </w:r>
      <w:r w:rsidRPr="003436BD">
        <w:rPr>
          <w:szCs w:val="22"/>
        </w:rPr>
        <w:fldChar w:fldCharType="begin">
          <w:fldData xml:space="preserve">PEVuZE5vdGU+PENpdGU+PEF1dGhvcj5TaGVmcmluPC9BdXRob3I+PFllYXI+MjAwMDwvWWVhcj48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</w:fldData>
        </w:fldChar>
      </w:r>
      <w:r>
        <w:rPr>
          <w:szCs w:val="22"/>
        </w:rPr>
        <w:instrText xml:space="preserve"> ADDIN EN.CITE </w:instrText>
      </w:r>
      <w:r>
        <w:rPr>
          <w:szCs w:val="22"/>
        </w:rPr>
        <w:fldChar w:fldCharType="begin">
          <w:fldData xml:space="preserve">PEVuZE5vdGU+PENpdGU+PEF1dGhvcj5TaGVmcmluPC9BdXRob3I+PFllYXI+MjAwMDwvWWVhcj48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</w:fldData>
        </w:fldChar>
      </w:r>
      <w:r>
        <w:rPr>
          <w:szCs w:val="22"/>
        </w:rPr>
        <w:instrText xml:space="preserve"> ADDIN EN.CITE.DATA </w:instrText>
      </w:r>
      <w:r>
        <w:rPr>
          <w:szCs w:val="22"/>
        </w:rPr>
      </w:r>
      <w:r>
        <w:rPr>
          <w:szCs w:val="22"/>
        </w:rPr>
        <w:fldChar w:fldCharType="end"/>
      </w:r>
      <w:r w:rsidRPr="003436BD">
        <w:rPr>
          <w:szCs w:val="22"/>
        </w:rPr>
      </w:r>
      <w:r w:rsidRPr="003436BD">
        <w:rPr>
          <w:szCs w:val="22"/>
        </w:rPr>
        <w:fldChar w:fldCharType="separate"/>
      </w:r>
      <w:r>
        <w:rPr>
          <w:noProof/>
          <w:szCs w:val="22"/>
        </w:rPr>
        <w:t>(Kapoor &amp; Prosad 2017; Shefrin &amp; Statman 2000; Statman 2014)</w:t>
      </w:r>
      <w:r w:rsidRPr="003436BD">
        <w:rPr>
          <w:szCs w:val="22"/>
        </w:rPr>
        <w:fldChar w:fldCharType="end"/>
      </w:r>
      <w:r w:rsidRPr="003436BD">
        <w:rPr>
          <w:szCs w:val="22"/>
        </w:rPr>
        <w:t xml:space="preserve">. </w:t>
      </w:r>
    </w:p>
    <w:bookmarkEnd w:id="6"/>
    <w:bookmarkEnd w:id="7"/>
    <w:p w14:paraId="49C0100B" w14:textId="77777777" w:rsidR="00182990" w:rsidRDefault="00182990" w:rsidP="00D3639B">
      <w:pPr>
        <w:rPr>
          <w:szCs w:val="22"/>
        </w:rPr>
      </w:pPr>
    </w:p>
    <w:p w14:paraId="68345334" w14:textId="5DFDCA28" w:rsidR="00182990" w:rsidRDefault="00182990" w:rsidP="00D3639B">
      <w:pPr>
        <w:rPr>
          <w:szCs w:val="22"/>
        </w:rPr>
      </w:pPr>
      <w:r>
        <w:rPr>
          <w:szCs w:val="22"/>
        </w:rPr>
        <w:t xml:space="preserve">One challenge when studying investor sentiment is how to measure investor sentiment. </w:t>
      </w:r>
      <w:r w:rsidRPr="00EE221A">
        <w:rPr>
          <w:szCs w:val="22"/>
        </w:rPr>
        <w:t>However, there is no consensus among scholars on the criteria for selecting sentiment indicators in relevant studies, i.e., which measure is the best or the most accurate. This means the indicators used for measuring investors' sentiment are diverse in practice. In the previous literature, three main types of techniques have been used to measure investor sentiment</w:t>
      </w:r>
      <w:r>
        <w:rPr>
          <w:szCs w:val="22"/>
        </w:rPr>
        <w:t xml:space="preserve">: </w:t>
      </w:r>
      <w:r w:rsidRPr="00EE221A">
        <w:rPr>
          <w:szCs w:val="22"/>
        </w:rPr>
        <w:t>the implicit indicator method</w:t>
      </w:r>
      <w:r w:rsidR="004E37C3">
        <w:rPr>
          <w:szCs w:val="22"/>
        </w:rPr>
        <w:t xml:space="preserve"> (market-based indicators)</w:t>
      </w:r>
      <w:r w:rsidRPr="00EE221A">
        <w:rPr>
          <w:szCs w:val="22"/>
        </w:rPr>
        <w:t>, the explicit indicator method</w:t>
      </w:r>
      <w:r w:rsidR="009E79AA">
        <w:rPr>
          <w:szCs w:val="22"/>
        </w:rPr>
        <w:t xml:space="preserve"> (survey-based indicators)</w:t>
      </w:r>
      <w:r w:rsidRPr="00EE221A">
        <w:rPr>
          <w:szCs w:val="22"/>
        </w:rPr>
        <w:t>, and the composite indicator method.</w:t>
      </w:r>
    </w:p>
    <w:p w14:paraId="3A68F098" w14:textId="77777777" w:rsidR="00182990" w:rsidRDefault="00182990" w:rsidP="00D3639B">
      <w:pPr>
        <w:rPr>
          <w:szCs w:val="22"/>
        </w:rPr>
      </w:pPr>
    </w:p>
    <w:p w14:paraId="66E2D6FA" w14:textId="13B4BD38" w:rsidR="00182990" w:rsidRPr="00961992" w:rsidRDefault="00182990" w:rsidP="00D3639B">
      <w:pPr>
        <w:rPr>
          <w:szCs w:val="22"/>
          <w:lang w:eastAsia="zh-CN"/>
        </w:rPr>
      </w:pPr>
      <w:bookmarkStart w:id="8" w:name="OLE_LINK168"/>
      <w:bookmarkStart w:id="9" w:name="OLE_LINK169"/>
      <w:bookmarkStart w:id="10" w:name="OLE_LINK170"/>
      <w:bookmarkStart w:id="11" w:name="OLE_LINK171"/>
      <w:bookmarkStart w:id="12" w:name="OLE_LINK181"/>
      <w:bookmarkStart w:id="13" w:name="OLE_LINK182"/>
      <w:bookmarkStart w:id="14" w:name="OLE_LINK183"/>
      <w:r w:rsidRPr="00961992">
        <w:rPr>
          <w:szCs w:val="22"/>
        </w:rPr>
        <w:t xml:space="preserve">Market-based sentiment indicators were a common tool used by behavioural finance scholars in the early 1990s to explain bullish and bearish market sentiment </w:t>
      </w:r>
      <w:r w:rsidRPr="00961992">
        <w:rPr>
          <w:szCs w:val="22"/>
        </w:rPr>
        <w:fldChar w:fldCharType="begin"/>
      </w:r>
      <w:r>
        <w:rPr>
          <w:szCs w:val="22"/>
        </w:rPr>
        <w:instrText xml:space="preserve"> ADDIN EN.CITE &lt;EndNote&gt;&lt;Cite&gt;&lt;Author&gt;Brown&lt;/Author&gt;&lt;Year&gt;2004&lt;/Year&gt;&lt;RecNum&gt;9&lt;/RecNum&gt;&lt;DisplayText&gt;(Brown &amp;amp; Cliff 2004)&lt;/DisplayText&gt;&lt;record&gt;&lt;rec-number&gt;9&lt;/rec-number&gt;&lt;foreign-keys&gt;&lt;key app="EN" db-id="e9xrw0ppjrxazme9sdavssd69wf90saf5s09" timestamp="1638715523" guid="9091d919-0373-4a53-b454-33a93372296c"&gt;9&lt;/key&gt;&lt;/foreign-keys&gt;&lt;ref-type name="Journal Article"&gt;17&lt;/ref-type&gt;&lt;contributors&gt;&lt;authors&gt;&lt;author&gt;Brown, Gregory W.&lt;/author&gt;&lt;author&gt;Cliff, Michael T.&lt;/author&gt;&lt;/authors&gt;&lt;/contributors&gt;&lt;titles&gt;&lt;title&gt;Investor sentiment and the near-term stock market&lt;/title&gt;&lt;secondary-title&gt;Journal of Empirical Finance&lt;/secondary-title&gt;&lt;/titles&gt;&lt;periodical&gt;&lt;full-title&gt;Journal of Empirical Finance&lt;/full-title&gt;&lt;/periodical&gt;&lt;pages&gt;1-27&lt;/pages&gt;&lt;volume&gt;11&lt;/volume&gt;&lt;number&gt;1&lt;/number&gt;&lt;dates&gt;&lt;year&gt;2004&lt;/year&gt;&lt;/dates&gt;&lt;urls&gt;&lt;related-urls&gt;&lt;url&gt;https://EconPapers.repec.org/RePEc:eee:empfin:v:11:y:2004:i:1:p:1-27&lt;/url&gt;&lt;/related-urls&gt;&lt;/urls&gt;&lt;/record&gt;&lt;/Cite&gt;&lt;/EndNote&gt;</w:instrText>
      </w:r>
      <w:r w:rsidRPr="00961992">
        <w:rPr>
          <w:szCs w:val="22"/>
        </w:rPr>
        <w:fldChar w:fldCharType="separate"/>
      </w:r>
      <w:r>
        <w:rPr>
          <w:noProof/>
          <w:szCs w:val="22"/>
        </w:rPr>
        <w:t>(Brown &amp; Cliff 2004)</w:t>
      </w:r>
      <w:r w:rsidRPr="00961992">
        <w:rPr>
          <w:szCs w:val="22"/>
        </w:rPr>
        <w:fldChar w:fldCharType="end"/>
      </w:r>
      <w:r w:rsidRPr="00961992">
        <w:rPr>
          <w:szCs w:val="22"/>
        </w:rPr>
        <w:t xml:space="preserve">. </w:t>
      </w:r>
      <w:r w:rsidR="001C3C35" w:rsidRPr="001C3C35">
        <w:rPr>
          <w:szCs w:val="22"/>
        </w:rPr>
        <w:t>This method uses financial data from the market that reflects investors' expectations of the market and processes them through certain statistical techniques to obtain a proxy for investor sentiment</w:t>
      </w:r>
      <w:r w:rsidR="001C3C35">
        <w:rPr>
          <w:szCs w:val="22"/>
        </w:rPr>
        <w:t xml:space="preserve">, which is </w:t>
      </w:r>
      <w:r w:rsidR="001C3C35" w:rsidRPr="001C3C35">
        <w:rPr>
          <w:szCs w:val="22"/>
        </w:rPr>
        <w:t>an indirect measure of investor sentiment</w:t>
      </w:r>
      <w:r w:rsidR="001C3C35">
        <w:rPr>
          <w:szCs w:val="22"/>
        </w:rPr>
        <w:t xml:space="preserve">. </w:t>
      </w:r>
      <w:r w:rsidR="00BD461C" w:rsidRPr="00BD461C">
        <w:rPr>
          <w:szCs w:val="22"/>
        </w:rPr>
        <w:t>Throughout previous studies, the mainstream financial data used to construct sentiment proxies are indicators that demonstrate the degree of capital market activism, such as closed-end fund discount rate, return on initial public offering (IPO), number of IPO</w:t>
      </w:r>
      <w:r w:rsidR="006A2B44">
        <w:rPr>
          <w:szCs w:val="22"/>
        </w:rPr>
        <w:t>s</w:t>
      </w:r>
      <w:r w:rsidR="00BD461C" w:rsidRPr="00BD461C">
        <w:rPr>
          <w:szCs w:val="22"/>
        </w:rPr>
        <w:t>, mutual fund flows, and trading volume.</w:t>
      </w:r>
      <w:r w:rsidR="00BD461C">
        <w:rPr>
          <w:szCs w:val="22"/>
        </w:rPr>
        <w:t xml:space="preserve"> </w:t>
      </w:r>
      <w:r w:rsidRPr="00961992">
        <w:rPr>
          <w:szCs w:val="22"/>
        </w:rPr>
        <w:t xml:space="preserve">Their </w:t>
      </w:r>
      <w:bookmarkStart w:id="15" w:name="OLE_LINK166"/>
      <w:bookmarkStart w:id="16" w:name="OLE_LINK167"/>
      <w:r w:rsidRPr="00961992">
        <w:rPr>
          <w:szCs w:val="22"/>
        </w:rPr>
        <w:t xml:space="preserve">obvious advantages are accessibility and frequent updates. However, as </w:t>
      </w:r>
      <w:r w:rsidRPr="00961992">
        <w:rPr>
          <w:szCs w:val="22"/>
        </w:rPr>
        <w:fldChar w:fldCharType="begin"/>
      </w:r>
      <w:r w:rsidRPr="00961992">
        <w:rPr>
          <w:szCs w:val="22"/>
        </w:rPr>
        <w:instrText xml:space="preserve"> ADDIN EN.CITE &lt;EndNote&gt;&lt;Cite AuthorYear="1"&gt;&lt;Author&gt;Aggarwal&lt;/Author&gt;&lt;Year&gt;2022&lt;/Year&gt;&lt;RecNum&gt;236&lt;/RecNum&gt;&lt;DisplayText&gt;Aggarwal (2022)&lt;/DisplayText&gt;&lt;record&gt;&lt;rec-number&gt;236&lt;/rec-number&gt;&lt;foreign-keys&gt;&lt;key app="EN" db-id="e9xrw0ppjrxazme9sdavssd69wf90saf5s09" timestamp="1650496601" guid="3dcfc421-e0cc-4628-97b4-a7abfdf2ea03"&gt;236&lt;/key&gt;&lt;/foreign-keys&gt;&lt;ref-type name="Journal Article"&gt;17&lt;/ref-type&gt;&lt;contributors&gt;&lt;authors&gt;&lt;author&gt;Aggarwal, Divya&lt;/author&gt;&lt;/authors&gt;&lt;/contributors&gt;&lt;titles&gt;&lt;title&gt;Defining and measuring market sentiments: a review of the literature&lt;/title&gt;&lt;secondary-title&gt;Qualitative Research in Financial Markets&lt;/secondary-title&gt;&lt;/titles&gt;&lt;periodical&gt;&lt;full-title&gt;Qualitative Research in Financial Markets&lt;/full-title&gt;&lt;/periodical&gt;&lt;pages&gt;270-288&lt;/pages&gt;&lt;volume&gt;14&lt;/volume&gt;&lt;number&gt;2&lt;/number&gt;&lt;dates&gt;&lt;year&gt;2022&lt;/year&gt;&lt;/dates&gt;&lt;publisher&gt;Emerald Publishing Limited&lt;/publisher&gt;&lt;isbn&gt;1755-4179&lt;/isbn&gt;&lt;urls&gt;&lt;related-urls&gt;&lt;url&gt;https://doi.org/10.1108/QRFM-03-2018-0033&lt;/url&gt;&lt;/related-urls&gt;&lt;/urls&gt;&lt;electronic-resource-num&gt;10.1108/QRFM-03-2018-0033&lt;/electronic-resource-num&gt;&lt;access-date&gt;2022/04/20&lt;/access-date&gt;&lt;/record&gt;&lt;/Cite&gt;&lt;/EndNote&gt;</w:instrText>
      </w:r>
      <w:r w:rsidRPr="00961992">
        <w:rPr>
          <w:szCs w:val="22"/>
        </w:rPr>
        <w:fldChar w:fldCharType="separate"/>
      </w:r>
      <w:r w:rsidRPr="00961992">
        <w:rPr>
          <w:szCs w:val="22"/>
        </w:rPr>
        <w:t>Aggarwal (2022)</w:t>
      </w:r>
      <w:r w:rsidRPr="00961992">
        <w:rPr>
          <w:szCs w:val="22"/>
        </w:rPr>
        <w:fldChar w:fldCharType="end"/>
      </w:r>
      <w:r w:rsidRPr="00961992">
        <w:rPr>
          <w:szCs w:val="22"/>
        </w:rPr>
        <w:t xml:space="preserve"> points out, a major limitation of all these measures using market-based indicators is that they do not build the measurement of investor sentiment on a basis with a clear definition of sentiment, but instead narrowly use market indicators directly as a proxy for sentiment. </w:t>
      </w:r>
    </w:p>
    <w:bookmarkEnd w:id="8"/>
    <w:bookmarkEnd w:id="9"/>
    <w:bookmarkEnd w:id="10"/>
    <w:bookmarkEnd w:id="11"/>
    <w:bookmarkEnd w:id="12"/>
    <w:bookmarkEnd w:id="15"/>
    <w:bookmarkEnd w:id="16"/>
    <w:p w14:paraId="275E13E8" w14:textId="77777777" w:rsidR="00182990" w:rsidRPr="00961992" w:rsidRDefault="00182990" w:rsidP="00D3639B">
      <w:pPr>
        <w:rPr>
          <w:szCs w:val="22"/>
          <w:lang w:eastAsia="zh-CN"/>
        </w:rPr>
      </w:pPr>
    </w:p>
    <w:p w14:paraId="5F2E7203" w14:textId="059C4A4C" w:rsidR="00182990" w:rsidRDefault="00182990" w:rsidP="00D3639B">
      <w:pPr>
        <w:rPr>
          <w:szCs w:val="22"/>
          <w:lang w:eastAsia="zh-CN"/>
        </w:rPr>
      </w:pPr>
      <w:r w:rsidRPr="00961992">
        <w:rPr>
          <w:szCs w:val="22"/>
        </w:rPr>
        <w:t xml:space="preserve">Survey-based indicators </w:t>
      </w:r>
      <w:r w:rsidR="002114F9" w:rsidRPr="002114F9">
        <w:rPr>
          <w:szCs w:val="22"/>
        </w:rPr>
        <w:t xml:space="preserve">can be used more directly to measure investor sentiment than </w:t>
      </w:r>
      <w:r w:rsidR="00C15842">
        <w:rPr>
          <w:szCs w:val="22"/>
        </w:rPr>
        <w:t xml:space="preserve">marked-based </w:t>
      </w:r>
      <w:r w:rsidR="002114F9" w:rsidRPr="002114F9">
        <w:rPr>
          <w:szCs w:val="22"/>
        </w:rPr>
        <w:t>indicator</w:t>
      </w:r>
      <w:r w:rsidR="00C15842">
        <w:rPr>
          <w:szCs w:val="22"/>
        </w:rPr>
        <w:t>s</w:t>
      </w:r>
      <w:r w:rsidR="002114F9" w:rsidRPr="002114F9">
        <w:rPr>
          <w:szCs w:val="22"/>
        </w:rPr>
        <w:t>. This is because the data sources for explicit indicators are generally obtained through direct surveys of investors or, more broadly, market participants.</w:t>
      </w:r>
      <w:r w:rsidR="007B6147">
        <w:rPr>
          <w:szCs w:val="22"/>
          <w:lang w:eastAsia="zh-CN"/>
        </w:rPr>
        <w:t xml:space="preserve"> </w:t>
      </w:r>
      <w:r w:rsidR="007B6147" w:rsidRPr="007B6147">
        <w:rPr>
          <w:szCs w:val="22"/>
          <w:lang w:eastAsia="zh-CN"/>
        </w:rPr>
        <w:t>Generally, survey-based sentiment indices are published regularly, usually at weekly or monthly intervals, by specialist survey companies or organisations. Depending on the content of the survey, the proxy indicators constructed from the survey results can be divided into two types: one is an indicator that provides a judgment on market trends, such as bullish or bearish, and the other is an indicator built on the basis of confidence in the future of the economy.</w:t>
      </w:r>
      <w:r w:rsidR="00AD54F6">
        <w:rPr>
          <w:szCs w:val="22"/>
          <w:lang w:eastAsia="zh-CN"/>
        </w:rPr>
        <w:t xml:space="preserve"> One of </w:t>
      </w:r>
      <w:r w:rsidR="00F13C2E">
        <w:rPr>
          <w:szCs w:val="22"/>
          <w:lang w:eastAsia="zh-CN"/>
        </w:rPr>
        <w:t xml:space="preserve">the </w:t>
      </w:r>
      <w:r w:rsidR="00AD54F6">
        <w:rPr>
          <w:szCs w:val="22"/>
          <w:lang w:eastAsia="zh-CN"/>
        </w:rPr>
        <w:t xml:space="preserve">advantages of </w:t>
      </w:r>
      <w:r w:rsidR="001D7151">
        <w:rPr>
          <w:szCs w:val="22"/>
          <w:lang w:eastAsia="zh-CN"/>
        </w:rPr>
        <w:t>survey</w:t>
      </w:r>
      <w:r w:rsidR="00AD54F6">
        <w:rPr>
          <w:szCs w:val="22"/>
          <w:lang w:eastAsia="zh-CN"/>
        </w:rPr>
        <w:t>-based indic</w:t>
      </w:r>
      <w:r w:rsidR="00C47949">
        <w:rPr>
          <w:szCs w:val="22"/>
          <w:lang w:eastAsia="zh-CN"/>
        </w:rPr>
        <w:t>a</w:t>
      </w:r>
      <w:r w:rsidR="00AD54F6">
        <w:rPr>
          <w:szCs w:val="22"/>
          <w:lang w:eastAsia="zh-CN"/>
        </w:rPr>
        <w:t xml:space="preserve">tors is they </w:t>
      </w:r>
      <w:r w:rsidRPr="00961992">
        <w:rPr>
          <w:szCs w:val="22"/>
        </w:rPr>
        <w:t xml:space="preserve">are able to distinguish between individual and institutional investor sentiment depending on the survey respondents. As a result, many prior studies that have explored the differences in the impact of individual and institutional investor sentiment on the market have used measurement techniques based on survey-based indicators </w:t>
      </w:r>
      <w:r w:rsidRPr="00961992">
        <w:rPr>
          <w:szCs w:val="22"/>
        </w:rPr>
        <w:fldChar w:fldCharType="begin"/>
      </w:r>
      <w:r w:rsidRPr="00961992">
        <w:rPr>
          <w:szCs w:val="22"/>
        </w:rPr>
        <w:instrText xml:space="preserve"> ADDIN EN.CITE &lt;EndNote&gt;&lt;Cite&gt;&lt;Author&gt;Aggarwal&lt;/Author&gt;&lt;Year&gt;2022&lt;/Year&gt;&lt;RecNum&gt;236&lt;/RecNum&gt;&lt;DisplayText&gt;(Aggarwal 2022)&lt;/DisplayText&gt;&lt;record&gt;&lt;rec-number&gt;236&lt;/rec-number&gt;&lt;foreign-keys&gt;&lt;key app="EN" db-id="e9xrw0ppjrxazme9sdavssd69wf90saf5s09" timestamp="1650496601" guid="3dcfc421-e0cc-4628-97b4-a7abfdf2ea03"&gt;236&lt;/key&gt;&lt;/foreign-keys&gt;&lt;ref-type name="Journal Article"&gt;17&lt;/ref-type&gt;&lt;contributors&gt;&lt;authors&gt;&lt;author&gt;Aggarwal, Divya&lt;/author&gt;&lt;/authors&gt;&lt;/contributors&gt;&lt;titles&gt;&lt;title&gt;Defining and measuring market sentiments: a review of the literature&lt;/title&gt;&lt;secondary-title&gt;Qualitative Research in Financial Markets&lt;/secondary-title&gt;&lt;/titles&gt;&lt;periodical&gt;&lt;full-title&gt;Qualitative Research in Financial Markets&lt;/full-title&gt;&lt;/periodical&gt;&lt;pages&gt;270-288&lt;/pages&gt;&lt;volume&gt;14&lt;/volume&gt;&lt;number&gt;2&lt;/number&gt;&lt;dates&gt;&lt;year&gt;2022&lt;/year&gt;&lt;/dates&gt;&lt;publisher&gt;Emerald Publishing Limited&lt;/publisher&gt;&lt;isbn&gt;1755-4179&lt;/isbn&gt;&lt;urls&gt;&lt;related-urls&gt;&lt;url&gt;https://doi.org/10.1108/QRFM-03-2018-0033&lt;/url&gt;&lt;/related-urls&gt;&lt;/urls&gt;&lt;electronic-resource-num&gt;10.1108/QRFM-03-2018-0033&lt;/electronic-resource-num&gt;&lt;access-date&gt;2022/04/20&lt;/access-date&gt;&lt;/record&gt;&lt;/Cite&gt;&lt;/EndNote&gt;</w:instrText>
      </w:r>
      <w:r w:rsidRPr="00961992">
        <w:rPr>
          <w:szCs w:val="22"/>
        </w:rPr>
        <w:fldChar w:fldCharType="separate"/>
      </w:r>
      <w:r w:rsidRPr="00961992">
        <w:rPr>
          <w:szCs w:val="22"/>
        </w:rPr>
        <w:t>(Aggarwal 2022)</w:t>
      </w:r>
      <w:r w:rsidRPr="00961992">
        <w:rPr>
          <w:szCs w:val="22"/>
        </w:rPr>
        <w:fldChar w:fldCharType="end"/>
      </w:r>
      <w:r w:rsidRPr="00961992">
        <w:rPr>
          <w:szCs w:val="22"/>
        </w:rPr>
        <w:t xml:space="preserve">. However, in previous literature, the disadvantages of survey-based indicators have also been pointed out, including the infrequency of updates and the difficulty of guaranteeing survey quality </w:t>
      </w:r>
      <w:r w:rsidRPr="00961992">
        <w:rPr>
          <w:szCs w:val="22"/>
        </w:rPr>
        <w:fldChar w:fldCharType="begin">
          <w:fldData xml:space="preserve">PEVuZE5vdGU+PENpdGU+PEF1dGhvcj5aaG91PC9BdXRob3I+PFllYXI+MjAxODwvWWVhcj48UmVj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</w:fldData>
        </w:fldChar>
      </w:r>
      <w:r>
        <w:rPr>
          <w:szCs w:val="22"/>
        </w:rPr>
        <w:instrText xml:space="preserve"> ADDIN EN.CITE </w:instrText>
      </w:r>
      <w:r>
        <w:rPr>
          <w:szCs w:val="22"/>
        </w:rPr>
        <w:fldChar w:fldCharType="begin">
          <w:fldData xml:space="preserve">PEVuZE5vdGU+PENpdGU+PEF1dGhvcj5aaG91PC9BdXRob3I+PFllYXI+MjAxODwvWWVhcj48UmVj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</w:fldData>
        </w:fldChar>
      </w:r>
      <w:r>
        <w:rPr>
          <w:szCs w:val="22"/>
        </w:rPr>
        <w:instrText xml:space="preserve"> ADDIN EN.CITE.DATA </w:instrText>
      </w:r>
      <w:r>
        <w:rPr>
          <w:szCs w:val="22"/>
        </w:rPr>
      </w:r>
      <w:r>
        <w:rPr>
          <w:szCs w:val="22"/>
        </w:rPr>
        <w:fldChar w:fldCharType="end"/>
      </w:r>
      <w:r w:rsidRPr="00961992">
        <w:rPr>
          <w:szCs w:val="22"/>
        </w:rPr>
      </w:r>
      <w:r w:rsidRPr="00961992">
        <w:rPr>
          <w:szCs w:val="22"/>
        </w:rPr>
        <w:fldChar w:fldCharType="separate"/>
      </w:r>
      <w:r>
        <w:rPr>
          <w:noProof/>
          <w:szCs w:val="22"/>
        </w:rPr>
        <w:t>(Aggarwal 2022; Singer 2002; Zhou 2018)</w:t>
      </w:r>
      <w:r w:rsidRPr="00961992">
        <w:rPr>
          <w:szCs w:val="22"/>
        </w:rPr>
        <w:fldChar w:fldCharType="end"/>
      </w:r>
      <w:r w:rsidRPr="00961992">
        <w:rPr>
          <w:rFonts w:hint="eastAsia"/>
          <w:szCs w:val="22"/>
        </w:rPr>
        <w:t>.</w:t>
      </w:r>
      <w:r w:rsidRPr="00961992">
        <w:rPr>
          <w:szCs w:val="22"/>
        </w:rPr>
        <w:t xml:space="preserve"> </w:t>
      </w:r>
    </w:p>
    <w:p w14:paraId="13D8C8EA" w14:textId="77777777" w:rsidR="00182990" w:rsidRDefault="00182990" w:rsidP="00D3639B">
      <w:pPr>
        <w:rPr>
          <w:szCs w:val="22"/>
        </w:rPr>
      </w:pPr>
    </w:p>
    <w:p w14:paraId="7EA07B17" w14:textId="35ECDA95" w:rsidR="00182990" w:rsidRPr="00961992" w:rsidRDefault="00182990" w:rsidP="00D3639B">
      <w:pPr>
        <w:rPr>
          <w:szCs w:val="22"/>
        </w:rPr>
      </w:pPr>
      <w:r w:rsidRPr="00961992">
        <w:rPr>
          <w:szCs w:val="22"/>
        </w:rPr>
        <w:t>Despite these drawbacks, survey-based sentiment indicators still have a contribution to make in relevant research that cannot be ignored. It is they are often used as benchmark indicators to validate other sentiment measures because survey-based indicators are the most direct type of sentiment measure</w:t>
      </w:r>
      <w:bookmarkStart w:id="17" w:name="OLE_LINK172"/>
      <w:bookmarkStart w:id="18" w:name="OLE_LINK173"/>
      <w:r w:rsidRPr="00961992">
        <w:rPr>
          <w:szCs w:val="22"/>
        </w:rPr>
        <w:t>.</w:t>
      </w:r>
      <w:bookmarkEnd w:id="17"/>
      <w:bookmarkEnd w:id="18"/>
      <w:r w:rsidRPr="00961992">
        <w:rPr>
          <w:szCs w:val="22"/>
        </w:rPr>
        <w:t xml:space="preserve"> The practice of using correlations with direct survey-based sentiment indicators to illustrate the validity of market-based sentiment indicators or proxies constructed by composite methods has been widely adopted in the prior literature. For example, </w:t>
      </w:r>
      <w:r w:rsidRPr="00961992">
        <w:rPr>
          <w:szCs w:val="22"/>
        </w:rPr>
        <w:fldChar w:fldCharType="begin"/>
      </w:r>
      <w:r w:rsidRPr="00961992">
        <w:rPr>
          <w:szCs w:val="22"/>
        </w:rPr>
        <w:instrText xml:space="preserve"> ADDIN EN.CITE &lt;EndNote&gt;&lt;Cite AuthorYear="1"&gt;&lt;Author&gt;Lemmon&lt;/Author&gt;&lt;Year&gt;2006&lt;/Year&gt;&lt;RecNum&gt;56&lt;/RecNum&gt;&lt;DisplayText&gt;Lemmon and Portniaguina (2006)&lt;/DisplayText&gt;&lt;record&gt;&lt;rec-number&gt;56&lt;/rec-number&gt;&lt;foreign-keys&gt;&lt;key app="EN" db-id="e9xrw0ppjrxazme9sdavssd69wf90saf5s09" timestamp="1638903663" guid="f216cad1-fb61-4d7e-bc2d-05aa6ccb34a6"&gt;56&lt;/key&gt;&lt;/foreign-keys&gt;&lt;ref-type name="Journal Article"&gt;17&lt;/ref-type&gt;&lt;contributors&gt;&lt;authors&gt;&lt;author&gt;Lemmon, Michael&lt;/author&gt;&lt;author&gt;Portniaguina, Evgenia&lt;/author&gt;&lt;/authors&gt;&lt;/contributors&gt;&lt;titles&gt;&lt;title&gt;Consumer confidence and asset prices: Some empirical evidence&lt;/title&gt;&lt;secondary-title&gt;The Review of Financial Studies&lt;/secondary-title&gt;&lt;/titles&gt;&lt;periodical&gt;&lt;full-title&gt;The Review of Financial Studies&lt;/full-title&gt;&lt;/periodical&gt;&lt;pages&gt;1499-1529&lt;/pages&gt;&lt;volume&gt;19&lt;/volume&gt;&lt;number&gt;4&lt;/number&gt;&lt;dates&gt;&lt;year&gt;2006&lt;/year&gt;&lt;/dates&gt;&lt;isbn&gt;1465-7368&lt;/isbn&gt;&lt;urls&gt;&lt;/urls&gt;&lt;/record&gt;&lt;/Cite&gt;&lt;/EndNote&gt;</w:instrText>
      </w:r>
      <w:r w:rsidRPr="00961992">
        <w:rPr>
          <w:szCs w:val="22"/>
        </w:rPr>
        <w:fldChar w:fldCharType="separate"/>
      </w:r>
      <w:r w:rsidRPr="00961992">
        <w:rPr>
          <w:szCs w:val="22"/>
        </w:rPr>
        <w:t>Lemmon and Portniaguina (2006)</w:t>
      </w:r>
      <w:r w:rsidRPr="00961992">
        <w:rPr>
          <w:szCs w:val="22"/>
        </w:rPr>
        <w:fldChar w:fldCharType="end"/>
      </w:r>
      <w:r w:rsidRPr="00961992">
        <w:rPr>
          <w:szCs w:val="22"/>
        </w:rPr>
        <w:t xml:space="preserve"> state that consumer confidence indices are ideal proxies of sentiment, because they show </w:t>
      </w:r>
      <w:r w:rsidR="009F0A6D">
        <w:rPr>
          <w:szCs w:val="22"/>
        </w:rPr>
        <w:t xml:space="preserve">a </w:t>
      </w:r>
      <w:r w:rsidRPr="00961992">
        <w:rPr>
          <w:szCs w:val="22"/>
        </w:rPr>
        <w:t xml:space="preserve">strong correlation with Bull-Bear spread. </w:t>
      </w:r>
    </w:p>
    <w:p w14:paraId="6D9F297F" w14:textId="77777777" w:rsidR="00182990" w:rsidRDefault="00182990" w:rsidP="00D3639B">
      <w:pPr>
        <w:rPr>
          <w:szCs w:val="22"/>
        </w:rPr>
      </w:pPr>
    </w:p>
    <w:p w14:paraId="0E07EEFE" w14:textId="3A1E992D" w:rsidR="00182990" w:rsidRDefault="00182990" w:rsidP="00D3639B">
      <w:pPr>
        <w:rPr>
          <w:szCs w:val="22"/>
          <w:lang w:val="en-GB"/>
        </w:rPr>
      </w:pPr>
      <w:r>
        <w:rPr>
          <w:szCs w:val="22"/>
        </w:rPr>
        <w:t>The composite indic</w:t>
      </w:r>
      <w:r w:rsidR="008B1607">
        <w:rPr>
          <w:szCs w:val="22"/>
        </w:rPr>
        <w:t>a</w:t>
      </w:r>
      <w:r>
        <w:rPr>
          <w:szCs w:val="22"/>
        </w:rPr>
        <w:t xml:space="preserve">tor method allows </w:t>
      </w:r>
      <w:r w:rsidRPr="000F5A79">
        <w:rPr>
          <w:szCs w:val="22"/>
          <w:lang w:val="en-GB"/>
        </w:rPr>
        <w:t>scholars to study sentiment from multiple perspectives in an integrated manner</w:t>
      </w:r>
      <w:r>
        <w:rPr>
          <w:szCs w:val="22"/>
          <w:lang w:val="en-GB"/>
        </w:rPr>
        <w:t xml:space="preserve">. </w:t>
      </w:r>
      <w:bookmarkStart w:id="19" w:name="OLE_LINK190"/>
      <w:bookmarkStart w:id="20" w:name="OLE_LINK191"/>
      <w:bookmarkEnd w:id="13"/>
      <w:bookmarkEnd w:id="14"/>
      <w:r>
        <w:rPr>
          <w:szCs w:val="22"/>
          <w:lang w:val="en-GB"/>
        </w:rPr>
        <w:t>A common approach is to</w:t>
      </w:r>
      <w:r>
        <w:rPr>
          <w:szCs w:val="22"/>
        </w:rPr>
        <w:t xml:space="preserve"> combin</w:t>
      </w:r>
      <w:r w:rsidR="00B9769E">
        <w:rPr>
          <w:szCs w:val="22"/>
        </w:rPr>
        <w:t>e</w:t>
      </w:r>
      <w:r>
        <w:rPr>
          <w:szCs w:val="22"/>
        </w:rPr>
        <w:t xml:space="preserve"> market-based sentiment indicators and survey-based indic</w:t>
      </w:r>
      <w:r w:rsidR="006C5719">
        <w:rPr>
          <w:szCs w:val="22"/>
        </w:rPr>
        <w:t>a</w:t>
      </w:r>
      <w:r>
        <w:rPr>
          <w:szCs w:val="22"/>
        </w:rPr>
        <w:t xml:space="preserve">tors. </w:t>
      </w:r>
      <w:r w:rsidR="00BE5823">
        <w:rPr>
          <w:szCs w:val="22"/>
        </w:rPr>
        <w:t>A</w:t>
      </w:r>
      <w:r>
        <w:rPr>
          <w:szCs w:val="22"/>
        </w:rPr>
        <w:t xml:space="preserve"> </w:t>
      </w:r>
      <w:r w:rsidRPr="000F5A79">
        <w:rPr>
          <w:szCs w:val="22"/>
          <w:lang w:val="en-GB"/>
        </w:rPr>
        <w:t>widely used example is the Baker and W</w:t>
      </w:r>
      <w:r w:rsidRPr="000F5A79">
        <w:rPr>
          <w:szCs w:val="22"/>
        </w:rPr>
        <w:t xml:space="preserve">urgler </w:t>
      </w:r>
      <w:r w:rsidRPr="000F5A79">
        <w:rPr>
          <w:szCs w:val="22"/>
          <w:lang w:val="en-GB"/>
        </w:rPr>
        <w:t xml:space="preserve">Sentiment Index (BW Sentiment Index) proposed by </w:t>
      </w:r>
      <w:r w:rsidRPr="000F5A79">
        <w:rPr>
          <w:szCs w:val="22"/>
          <w:lang w:val="en-GB"/>
        </w:rPr>
        <w:fldChar w:fldCharType="begin"/>
      </w:r>
      <w:r>
        <w:rPr>
          <w:szCs w:val="22"/>
          <w:lang w:val="en-GB"/>
        </w:rPr>
        <w:instrText xml:space="preserve"> ADDIN EN.CITE &lt;EndNote&gt;&lt;Cite AuthorYear="1"&gt;&lt;Author&gt;Baker&lt;/Author&gt;&lt;Year&gt;2006&lt;/Year&gt;&lt;RecNum&gt;11&lt;/RecNum&gt;&lt;DisplayText&gt;Baker and Wurgler (2006, 2007)&lt;/DisplayText&gt;&lt;record&gt;&lt;rec-number&gt;11&lt;/rec-number&gt;&lt;foreign-keys&gt;&lt;key app="EN" db-id="e9xrw0ppjrxazme9sdavssd69wf90saf5s09" timestamp="1638715763" guid="5ce9ad02-e30d-46f9-b5c2-9dc2effcbede"&gt;11&lt;/key&gt;&lt;/foreign-keys&gt;&lt;ref-type name="Journal Article"&gt;17&lt;/ref-type&gt;&lt;contributors&gt;&lt;authors&gt;&lt;author&gt;Baker, Malcolm&lt;/author&gt;&lt;author&gt;Wurgler, Jeffrey&lt;/author&gt;&lt;/authors&gt;&lt;/contrib</w:instrText>
      </w:r>
      <w:r>
        <w:rPr>
          <w:rFonts w:hint="eastAsia"/>
          <w:szCs w:val="22"/>
          <w:lang w:val="en-GB"/>
        </w:rPr>
        <w:instrText>utors&gt;&lt;titles&gt;&lt;title&gt;Investor Sentiment and the Cross‐Section of Stock Returns&lt;/title&gt;&lt;secondary-title&gt;Journal of Finance&lt;/secondary-title&gt;&lt;/titles&gt;&lt;periodical&gt;&lt;full-title&gt;Journal of Finance&lt;/full-title&gt;&lt;/periodical&gt;&lt;pages&gt;1645-1680&lt;/pages&gt;&lt;volume&gt;61&lt;/vol</w:instrText>
      </w:r>
      <w:r>
        <w:rPr>
          <w:szCs w:val="22"/>
          <w:lang w:val="en-GB"/>
        </w:rPr>
        <w:instrText>ume&gt;&lt;number&gt;4&lt;/number&gt;&lt;dates&gt;&lt;year&gt;2006&lt;/year&gt;&lt;/dates&gt;&lt;urls&gt;&lt;related-urls&gt;&lt;url&gt;https://EconPapers.repec.org/RePEc:bla:jfinan:v:61:y:2006:i:4:p:1645-1680&lt;/url&gt;&lt;/related-urls&gt;&lt;/urls&gt;&lt;/record&gt;&lt;/Cite&gt;&lt;Cite AuthorYear="1"&gt;&lt;Author&gt;Baker&lt;/Author&gt;&lt;Year&gt;2007&lt;/Year&gt;&lt;RecNum&gt;12&lt;/RecNum&gt;&lt;record&gt;&lt;rec-number&gt;12&lt;/rec-number&gt;&lt;foreign-keys&gt;&lt;key app="EN" db-id="e9xrw0ppjrxazme9sdavssd69wf90saf5s09" timestamp="1638715795" guid="c79ee5e2-4f03-4055-a91e-b3556030b627"&gt;12&lt;/key&gt;&lt;/foreign-keys&gt;&lt;ref-type name="Journal Article"&gt;17&lt;/ref-type&gt;&lt;contributors&gt;&lt;authors&gt;&lt;author&gt;Baker, Malcolm&lt;/author&gt;&lt;author&gt;Wurgler, Jeffrey&lt;/author&gt;&lt;/authors&gt;&lt;/contributors&gt;&lt;titles&gt;&lt;title&gt;Investor Sentiment in the Stock Market&lt;/title&gt;&lt;secondary-title&gt;Journal of Economic Perspectives&lt;/secondary-title&gt;&lt;/titles&gt;&lt;periodical&gt;&lt;full-title&gt;Journal of Economic Perspectives&lt;/full-title&gt;&lt;/periodical&gt;&lt;pages&gt;129-152&lt;/pages&gt;&lt;volume&gt;21&lt;/volume&gt;&lt;number&gt;2&lt;/number&gt;&lt;dates&gt;&lt;year&gt;2007&lt;/year&gt;&lt;/dates&gt;&lt;urls&gt;&lt;related-urls&gt;&lt;url&gt;https://www.aeaweb.org/articles?id=10.1257/jep.21.2.129&lt;/url&gt;&lt;/related-urls&gt;&lt;/urls&gt;&lt;electronic-resource-num&gt;10.1257/jep.21.2.129&lt;/electronic-resource-num&gt;&lt;/record&gt;&lt;/Cite&gt;&lt;/EndNote&gt;</w:instrText>
      </w:r>
      <w:r w:rsidRPr="000F5A79">
        <w:rPr>
          <w:szCs w:val="22"/>
          <w:lang w:val="en-GB"/>
        </w:rPr>
        <w:fldChar w:fldCharType="separate"/>
      </w:r>
      <w:r>
        <w:rPr>
          <w:noProof/>
          <w:szCs w:val="22"/>
          <w:lang w:val="en-GB"/>
        </w:rPr>
        <w:t>Baker and Wurgler (2006, 2007)</w:t>
      </w:r>
      <w:r w:rsidRPr="000F5A79">
        <w:rPr>
          <w:szCs w:val="22"/>
          <w:lang w:val="en-GB"/>
        </w:rPr>
        <w:fldChar w:fldCharType="end"/>
      </w:r>
      <w:r w:rsidRPr="000F5A79">
        <w:rPr>
          <w:szCs w:val="22"/>
          <w:lang w:val="en-GB"/>
        </w:rPr>
        <w:t>. They adopt Principal Component Analysis (PCA) to construct the index and choose multiple market-based indicators as the variables to include, i.e. closed-end fund discount, turnover rate, number of IPOs, IPO first-day returns, dividend premium and proportion of new shares issued.</w:t>
      </w:r>
      <w:r>
        <w:rPr>
          <w:szCs w:val="22"/>
          <w:lang w:val="en-GB"/>
        </w:rPr>
        <w:t xml:space="preserve"> In addition, </w:t>
      </w:r>
      <w:r>
        <w:rPr>
          <w:szCs w:val="22"/>
          <w:lang w:val="en-GB"/>
        </w:rPr>
        <w:lastRenderedPageBreak/>
        <w:t xml:space="preserve">using sentiment analysis techniques to construct the sentiment proxy is welcomed in recent studies. </w:t>
      </w:r>
      <w:r>
        <w:rPr>
          <w:szCs w:val="22"/>
        </w:rPr>
        <w:t>This</w:t>
      </w:r>
      <w:r w:rsidRPr="000F5A79">
        <w:rPr>
          <w:szCs w:val="22"/>
        </w:rPr>
        <w:t xml:space="preserve"> is a computational technique that </w:t>
      </w:r>
      <w:r>
        <w:rPr>
          <w:szCs w:val="22"/>
        </w:rPr>
        <w:t xml:space="preserve">can help researchers </w:t>
      </w:r>
      <w:r w:rsidRPr="002E483A">
        <w:rPr>
          <w:szCs w:val="22"/>
        </w:rPr>
        <w:t xml:space="preserve">dissect the </w:t>
      </w:r>
      <w:r>
        <w:rPr>
          <w:szCs w:val="22"/>
        </w:rPr>
        <w:t>sentiment</w:t>
      </w:r>
      <w:r w:rsidRPr="002E483A">
        <w:rPr>
          <w:szCs w:val="22"/>
        </w:rPr>
        <w:t xml:space="preserve"> information hidden in the </w:t>
      </w:r>
      <w:r>
        <w:rPr>
          <w:szCs w:val="22"/>
        </w:rPr>
        <w:t xml:space="preserve">textual </w:t>
      </w:r>
      <w:r w:rsidRPr="002E483A">
        <w:rPr>
          <w:szCs w:val="22"/>
        </w:rPr>
        <w:t>language</w:t>
      </w:r>
      <w:r>
        <w:rPr>
          <w:szCs w:val="22"/>
        </w:rPr>
        <w:t xml:space="preserve"> </w:t>
      </w:r>
      <w:r w:rsidRPr="000F5A79">
        <w:rPr>
          <w:szCs w:val="22"/>
        </w:rPr>
        <w:fldChar w:fldCharType="begin"/>
      </w:r>
      <w:r w:rsidRPr="000F5A79">
        <w:rPr>
          <w:szCs w:val="22"/>
        </w:rPr>
        <w:instrText xml:space="preserve"> ADDIN EN.CITE &lt;EndNote&gt;&lt;Cite&gt;&lt;Author&gt;Pang&lt;/Author&gt;&lt;Year&gt;2008&lt;/Year&gt;&lt;RecNum&gt;234&lt;/RecNum&gt;&lt;DisplayText&gt;(Pang &amp;amp; Lee 2008)&lt;/DisplayText&gt;&lt;record&gt;&lt;rec-number&gt;234&lt;/rec-number&gt;&lt;foreign-keys&gt;&lt;key app="EN" db-id="e9xrw0ppjrxazme9sdavssd69wf90saf5s09" timestamp="1650494546" guid="342d51bc-a0f9-4c56-b920-a0d6039c2220"&gt;234&lt;/key&gt;&lt;/foreign-keys&gt;&lt;ref-type name="Journal Article"&gt;17&lt;/ref-type&gt;&lt;contributors&gt;&lt;authors&gt;&lt;author&gt;Bo Pang&lt;/author&gt;&lt;author&gt;Lillian Lee&lt;/author&gt;&lt;/authors&gt;&lt;/contributors&gt;&lt;titles&gt;&lt;title&gt;Opinion Mining and Sentiment Analysis&lt;/title&gt;&lt;secondary-title&gt;Found. Trends Inf. Retr.&lt;/secondary-title&gt;&lt;/titles&gt;&lt;periodical&gt;&lt;full-title&gt;Found. Trends Inf. Retr.&lt;/full-title&gt;&lt;/periodical&gt;&lt;pages&gt;1–135&lt;/pages&gt;&lt;volume&gt;2&lt;/volume&gt;&lt;number&gt;1–2&lt;/number&gt;&lt;dates&gt;&lt;year&gt;2008&lt;/year&gt;&lt;/dates&gt;&lt;isbn&gt;1554-0669&lt;/isbn&gt;&lt;urls&gt;&lt;related-urls&gt;&lt;url&gt;https://doi.org/10.1561/1500000011&lt;/url&gt;&lt;/related-urls&gt;&lt;/urls&gt;&lt;electronic-resource-num&gt;10.1561/1500000011&lt;/electronic-resource-num&gt;&lt;/record&gt;&lt;/Cite&gt;&lt;/EndNote&gt;</w:instrText>
      </w:r>
      <w:r w:rsidRPr="000F5A79">
        <w:rPr>
          <w:szCs w:val="22"/>
        </w:rPr>
        <w:fldChar w:fldCharType="separate"/>
      </w:r>
      <w:r w:rsidRPr="000F5A79">
        <w:rPr>
          <w:szCs w:val="22"/>
        </w:rPr>
        <w:t>(Pang &amp; Lee 2008)</w:t>
      </w:r>
      <w:r w:rsidRPr="000F5A79">
        <w:rPr>
          <w:szCs w:val="22"/>
          <w:lang w:val="en-GB"/>
        </w:rPr>
        <w:fldChar w:fldCharType="end"/>
      </w:r>
      <w:r w:rsidRPr="000F5A79">
        <w:rPr>
          <w:szCs w:val="22"/>
        </w:rPr>
        <w:t>. Several researchers have attempted to build proxy indices of investor sentiment through sentiment analysis and have used a variety of data sources, such as textual material, social media data, and Internet search trends.</w:t>
      </w:r>
      <w:r>
        <w:rPr>
          <w:szCs w:val="22"/>
        </w:rPr>
        <w:t xml:space="preserve"> </w:t>
      </w:r>
      <w:r w:rsidRPr="000F5A79">
        <w:rPr>
          <w:szCs w:val="22"/>
          <w:lang w:val="en-GB"/>
        </w:rPr>
        <w:t xml:space="preserve">Sentiment analysis of textual materials and media sources to construct sentiment proxies is not a mainstream practice in investor sentiment research, but with the current rapid development of computer technology, learning algorithms and dictionaries, it is gaining interest and popularity </w:t>
      </w:r>
      <w:r w:rsidRPr="000F5A79">
        <w:rPr>
          <w:szCs w:val="22"/>
          <w:lang w:val="en-GB"/>
        </w:rPr>
        <w:fldChar w:fldCharType="begin"/>
      </w:r>
      <w:r>
        <w:rPr>
          <w:szCs w:val="22"/>
          <w:lang w:val="en-GB"/>
        </w:rPr>
        <w:instrText xml:space="preserve"> ADDIN EN.CITE &lt;EndNote&gt;&lt;Cite&gt;&lt;Author&gt;Zhou&lt;/Author&gt;&lt;Year&gt;2018&lt;/Year&gt;&lt;RecNum&gt;269&lt;/RecNum&gt;&lt;DisplayText&gt;(Zhou 2018)&lt;/DisplayText&gt;&lt;record&gt;&lt;rec-number&gt;269&lt;/rec-number&gt;&lt;foreign-keys&gt;&lt;key app="EN" db-id="e9xrw0ppjrxazme9sdavssd69wf90saf5s09" timestamp="1651076704" guid="00412f97-96a1-4fbd-b4df-f603211e2531"&gt;269&lt;/key&gt;&lt;/foreign-keys&gt;&lt;ref-type name="Journal Article"&gt;17&lt;/ref-type&gt;&lt;contributors&gt;&lt;authors&gt;&lt;author&gt;Zhou, Guofu&lt;/author&gt;&lt;/authors&gt;&lt;/contributors&gt;&lt;titles&gt;&lt;title&gt;Measuring investor sentiment&lt;/title&gt;&lt;secondary-title&gt;Annual Review of Financial Economics&lt;/secondary-title&gt;&lt;/titles&gt;&lt;periodical&gt;&lt;full-title&gt;Annual Review of Financial Economics&lt;/full-title&gt;&lt;/periodical&gt;&lt;pages&gt;239-259&lt;/pages&gt;&lt;volume&gt;10&lt;/volume&gt;&lt;dates&gt;&lt;year&gt;2018&lt;/year&gt;&lt;/dates&gt;&lt;isbn&gt;1941-1367&lt;/isbn&gt;&lt;urls&gt;&lt;/urls&gt;&lt;/record&gt;&lt;/Cite&gt;&lt;/EndNote&gt;</w:instrText>
      </w:r>
      <w:r w:rsidRPr="000F5A79">
        <w:rPr>
          <w:szCs w:val="22"/>
          <w:lang w:val="en-GB"/>
        </w:rPr>
        <w:fldChar w:fldCharType="separate"/>
      </w:r>
      <w:r>
        <w:rPr>
          <w:noProof/>
          <w:szCs w:val="22"/>
          <w:lang w:val="en-GB"/>
        </w:rPr>
        <w:t>(Zhou 2018)</w:t>
      </w:r>
      <w:r w:rsidRPr="000F5A79">
        <w:rPr>
          <w:szCs w:val="22"/>
          <w:lang w:val="en-GB"/>
        </w:rPr>
        <w:fldChar w:fldCharType="end"/>
      </w:r>
      <w:r w:rsidRPr="000F5A79">
        <w:rPr>
          <w:szCs w:val="22"/>
          <w:lang w:val="en-GB"/>
        </w:rPr>
        <w:t>.</w:t>
      </w:r>
    </w:p>
    <w:p w14:paraId="61683181" w14:textId="77777777" w:rsidR="00182990" w:rsidRDefault="00182990" w:rsidP="00D3639B">
      <w:pPr>
        <w:rPr>
          <w:szCs w:val="22"/>
          <w:lang w:val="en-GB"/>
        </w:rPr>
      </w:pPr>
    </w:p>
    <w:p w14:paraId="75401AA5" w14:textId="2EC17ADC" w:rsidR="00182990" w:rsidRDefault="00182990" w:rsidP="00D3639B">
      <w:pPr>
        <w:rPr>
          <w:szCs w:val="22"/>
        </w:rPr>
      </w:pPr>
      <w:r w:rsidRPr="00406486">
        <w:rPr>
          <w:szCs w:val="22"/>
          <w:lang w:val="en-GB"/>
        </w:rPr>
        <w:t>Considering the data availability, this study will use survey-based sentiment indicators to construct the sentiment proxy of A-REIT</w:t>
      </w:r>
      <w:r w:rsidR="00B25DBC" w:rsidRPr="00406486">
        <w:rPr>
          <w:szCs w:val="22"/>
          <w:lang w:val="en-GB"/>
        </w:rPr>
        <w:t xml:space="preserve"> market</w:t>
      </w:r>
      <w:r w:rsidRPr="00406486">
        <w:rPr>
          <w:szCs w:val="22"/>
          <w:lang w:val="en-GB"/>
        </w:rPr>
        <w:t xml:space="preserve">. There are two available sources in Australia: </w:t>
      </w:r>
      <w:r w:rsidRPr="00406486">
        <w:rPr>
          <w:szCs w:val="22"/>
        </w:rPr>
        <w:t>Westpac Melbourne Institute Consumer Sentiment Index (WM Index) and ANZ-Roy Morgan Consumer Confidence Index (AR Index). Both surveys have a similar set of five core questions and the index calculation methods are same. However, there are some methodological differences</w:t>
      </w:r>
      <w:r w:rsidRPr="00026C17">
        <w:rPr>
          <w:szCs w:val="22"/>
        </w:rPr>
        <w:t xml:space="preserve"> between the two surveys, as Table </w:t>
      </w:r>
      <w:r w:rsidR="006D5AFA">
        <w:rPr>
          <w:szCs w:val="22"/>
        </w:rPr>
        <w:t>1</w:t>
      </w:r>
      <w:r w:rsidRPr="00026C17">
        <w:rPr>
          <w:szCs w:val="22"/>
        </w:rPr>
        <w:t xml:space="preserve"> shows.</w:t>
      </w:r>
    </w:p>
    <w:bookmarkEnd w:id="19"/>
    <w:bookmarkEnd w:id="20"/>
    <w:p w14:paraId="7F486A19" w14:textId="6E890D2F" w:rsidR="00C0344A" w:rsidRDefault="00C0344A" w:rsidP="00C0344A">
      <w:pPr>
        <w:pStyle w:val="Caption"/>
        <w:keepNext/>
      </w:pPr>
    </w:p>
    <w:p w14:paraId="3C5BBD8E" w14:textId="75057CB8" w:rsidR="00B928C5" w:rsidRDefault="00B928C5" w:rsidP="00B928C5">
      <w:pPr>
        <w:pStyle w:val="Caption"/>
        <w:keepNext/>
      </w:pPr>
      <w:r>
        <w:t xml:space="preserve">Table </w:t>
      </w:r>
      <w:fldSimple w:instr=" SEQ Table \* ARABIC ">
        <w:r w:rsidR="00075F85">
          <w:rPr>
            <w:noProof/>
          </w:rPr>
          <w:t>1</w:t>
        </w:r>
      </w:fldSimple>
      <w:r>
        <w:t xml:space="preserve"> </w:t>
      </w:r>
      <w:r w:rsidRPr="001028CF">
        <w:t>Comparison of Australian Consumer Sentiment Survey</w:t>
      </w:r>
    </w:p>
    <w:tbl>
      <w:tblPr>
        <w:tblStyle w:val="GridTable1Light"/>
        <w:tblW w:w="0" w:type="auto"/>
        <w:jc w:val="center"/>
        <w:tblLook w:val="04A0" w:firstRow="1" w:lastRow="0" w:firstColumn="1" w:lastColumn="0" w:noHBand="0" w:noVBand="1"/>
      </w:tblPr>
      <w:tblGrid>
        <w:gridCol w:w="1980"/>
        <w:gridCol w:w="3827"/>
        <w:gridCol w:w="3775"/>
      </w:tblGrid>
      <w:tr w:rsidR="00C0344A" w:rsidRPr="00002860" w14:paraId="7B14C318" w14:textId="77777777" w:rsidTr="000028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49A4DFE" w14:textId="77777777" w:rsidR="00C0344A" w:rsidRPr="00002860" w:rsidRDefault="00C0344A" w:rsidP="00C463BC">
            <w:pPr>
              <w:spacing w:before="0" w:after="0" w:line="360" w:lineRule="auto"/>
              <w:jc w:val="center"/>
              <w:rPr>
                <w:rFonts w:ascii="Times New Roman" w:eastAsia="DengXian" w:hAnsi="Times New Roman" w:cs="Times New Roman"/>
                <w:i/>
                <w:iCs/>
                <w:sz w:val="18"/>
                <w:szCs w:val="18"/>
              </w:rPr>
            </w:pPr>
          </w:p>
        </w:tc>
        <w:tc>
          <w:tcPr>
            <w:tcW w:w="3827" w:type="dxa"/>
          </w:tcPr>
          <w:p w14:paraId="7EAEC297" w14:textId="77777777" w:rsidR="00C0344A" w:rsidRPr="00002860" w:rsidRDefault="00C0344A" w:rsidP="00C463BC">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i/>
                <w:iCs/>
                <w:sz w:val="18"/>
                <w:szCs w:val="18"/>
              </w:rPr>
            </w:pPr>
            <w:r w:rsidRPr="00002860">
              <w:rPr>
                <w:rFonts w:ascii="Times New Roman" w:eastAsia="DengXian" w:hAnsi="Times New Roman" w:cs="Times New Roman"/>
                <w:i/>
                <w:iCs/>
                <w:sz w:val="18"/>
                <w:szCs w:val="18"/>
              </w:rPr>
              <w:t>ANZ-Roy Morgan</w:t>
            </w:r>
          </w:p>
        </w:tc>
        <w:tc>
          <w:tcPr>
            <w:tcW w:w="3775" w:type="dxa"/>
          </w:tcPr>
          <w:p w14:paraId="116C1956" w14:textId="77777777" w:rsidR="00C0344A" w:rsidRPr="00002860" w:rsidRDefault="00C0344A" w:rsidP="00C463BC">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i/>
                <w:iCs/>
                <w:sz w:val="18"/>
                <w:szCs w:val="18"/>
              </w:rPr>
            </w:pPr>
            <w:r w:rsidRPr="00002860">
              <w:rPr>
                <w:rFonts w:ascii="Times New Roman" w:eastAsia="DengXian" w:hAnsi="Times New Roman" w:cs="Times New Roman"/>
                <w:i/>
                <w:iCs/>
                <w:sz w:val="18"/>
                <w:szCs w:val="18"/>
              </w:rPr>
              <w:t>Westpac and Melbourne Institute</w:t>
            </w:r>
          </w:p>
        </w:tc>
      </w:tr>
      <w:tr w:rsidR="00C0344A" w:rsidRPr="00002860" w14:paraId="1452030C"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68D5B2A"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Frequency</w:t>
            </w:r>
          </w:p>
        </w:tc>
        <w:tc>
          <w:tcPr>
            <w:tcW w:w="3827" w:type="dxa"/>
          </w:tcPr>
          <w:p w14:paraId="57EF463A"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Every Tuesday</w:t>
            </w:r>
          </w:p>
        </w:tc>
        <w:tc>
          <w:tcPr>
            <w:tcW w:w="3775" w:type="dxa"/>
          </w:tcPr>
          <w:p w14:paraId="11661576"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Second Wednesday of each month</w:t>
            </w:r>
          </w:p>
        </w:tc>
      </w:tr>
      <w:tr w:rsidR="00C0344A" w:rsidRPr="00002860" w14:paraId="731E1410"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94B9929"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Sample Size</w:t>
            </w:r>
          </w:p>
        </w:tc>
        <w:tc>
          <w:tcPr>
            <w:tcW w:w="3827" w:type="dxa"/>
          </w:tcPr>
          <w:p w14:paraId="543F7D67"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1000</w:t>
            </w:r>
          </w:p>
        </w:tc>
        <w:tc>
          <w:tcPr>
            <w:tcW w:w="3775" w:type="dxa"/>
          </w:tcPr>
          <w:p w14:paraId="22BACB83"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1200</w:t>
            </w:r>
          </w:p>
        </w:tc>
      </w:tr>
      <w:tr w:rsidR="00C0344A" w:rsidRPr="00002860" w14:paraId="58958793"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3F4A1D9"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Sample Period</w:t>
            </w:r>
          </w:p>
        </w:tc>
        <w:tc>
          <w:tcPr>
            <w:tcW w:w="3827" w:type="dxa"/>
          </w:tcPr>
          <w:p w14:paraId="3AF1DB39"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Weekend before release</w:t>
            </w:r>
          </w:p>
        </w:tc>
        <w:tc>
          <w:tcPr>
            <w:tcW w:w="3775" w:type="dxa"/>
          </w:tcPr>
          <w:p w14:paraId="6B73E7EE"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Week before release</w:t>
            </w:r>
          </w:p>
        </w:tc>
      </w:tr>
      <w:tr w:rsidR="00C0344A" w:rsidRPr="00002860" w14:paraId="41190B52"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B7F04D1"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bookmarkStart w:id="21" w:name="_Hlk102370097"/>
            <w:r w:rsidRPr="00002860">
              <w:rPr>
                <w:rFonts w:ascii="Times New Roman" w:eastAsia="DengXian" w:hAnsi="Times New Roman" w:cs="Times New Roman"/>
                <w:sz w:val="18"/>
                <w:szCs w:val="18"/>
              </w:rPr>
              <w:t>Coverage</w:t>
            </w:r>
          </w:p>
        </w:tc>
        <w:tc>
          <w:tcPr>
            <w:tcW w:w="3827" w:type="dxa"/>
          </w:tcPr>
          <w:p w14:paraId="52E8ADC7"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Respondent must be older than 14 years</w:t>
            </w:r>
          </w:p>
        </w:tc>
        <w:tc>
          <w:tcPr>
            <w:tcW w:w="3775" w:type="dxa"/>
          </w:tcPr>
          <w:p w14:paraId="435F7BB1"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Respondent must be older than 18 years</w:t>
            </w:r>
          </w:p>
        </w:tc>
      </w:tr>
      <w:bookmarkEnd w:id="21"/>
      <w:tr w:rsidR="00C0344A" w:rsidRPr="00002860" w14:paraId="5F563F58"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8D41058"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Interview Method</w:t>
            </w:r>
          </w:p>
        </w:tc>
        <w:tc>
          <w:tcPr>
            <w:tcW w:w="3827" w:type="dxa"/>
          </w:tcPr>
          <w:p w14:paraId="7A83EBB6"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Face to face</w:t>
            </w:r>
          </w:p>
        </w:tc>
        <w:tc>
          <w:tcPr>
            <w:tcW w:w="3775" w:type="dxa"/>
          </w:tcPr>
          <w:p w14:paraId="31F6ACF7"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Over the phone</w:t>
            </w:r>
          </w:p>
        </w:tc>
      </w:tr>
      <w:tr w:rsidR="00C0344A" w:rsidRPr="00002860" w14:paraId="01809FEB"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AC8F4FB"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Commenced</w:t>
            </w:r>
          </w:p>
        </w:tc>
        <w:tc>
          <w:tcPr>
            <w:tcW w:w="3827" w:type="dxa"/>
          </w:tcPr>
          <w:p w14:paraId="51D7647C" w14:textId="4CE7BFF6"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Monthly since Mar 1973.</w:t>
            </w:r>
            <w:r w:rsidR="00002860">
              <w:rPr>
                <w:rFonts w:ascii="Times New Roman" w:eastAsia="DengXian" w:hAnsi="Times New Roman" w:cs="Times New Roman"/>
                <w:sz w:val="18"/>
                <w:szCs w:val="18"/>
              </w:rPr>
              <w:t xml:space="preserve"> </w:t>
            </w:r>
            <w:r w:rsidRPr="00002860">
              <w:rPr>
                <w:rFonts w:ascii="Times New Roman" w:eastAsia="DengXian" w:hAnsi="Times New Roman" w:cs="Times New Roman"/>
                <w:sz w:val="18"/>
                <w:szCs w:val="18"/>
              </w:rPr>
              <w:t>Weekly since Aug 2008</w:t>
            </w:r>
          </w:p>
        </w:tc>
        <w:tc>
          <w:tcPr>
            <w:tcW w:w="3775" w:type="dxa"/>
          </w:tcPr>
          <w:p w14:paraId="4F36B9BE"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Sep 1974</w:t>
            </w:r>
          </w:p>
        </w:tc>
      </w:tr>
      <w:tr w:rsidR="00C0344A" w:rsidRPr="00002860" w14:paraId="0472FECA" w14:textId="77777777" w:rsidTr="00002860">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E83B172" w14:textId="77777777" w:rsidR="00C0344A" w:rsidRPr="00002860" w:rsidRDefault="00C0344A" w:rsidP="00C0344A">
            <w:pPr>
              <w:spacing w:before="0" w:after="0" w:line="360" w:lineRule="auto"/>
              <w:jc w:val="left"/>
              <w:rPr>
                <w:rFonts w:ascii="Times New Roman" w:eastAsia="DengXian" w:hAnsi="Times New Roman" w:cs="Times New Roman"/>
                <w:sz w:val="18"/>
                <w:szCs w:val="18"/>
              </w:rPr>
            </w:pPr>
            <w:r w:rsidRPr="00002860">
              <w:rPr>
                <w:rFonts w:ascii="Times New Roman" w:eastAsia="DengXian" w:hAnsi="Times New Roman" w:cs="Times New Roman"/>
                <w:sz w:val="18"/>
                <w:szCs w:val="18"/>
              </w:rPr>
              <w:t>Sample Methodology</w:t>
            </w:r>
          </w:p>
        </w:tc>
        <w:tc>
          <w:tcPr>
            <w:tcW w:w="3827" w:type="dxa"/>
          </w:tcPr>
          <w:p w14:paraId="5D3B294C"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w:t>
            </w:r>
          </w:p>
        </w:tc>
        <w:tc>
          <w:tcPr>
            <w:tcW w:w="3775" w:type="dxa"/>
          </w:tcPr>
          <w:p w14:paraId="41AC2778" w14:textId="77777777" w:rsidR="00C0344A" w:rsidRPr="00002860" w:rsidRDefault="00C0344A" w:rsidP="00C0344A">
            <w:pPr>
              <w:spacing w:before="0" w:after="0" w:line="360" w:lineRule="auto"/>
              <w:jc w:val="lef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002860">
              <w:rPr>
                <w:rFonts w:ascii="Times New Roman" w:eastAsia="DengXian" w:hAnsi="Times New Roman" w:cs="Times New Roman"/>
                <w:sz w:val="18"/>
                <w:szCs w:val="18"/>
              </w:rPr>
              <w:t>Stratified to reflect Australian demographics</w:t>
            </w:r>
          </w:p>
        </w:tc>
      </w:tr>
    </w:tbl>
    <w:p w14:paraId="631301C3" w14:textId="3AA8EEE4" w:rsidR="00182990" w:rsidRPr="00320CC7" w:rsidRDefault="00182990" w:rsidP="00321844">
      <w:pPr>
        <w:pStyle w:val="BalloonText"/>
        <w:rPr>
          <w:rStyle w:val="SubtleReference"/>
        </w:rPr>
      </w:pPr>
      <w:r w:rsidRPr="00320CC7">
        <w:rPr>
          <w:rStyle w:val="SubtleReference"/>
        </w:rPr>
        <w:t xml:space="preserve">Source: </w:t>
      </w:r>
      <w:r w:rsidRPr="00320CC7">
        <w:rPr>
          <w:rStyle w:val="SubtleReference"/>
        </w:rPr>
        <w:fldChar w:fldCharType="begin"/>
      </w:r>
      <w:r w:rsidRPr="00320CC7">
        <w:rPr>
          <w:rStyle w:val="SubtleReference"/>
        </w:rPr>
        <w:instrText xml:space="preserve"> ADDIN EN.CITE &lt;EndNote&gt;&lt;Cite AuthorYear="1"&gt;&lt;Author&gt;Wang&lt;/Author&gt;&lt;Year&gt;2015&lt;/Year&gt;&lt;RecNum&gt;279&lt;/RecNum&gt;&lt;DisplayText&gt;Wang and Berger-Thomson (2015)&lt;/DisplayText&gt;&lt;record&gt;&lt;rec-number&gt;279&lt;/rec-number&gt;&lt;foreign-keys&gt;&lt;key app="EN" db-id="e9xrw0ppjrxazme9sdavssd69wf90saf5s09" timestamp="1651441290" guid="cc0a61a7-2556-449b-921d-1f382687605f"&gt;279&lt;/key&gt;&lt;/foreign-keys&gt;&lt;ref-type name="Government Document"&gt;46&lt;/ref-type&gt;&lt;contributors&gt;&lt;authors&gt;&lt;author&gt;Jin Cong Wang&lt;/author&gt;&lt;author&gt;Laura Berger-Thomson&lt;/author&gt;&lt;/authors&gt;&lt;secondary-authors&gt;&lt;author&gt;RBA&lt;/author&gt;&lt;/secondary-authors&gt;&lt;/contributors&gt;&lt;titles&gt;&lt;title&gt;Bulletin | Consumer Sentiment Survey&lt;/title&gt;&lt;/titles&gt;&lt;dates&gt;&lt;year&gt;2015&lt;/year&gt;&lt;/dates&gt;&lt;urls&gt;&lt;/urls&gt;&lt;/record&gt;&lt;/Cite&gt;&lt;/EndNote&gt;</w:instrText>
      </w:r>
      <w:r w:rsidRPr="00320CC7">
        <w:rPr>
          <w:rStyle w:val="SubtleReference"/>
        </w:rPr>
        <w:fldChar w:fldCharType="separate"/>
      </w:r>
      <w:r w:rsidRPr="00320CC7">
        <w:rPr>
          <w:rStyle w:val="SubtleReference"/>
        </w:rPr>
        <w:t>Wang and Berger-Thomson (2015)</w:t>
      </w:r>
      <w:r w:rsidRPr="00320CC7">
        <w:rPr>
          <w:rStyle w:val="SubtleReference"/>
        </w:rPr>
        <w:fldChar w:fldCharType="end"/>
      </w:r>
      <w:r w:rsidRPr="00320CC7">
        <w:rPr>
          <w:rStyle w:val="SubtleReference"/>
        </w:rPr>
        <w:t xml:space="preserve">, ANZ-Roy Morgen, RBA, </w:t>
      </w:r>
      <w:r w:rsidR="00B9273D">
        <w:rPr>
          <w:rStyle w:val="SubtleReference"/>
        </w:rPr>
        <w:t xml:space="preserve">and </w:t>
      </w:r>
      <w:r w:rsidRPr="00320CC7">
        <w:rPr>
          <w:rStyle w:val="SubtleReference"/>
        </w:rPr>
        <w:t>Westpac and Melbourne Institute</w:t>
      </w:r>
    </w:p>
    <w:p w14:paraId="6B377D9D" w14:textId="77777777" w:rsidR="00182990" w:rsidRPr="00D314D5" w:rsidRDefault="00182990" w:rsidP="00D3639B">
      <w:pPr>
        <w:rPr>
          <w:szCs w:val="22"/>
        </w:rPr>
      </w:pPr>
    </w:p>
    <w:p w14:paraId="4ADADFD4" w14:textId="3B276E74" w:rsidR="00182990" w:rsidRPr="005205F0" w:rsidRDefault="00182990" w:rsidP="00D3639B">
      <w:pPr>
        <w:pStyle w:val="Heading2"/>
      </w:pPr>
      <w:r w:rsidRPr="005205F0">
        <w:t>2.3 Investor Sentiment and REIT Markets</w:t>
      </w:r>
    </w:p>
    <w:p w14:paraId="49C9A227" w14:textId="188CA095" w:rsidR="00182990" w:rsidRPr="00322E50" w:rsidRDefault="00182990" w:rsidP="00D3639B">
      <w:pPr>
        <w:rPr>
          <w:szCs w:val="22"/>
        </w:rPr>
      </w:pPr>
      <w:r w:rsidRPr="005205F0">
        <w:rPr>
          <w:szCs w:val="22"/>
        </w:rPr>
        <w:t xml:space="preserve">The relationship between investor sentiment </w:t>
      </w:r>
      <w:r w:rsidRPr="005205F0">
        <w:rPr>
          <w:rFonts w:hint="eastAsia"/>
          <w:szCs w:val="22"/>
        </w:rPr>
        <w:t>a</w:t>
      </w:r>
      <w:r w:rsidRPr="005205F0">
        <w:rPr>
          <w:szCs w:val="22"/>
        </w:rPr>
        <w:t xml:space="preserve">nd REITs returns has been explored by some previous academics. </w:t>
      </w:r>
      <w:r w:rsidRPr="005205F0">
        <w:rPr>
          <w:szCs w:val="22"/>
        </w:rPr>
        <w:fldChar w:fldCharType="begin"/>
      </w:r>
      <w:r w:rsidRPr="005205F0">
        <w:rPr>
          <w:szCs w:val="22"/>
        </w:rPr>
        <w:instrText xml:space="preserve"> ADDIN EN.CITE &lt;EndNote&gt;&lt;Cite AuthorYear="1"&gt;&lt;Author&gt;Chan&lt;/Author&gt;&lt;Year&gt;1990&lt;/Year&gt;&lt;RecNum&gt;27&lt;/RecNum&gt;&lt;DisplayText&gt;Chan, KC, Hendershott and Sanders (1990)&lt;/DisplayText&gt;&lt;record&gt;&lt;rec-number&gt;27&lt;/rec-number&gt;&lt;foreign-keys&gt;&lt;key app="EN" db-id="e9xrw0ppjrxazme9sdavssd69wf90saf5s09" timestamp="1638853215" guid="034723cd-018d-4ed1-a452-fb0c23bfa21b"&gt;27&lt;/key&gt;&lt;/foreign-keys&gt;&lt;ref-type name="Journal Article"&gt;17&lt;/ref-type&gt;&lt;contributors&gt;&lt;authors&gt;&lt;author&gt;Chan, K. C.&lt;/author&gt;&lt;author&gt;Hendershott, Patric&lt;/author&gt;&lt;author&gt;Sanders, Anthony B.&lt;/author&gt;&lt;/authors&gt;&lt;/contributors&gt;&lt;titles&gt;&lt;title&gt;Risk and Return on Real Estate: Evidence from Equity REITs&lt;/title&gt;&lt;secondary-title&gt;Real Estate Economics&lt;/secondary-title&gt;&lt;/titles&gt;&lt;periodical&gt;&lt;full-title&gt;Real Estate Economics&lt;/full-title&gt;&lt;/periodical&gt;&lt;pages&gt;431-452&lt;/pages&gt;&lt;volume&gt;18&lt;/volume&gt;&lt;number&gt;4&lt;/number&gt;&lt;dates&gt;&lt;year&gt;1990&lt;/year&gt;&lt;/dates&gt;&lt;urls&gt;&lt;related-urls&gt;&lt;url&gt;https://EconPapers.repec.org/RePEc:bla:reesec:v:18:y:1990:i:4:p:431-452&lt;/url&gt;&lt;/related-urls&gt;&lt;/urls&gt;&lt;/record&gt;&lt;/Cite&gt;&lt;/EndNote&gt;</w:instrText>
      </w:r>
      <w:r w:rsidRPr="005205F0">
        <w:rPr>
          <w:szCs w:val="22"/>
        </w:rPr>
        <w:fldChar w:fldCharType="separate"/>
      </w:r>
      <w:r w:rsidRPr="005205F0">
        <w:rPr>
          <w:szCs w:val="22"/>
        </w:rPr>
        <w:t>Chan, KC, Hendershott and Sanders (1990)</w:t>
      </w:r>
      <w:r w:rsidRPr="005205F0">
        <w:rPr>
          <w:szCs w:val="22"/>
        </w:rPr>
        <w:fldChar w:fldCharType="end"/>
      </w:r>
      <w:r w:rsidRPr="005205F0">
        <w:rPr>
          <w:szCs w:val="22"/>
        </w:rPr>
        <w:t xml:space="preserve"> used a multifactor arbitrage pricing model to </w:t>
      </w:r>
      <w:r w:rsidRPr="005205F0">
        <w:rPr>
          <w:rFonts w:hint="eastAsia"/>
          <w:szCs w:val="22"/>
        </w:rPr>
        <w:t xml:space="preserve">test </w:t>
      </w:r>
      <w:r w:rsidRPr="005205F0">
        <w:rPr>
          <w:szCs w:val="22"/>
        </w:rPr>
        <w:t xml:space="preserve">whether there is some relationship between </w:t>
      </w:r>
      <w:r w:rsidRPr="005205F0">
        <w:rPr>
          <w:rFonts w:hint="eastAsia"/>
          <w:szCs w:val="22"/>
        </w:rPr>
        <w:t xml:space="preserve">equity REIT returns </w:t>
      </w:r>
      <w:r w:rsidRPr="005205F0">
        <w:rPr>
          <w:szCs w:val="22"/>
        </w:rPr>
        <w:t xml:space="preserve">and </w:t>
      </w:r>
      <w:r w:rsidRPr="005205F0">
        <w:rPr>
          <w:rFonts w:hint="eastAsia"/>
          <w:szCs w:val="22"/>
        </w:rPr>
        <w:t>changes</w:t>
      </w:r>
      <w:r w:rsidRPr="005205F0">
        <w:rPr>
          <w:szCs w:val="22"/>
        </w:rPr>
        <w:t xml:space="preserve"> </w:t>
      </w:r>
      <w:r w:rsidR="00DA613C" w:rsidRPr="005205F0">
        <w:rPr>
          <w:szCs w:val="22"/>
        </w:rPr>
        <w:t>in</w:t>
      </w:r>
      <w:r w:rsidRPr="005205F0">
        <w:rPr>
          <w:szCs w:val="22"/>
        </w:rPr>
        <w:t xml:space="preserve"> investor sentiment. In their study, they employed the closed-end fund discounts as the indicator of investor sentiment, and confirmed that </w:t>
      </w:r>
      <w:r w:rsidRPr="005205F0">
        <w:rPr>
          <w:rFonts w:hint="eastAsia"/>
          <w:szCs w:val="22"/>
        </w:rPr>
        <w:t>change</w:t>
      </w:r>
      <w:r w:rsidR="0071462F" w:rsidRPr="005205F0">
        <w:rPr>
          <w:szCs w:val="22"/>
        </w:rPr>
        <w:t>s</w:t>
      </w:r>
      <w:r w:rsidRPr="005205F0">
        <w:rPr>
          <w:rFonts w:hint="eastAsia"/>
          <w:szCs w:val="22"/>
        </w:rPr>
        <w:t xml:space="preserve"> in the discount on closed‐end stock </w:t>
      </w:r>
      <w:r w:rsidRPr="005205F0">
        <w:rPr>
          <w:szCs w:val="22"/>
        </w:rPr>
        <w:t>was one of the drivers of equity REIT retur</w:t>
      </w:r>
      <w:r w:rsidRPr="005205F0">
        <w:rPr>
          <w:rFonts w:hint="eastAsia"/>
          <w:szCs w:val="22"/>
        </w:rPr>
        <w:t>n</w:t>
      </w:r>
      <w:r w:rsidRPr="005205F0">
        <w:rPr>
          <w:szCs w:val="22"/>
        </w:rPr>
        <w:t xml:space="preserve">. They pointed out that the discount variable is not simply proxying for the macroeconomic factors but has an independent influence on REIT returns. Additionally, they further included the leverage factor in their regression and their results supported that </w:t>
      </w:r>
      <w:r w:rsidR="00C55311" w:rsidRPr="005205F0">
        <w:rPr>
          <w:szCs w:val="22"/>
        </w:rPr>
        <w:t>a</w:t>
      </w:r>
      <w:r w:rsidRPr="005205F0">
        <w:rPr>
          <w:szCs w:val="22"/>
        </w:rPr>
        <w:t xml:space="preserve"> more significant</w:t>
      </w:r>
      <w:r w:rsidRPr="00322E50">
        <w:rPr>
          <w:szCs w:val="22"/>
        </w:rPr>
        <w:t xml:space="preserve"> impact can be observed in those highly levered REITs. </w:t>
      </w:r>
    </w:p>
    <w:p w14:paraId="575E9FB6" w14:textId="77777777" w:rsidR="00182990" w:rsidRPr="00322E50" w:rsidRDefault="00182990" w:rsidP="00D3639B">
      <w:pPr>
        <w:rPr>
          <w:szCs w:val="22"/>
        </w:rPr>
      </w:pPr>
    </w:p>
    <w:p w14:paraId="6421F862" w14:textId="4F9316B9" w:rsidR="00182990" w:rsidRPr="00322E50" w:rsidRDefault="00182990" w:rsidP="00D3639B">
      <w:pPr>
        <w:rPr>
          <w:szCs w:val="22"/>
        </w:rPr>
      </w:pPr>
      <w:r w:rsidRPr="00322E50">
        <w:rPr>
          <w:szCs w:val="22"/>
        </w:rPr>
        <w:fldChar w:fldCharType="begin"/>
      </w:r>
      <w:r w:rsidRPr="00322E50">
        <w:rPr>
          <w:szCs w:val="22"/>
        </w:rPr>
        <w:instrText xml:space="preserve"> ADDIN EN.CITE &lt;EndNote&gt;&lt;Cite AuthorYear="1"&gt;&lt;Author&gt;Lin&lt;/Author&gt;&lt;Year&gt;2008&lt;/Year&gt;&lt;RecNum&gt;1&lt;/RecNum&gt;&lt;DisplayText&gt;Lin, Rahman and Yung (2008)&lt;/DisplayText&gt;&lt;record&gt;&lt;rec-number&gt;1&lt;/rec-number&gt;&lt;foreign-keys&gt;&lt;key app="EN" db-id="e9xrw0ppjrxazme9sdavssd69wf90saf5s09" timestamp="1638694753" guid="a383aec7-d447-4945-b6e2-393379b564a8"&gt;1&lt;/key&gt;&lt;/foreign-keys&gt;&lt;ref-type name="Journal Article"&gt;17&lt;/ref-type&gt;&lt;contributors&gt;&lt;authors&gt;&lt;author&gt;Lin, Crystal Yan&lt;/author&gt;&lt;author&gt;Rahman, Hamid&lt;/author&gt;&lt;author&gt;Yung, Kenneth&lt;/author&gt;&lt;/authors&gt;&lt;/contributors&gt;&lt;titles&gt;&lt;title&gt;Investor Sentiment and REIT Returns&lt;/title&gt;&lt;secondary-title&gt;The Journal of Real Estate Finance and Economics&lt;/secondary-title&gt;&lt;/titles&gt;&lt;periodical&gt;&lt;full-title&gt;The Journal of Real Estate Finance and Economics&lt;/full-title&gt;&lt;/periodical&gt;&lt;pages&gt;450&lt;/pages&gt;&lt;volume&gt;39&lt;/volume&gt;&lt;number&gt;4&lt;/number&gt;&lt;dates&gt;&lt;year&gt;2008&lt;/year&gt;&lt;pub-dates&gt;&lt;date&gt;2008/06/03&lt;/date&gt;&lt;/pub-dates&gt;&lt;/dates&gt;&lt;isbn&gt;1573-045X&lt;/isbn&gt;&lt;urls&gt;&lt;related-urls&gt;&lt;url&gt;https://doi.org/10.1007/s11146-008-9115-5&lt;/url&gt;&lt;/related-urls&gt;&lt;/urls&gt;&lt;electronic-resource-num&gt;10.1007/s11146-008-9115-5&lt;/electronic-resource-num&gt;&lt;/record&gt;&lt;/Cite&gt;&lt;/EndNote&gt;</w:instrText>
      </w:r>
      <w:r w:rsidRPr="00322E50">
        <w:rPr>
          <w:szCs w:val="22"/>
        </w:rPr>
        <w:fldChar w:fldCharType="separate"/>
      </w:r>
      <w:r w:rsidRPr="00322E50">
        <w:rPr>
          <w:szCs w:val="22"/>
        </w:rPr>
        <w:t>Lin, Rahman and Yung (2008)</w:t>
      </w:r>
      <w:r w:rsidRPr="00322E50">
        <w:rPr>
          <w:szCs w:val="22"/>
        </w:rPr>
        <w:fldChar w:fldCharType="end"/>
      </w:r>
      <w:r w:rsidRPr="00322E50">
        <w:rPr>
          <w:szCs w:val="22"/>
        </w:rPr>
        <w:t xml:space="preserve"> further explain the impact of investor sentiment on REITs returns </w:t>
      </w:r>
      <w:r w:rsidRPr="00322E50">
        <w:rPr>
          <w:rFonts w:hint="eastAsia"/>
          <w:szCs w:val="22"/>
        </w:rPr>
        <w:t>o</w:t>
      </w:r>
      <w:r w:rsidRPr="00322E50">
        <w:rPr>
          <w:szCs w:val="22"/>
        </w:rPr>
        <w:t xml:space="preserve">n the basis of the study by </w:t>
      </w:r>
      <w:r w:rsidRPr="00322E50">
        <w:rPr>
          <w:szCs w:val="22"/>
        </w:rPr>
        <w:fldChar w:fldCharType="begin"/>
      </w:r>
      <w:r w:rsidRPr="00322E50">
        <w:rPr>
          <w:szCs w:val="22"/>
        </w:rPr>
        <w:instrText xml:space="preserve"> ADDIN EN.CITE &lt;EndNote&gt;&lt;Cite AuthorYear="1"&gt;&lt;Author&gt;Chan&lt;/Author&gt;&lt;Year&gt;1990&lt;/Year&gt;&lt;RecNum&gt;27&lt;/RecNum&gt;&lt;DisplayText&gt;Chan, KC, Hendershott and Sanders (1990)&lt;/DisplayText&gt;&lt;record&gt;&lt;rec-number&gt;27&lt;/rec-number&gt;&lt;foreign-keys&gt;&lt;key app="EN" db-id="e9xrw0ppjrxazme9sdavssd69wf90saf5s09" timestamp="1638853215" guid="034723cd-018d-4ed1-a452-fb0c23bfa21b"&gt;27&lt;/key&gt;&lt;/foreign-keys&gt;&lt;ref-type name="Journal Article"&gt;17&lt;/ref-type&gt;&lt;contributors&gt;&lt;authors&gt;&lt;author&gt;Chan, K. C.&lt;/author&gt;&lt;author&gt;Hendershott, Patric&lt;/author&gt;&lt;author&gt;Sanders, Anthony B.&lt;/author&gt;&lt;/authors&gt;&lt;/contributors&gt;&lt;titles&gt;&lt;title&gt;Risk and Return on Real Estate: Evidence from Equity REITs&lt;/title&gt;&lt;secondary-title&gt;Real Estate Economics&lt;/secondary-title&gt;&lt;/titles&gt;&lt;periodical&gt;&lt;full-title&gt;Real Estate Economics&lt;/full-title&gt;&lt;/periodical&gt;&lt;pages&gt;431-452&lt;/pages&gt;&lt;volume&gt;18&lt;/volume&gt;&lt;number&gt;4&lt;/number&gt;&lt;dates&gt;&lt;year&gt;1990&lt;/year&gt;&lt;/dates&gt;&lt;urls&gt;&lt;related-urls&gt;&lt;url&gt;https://EconPapers.repec.org/RePEc:bla:reesec:v:18:y:1990:i:4:p:431-452&lt;/url&gt;&lt;/related-urls&gt;&lt;/urls&gt;&lt;/record&gt;&lt;/Cite&gt;&lt;/EndNote&gt;</w:instrText>
      </w:r>
      <w:r w:rsidRPr="00322E50">
        <w:rPr>
          <w:szCs w:val="22"/>
        </w:rPr>
        <w:fldChar w:fldCharType="separate"/>
      </w:r>
      <w:r w:rsidRPr="00322E50">
        <w:rPr>
          <w:szCs w:val="22"/>
        </w:rPr>
        <w:t>Chan, KC, Hendershott and Sanders (1990)</w:t>
      </w:r>
      <w:r w:rsidRPr="00322E50">
        <w:rPr>
          <w:szCs w:val="22"/>
        </w:rPr>
        <w:fldChar w:fldCharType="end"/>
      </w:r>
      <w:r w:rsidRPr="00322E50">
        <w:rPr>
          <w:szCs w:val="22"/>
        </w:rPr>
        <w:t xml:space="preserve">. They use the behavioural impact of investor sentiment on REIT returns as an entry point for the research and delve into the process of REIT return generation. Closed-end fund discount is used as the proxy of investor sentiment and changes in REIT institution ownership </w:t>
      </w:r>
      <w:r w:rsidRPr="00322E50">
        <w:rPr>
          <w:rFonts w:hint="eastAsia"/>
          <w:szCs w:val="22"/>
        </w:rPr>
        <w:t>is</w:t>
      </w:r>
      <w:r w:rsidRPr="00322E50">
        <w:rPr>
          <w:szCs w:val="22"/>
        </w:rPr>
        <w:t xml:space="preserve"> adopted as one of</w:t>
      </w:r>
      <w:r w:rsidR="00443DF4">
        <w:rPr>
          <w:szCs w:val="22"/>
        </w:rPr>
        <w:t xml:space="preserve"> the</w:t>
      </w:r>
      <w:r w:rsidRPr="00322E50">
        <w:rPr>
          <w:szCs w:val="22"/>
        </w:rPr>
        <w:t xml:space="preserve"> control factors to isolate the impact of professional investors. The results of empirical analysis show that the relationship between investor sentiment and REITs </w:t>
      </w:r>
      <w:r w:rsidRPr="00322E50">
        <w:rPr>
          <w:rFonts w:hint="eastAsia"/>
          <w:szCs w:val="22"/>
        </w:rPr>
        <w:t>return</w:t>
      </w:r>
      <w:r w:rsidRPr="00322E50">
        <w:rPr>
          <w:szCs w:val="22"/>
        </w:rPr>
        <w:t xml:space="preserve"> is positive and significant. Specifically, REITs returns will increase (decrease) when investors feel optimistic (pessimistic). This finding is in line with conclusions from previous research for stock markets, which show a positive relationship between investor sentiment and stock returns, such as the studies conducted by </w:t>
      </w:r>
      <w:r w:rsidRPr="00322E50">
        <w:rPr>
          <w:szCs w:val="22"/>
        </w:rPr>
        <w:fldChar w:fldCharType="begin"/>
      </w:r>
      <w:r w:rsidRPr="00322E50">
        <w:rPr>
          <w:szCs w:val="22"/>
        </w:rPr>
        <w:instrText xml:space="preserve"> ADDIN EN.CITE &lt;EndNote&gt;&lt;Cite AuthorYear="1"&gt;&lt;Author&gt;Neal&lt;/Author&gt;&lt;Year&gt;1998&lt;/Year&gt;&lt;RecNum&gt;29&lt;/RecNum&gt;&lt;DisplayText&gt;Neal and Wheatley (1998)&lt;/DisplayText&gt;&lt;record&gt;&lt;rec-number&gt;29&lt;/rec-number&gt;&lt;foreign-keys&gt;&lt;key app="EN" db-id="e9xrw0ppjrxazme9sdavssd69wf90saf5s09" timestamp="1638855645" guid="02be69fe-8063-4068-913f-c2b51dfdadc6"&gt;29&lt;/key&gt;&lt;/foreign-keys&gt;&lt;ref-type name="Journal Article"&gt;17&lt;/ref-type&gt;&lt;contributors&gt;&lt;authors&gt;&lt;author&gt;Neal, Robert&lt;/author&gt;&lt;author&gt;Wheatley, Simon M.&lt;/author&gt;&lt;/authors&gt;&lt;/contributors&gt;&lt;titles&gt;&lt;title&gt;Do Measures of Investor Sentiment Predict Returns?&lt;/title&gt;&lt;secondary-title&gt;Journal of Financial and Quantitative Analysis&lt;/secondary-title&gt;&lt;/titles&gt;&lt;periodical&gt;&lt;full-title&gt;Journal of Financial and Quantitative Analysis&lt;/full-title&gt;&lt;/periodical&gt;&lt;pages&gt;523-547&lt;/pages&gt;&lt;volume&gt;33&lt;/volume&gt;&lt;number&gt;4&lt;/number&gt;&lt;edition&gt;2009/04/06&lt;/edition&gt;&lt;dates&gt;&lt;year&gt;1998&lt;/year&gt;&lt;/dates&gt;&lt;publisher&gt;Cambridge University Press&lt;/publisher&gt;&lt;isbn&gt;0022-1090&lt;/isbn&gt;&lt;urls&gt;&lt;related-urls&gt;&lt;url&gt;https://www.cambridge.org/core/article/do-measures-of-investor-sentiment-predict-returns/6762705D33CECBBDBF5943DB12351585&lt;/url&gt;&lt;/related-urls&gt;&lt;/urls&gt;&lt;electronic-resource-num&gt;10.2307/2331130&lt;/electronic-resource-num&gt;&lt;remote-database-name&gt;Cambridge Core&lt;/remote-database-name&gt;&lt;remote-database-provider&gt;Cambridge University Press&lt;/remote-database-provider&gt;&lt;/record&gt;&lt;/Cite&gt;&lt;/EndNote&gt;</w:instrText>
      </w:r>
      <w:r w:rsidRPr="00322E50">
        <w:rPr>
          <w:szCs w:val="22"/>
        </w:rPr>
        <w:fldChar w:fldCharType="separate"/>
      </w:r>
      <w:r w:rsidRPr="00322E50">
        <w:rPr>
          <w:szCs w:val="22"/>
        </w:rPr>
        <w:t>Neal and Wheatley (1998)</w:t>
      </w:r>
      <w:r w:rsidRPr="00322E50">
        <w:rPr>
          <w:szCs w:val="22"/>
        </w:rPr>
        <w:fldChar w:fldCharType="end"/>
      </w:r>
      <w:r w:rsidRPr="00322E50">
        <w:rPr>
          <w:szCs w:val="22"/>
        </w:rPr>
        <w:t xml:space="preserve">, </w:t>
      </w:r>
      <w:r w:rsidRPr="00322E50">
        <w:rPr>
          <w:szCs w:val="22"/>
        </w:rPr>
        <w:fldChar w:fldCharType="begin"/>
      </w:r>
      <w:r w:rsidR="00DD5B04">
        <w:rPr>
          <w:szCs w:val="22"/>
        </w:rPr>
        <w:instrText xml:space="preserve"> ADDIN EN.CITE &lt;EndNote&gt;&lt;Cite AuthorYear="1"&gt;&lt;Author&gt;Lee&lt;/Author&gt;&lt;Year&gt;2002&lt;/Year&gt;&lt;RecNum&gt;23&lt;/RecNum&gt;&lt;DisplayText&gt;Lee, WY, Jiang and Indro (2002)&lt;/DisplayText&gt;&lt;record&gt;&lt;rec-number&gt;23&lt;/rec-number&gt;&lt;foreign-keys&gt;&lt;key app="EN" db-id="e9xrw0ppjrxazme9sdavssd69wf90saf5s09" timestamp="1638798462" guid="efae5767-9b70-470e-a0ee-2270b466abb5"&gt;23&lt;/key&gt;&lt;/foreign-keys&gt;&lt;ref-type name="Journal Article"&gt;17&lt;/ref-type&gt;&lt;contributors&gt;&lt;authors&gt;&lt;author&gt;Lee, Wayne Y.&lt;/author&gt;&lt;author&gt;Jiang, Christine X.&lt;/author&gt;&lt;author&gt;Indro, Daniel C.&lt;/author&gt;&lt;/authors&gt;&lt;/contributors&gt;&lt;titles&gt;&lt;title&gt;Stock market volatility, excess returns, and the role of investor sentiment&lt;/title&gt;&lt;secondary-title&gt;Journal of Banking &amp;amp;amp; Finance&lt;/secondary-title&gt;&lt;/titles&gt;&lt;periodical&gt;&lt;full-title&gt;Journal of Banking &amp;amp;amp; Finance&lt;/full-title&gt;&lt;/periodical&gt;&lt;pages&gt;2277-2299&lt;/pages&gt;&lt;volume&gt;26&lt;/volume&gt;&lt;number&gt;12&lt;/number&gt;&lt;dates&gt;&lt;year&gt;2002&lt;/year&gt;&lt;/dates&gt;&lt;urls&gt;&lt;related-urls&gt;&lt;url&gt;https://EconPapers.repec.org/RePEc:eee:jbfina:v:26:y:2002:i:12:p:2277-2299&lt;/url&gt;&lt;/related-urls&gt;&lt;/urls&gt;&lt;/record&gt;&lt;/Cite&gt;&lt;/EndNote&gt;</w:instrText>
      </w:r>
      <w:r w:rsidRPr="00322E50">
        <w:rPr>
          <w:szCs w:val="22"/>
        </w:rPr>
        <w:fldChar w:fldCharType="separate"/>
      </w:r>
      <w:r w:rsidR="00DD5B04">
        <w:rPr>
          <w:noProof/>
          <w:szCs w:val="22"/>
        </w:rPr>
        <w:t>Lee, WY, Jiang and Indro (2002)</w:t>
      </w:r>
      <w:r w:rsidRPr="00322E50">
        <w:rPr>
          <w:szCs w:val="22"/>
        </w:rPr>
        <w:fldChar w:fldCharType="end"/>
      </w:r>
      <w:r w:rsidRPr="00322E50">
        <w:rPr>
          <w:szCs w:val="22"/>
        </w:rPr>
        <w:t xml:space="preserve">, </w:t>
      </w:r>
      <w:r w:rsidRPr="00322E50">
        <w:rPr>
          <w:szCs w:val="22"/>
        </w:rPr>
        <w:fldChar w:fldCharType="begin"/>
      </w:r>
      <w:r>
        <w:rPr>
          <w:szCs w:val="22"/>
        </w:rPr>
        <w:instrText xml:space="preserve"> ADDIN EN.CITE &lt;EndNote&gt;&lt;Cite AuthorYear="1"&gt;&lt;Author&gt;Brown&lt;/Author&gt;&lt;Year&gt;2004&lt;/Year&gt;&lt;RecNum&gt;9&lt;/RecNum&gt;&lt;DisplayText&gt;Brown and Cliff (2004)&lt;/DisplayText&gt;&lt;record&gt;&lt;rec-number&gt;9&lt;/rec-number&gt;&lt;foreign-keys&gt;&lt;key app="EN" db-id="e9xrw0ppjrxazme9sdavssd69wf90saf5s09" timestamp="1638715523" guid="9091d919-0373-4a53-b454-33a93372296c"&gt;9&lt;/key&gt;&lt;/foreign-keys&gt;&lt;ref-type name="Journal Article"&gt;17&lt;/ref-type&gt;&lt;contributors&gt;&lt;authors&gt;&lt;author&gt;Brown, Gregory W.&lt;/author&gt;&lt;author&gt;Cliff, Michael T.&lt;/author&gt;&lt;/authors&gt;&lt;/contributors&gt;&lt;titles&gt;&lt;title&gt;Investor sentiment and the near-term stock market&lt;/title&gt;&lt;secondary-title&gt;Journal of Empirical Finance&lt;/secondary-title&gt;&lt;/titles&gt;&lt;periodical&gt;&lt;full-title&gt;Journal of Empirical Finance&lt;/full-title&gt;&lt;/periodical&gt;&lt;pages&gt;1-27&lt;/pages&gt;&lt;volume&gt;11&lt;/volume&gt;&lt;number&gt;1&lt;/number&gt;&lt;dates&gt;&lt;year&gt;2004&lt;/year&gt;&lt;/dates&gt;&lt;urls&gt;&lt;related-urls&gt;&lt;url&gt;https://EconPapers.repec.org/RePEc:eee:empfin:v:11:y:2004:i:1:p:1-27&lt;/url&gt;&lt;/related-urls&gt;&lt;/urls&gt;&lt;/record&gt;&lt;/Cite&gt;&lt;/EndNote&gt;</w:instrText>
      </w:r>
      <w:r w:rsidRPr="00322E50">
        <w:rPr>
          <w:szCs w:val="22"/>
        </w:rPr>
        <w:fldChar w:fldCharType="separate"/>
      </w:r>
      <w:r>
        <w:rPr>
          <w:noProof/>
          <w:szCs w:val="22"/>
        </w:rPr>
        <w:t>Brown and Cliff (2004)</w:t>
      </w:r>
      <w:r w:rsidRPr="00322E50">
        <w:rPr>
          <w:szCs w:val="22"/>
        </w:rPr>
        <w:fldChar w:fldCharType="end"/>
      </w:r>
      <w:r w:rsidRPr="00322E50">
        <w:rPr>
          <w:szCs w:val="22"/>
        </w:rPr>
        <w:t xml:space="preserve">, and </w:t>
      </w:r>
      <w:r w:rsidRPr="00322E50">
        <w:rPr>
          <w:szCs w:val="22"/>
        </w:rPr>
        <w:fldChar w:fldCharType="begin"/>
      </w:r>
      <w:r>
        <w:rPr>
          <w:szCs w:val="22"/>
        </w:rPr>
        <w:instrText xml:space="preserve"> ADDIN EN.CITE &lt;EndNote&gt;&lt;Cite AuthorYear="1"&gt;&lt;Author&gt;Baker&lt;/Author&gt;&lt;Year&gt;2007&lt;/Year&gt;&lt;RecNum&gt;12&lt;/RecNum&gt;&lt;DisplayText&gt;Baker and Wurgler (2007)&lt;/DisplayText&gt;&lt;record&gt;&lt;rec-number&gt;12&lt;/rec-number&gt;&lt;foreign-keys&gt;&lt;key app="EN" db-id="e9xrw0ppjrxazme9sdavssd69wf90saf5s09" timestamp="1638715795" guid="c79ee5e2-4f03-4055-a91e-b3556030b627"&gt;12&lt;/key&gt;&lt;/foreign-keys&gt;&lt;ref-type name="Journal Article"&gt;17&lt;/ref-type&gt;&lt;contributors&gt;&lt;authors&gt;&lt;author&gt;Baker, Malcolm&lt;/author&gt;&lt;author&gt;Wurgler, Jeffrey&lt;/author&gt;&lt;/authors&gt;&lt;/contributors&gt;&lt;titles&gt;&lt;title&gt;Investor Sentiment in the Stock Market&lt;/title&gt;&lt;secondary-title&gt;Journal of Economic Perspectives&lt;/secondary-title&gt;&lt;/titles&gt;&lt;periodical&gt;&lt;full-title&gt;Journal of Economic Perspectives&lt;/full-title&gt;&lt;/periodical&gt;&lt;pages&gt;129-152&lt;/pages&gt;&lt;volume&gt;21&lt;/volume&gt;&lt;number&gt;2&lt;/number&gt;&lt;dates&gt;&lt;year&gt;2007&lt;/year&gt;&lt;/dates&gt;&lt;urls&gt;&lt;related-urls&gt;&lt;url&gt;https://www.aeaweb.org/articles?id=10.1257/jep.21.2.129&lt;/url&gt;&lt;/related-urls&gt;&lt;/urls&gt;&lt;electronic-resource-num&gt;10.1257/jep.21.2.129&lt;/electronic-resource-num&gt;&lt;/record&gt;&lt;/Cite&gt;&lt;/EndNote&gt;</w:instrText>
      </w:r>
      <w:r w:rsidRPr="00322E50">
        <w:rPr>
          <w:szCs w:val="22"/>
        </w:rPr>
        <w:fldChar w:fldCharType="separate"/>
      </w:r>
      <w:r>
        <w:rPr>
          <w:noProof/>
          <w:szCs w:val="22"/>
        </w:rPr>
        <w:t>Baker and Wurgler (2007)</w:t>
      </w:r>
      <w:r w:rsidRPr="00322E50">
        <w:rPr>
          <w:szCs w:val="22"/>
        </w:rPr>
        <w:fldChar w:fldCharType="end"/>
      </w:r>
      <w:r w:rsidRPr="00322E50">
        <w:rPr>
          <w:szCs w:val="22"/>
        </w:rPr>
        <w:t xml:space="preserve">. </w:t>
      </w:r>
    </w:p>
    <w:p w14:paraId="0642BDB1" w14:textId="77777777" w:rsidR="00182990" w:rsidRPr="00322E50" w:rsidRDefault="00182990" w:rsidP="00D3639B">
      <w:pPr>
        <w:rPr>
          <w:szCs w:val="22"/>
        </w:rPr>
      </w:pPr>
    </w:p>
    <w:p w14:paraId="4973ECF7" w14:textId="17689550" w:rsidR="00182990" w:rsidRDefault="00182990" w:rsidP="00D3639B">
      <w:pPr>
        <w:rPr>
          <w:szCs w:val="22"/>
        </w:rPr>
      </w:pPr>
      <w:r w:rsidRPr="00322E50">
        <w:rPr>
          <w:szCs w:val="22"/>
        </w:rPr>
        <w:t xml:space="preserve">Furthermore, the study by </w:t>
      </w:r>
      <w:r w:rsidRPr="00322E50">
        <w:rPr>
          <w:szCs w:val="22"/>
        </w:rPr>
        <w:fldChar w:fldCharType="begin"/>
      </w:r>
      <w:r w:rsidRPr="00322E50">
        <w:rPr>
          <w:szCs w:val="22"/>
        </w:rPr>
        <w:instrText xml:space="preserve"> ADDIN EN.CITE &lt;EndNote&gt;&lt;Cite AuthorYear="1"&gt;&lt;Author&gt;Huerta-Sanchez&lt;/Author&gt;&lt;Year&gt;2018&lt;/Year&gt;&lt;RecNum&gt;44&lt;/RecNum&gt;&lt;DisplayText&gt;Huerta-Sanchez and Escobari (2018)&lt;/DisplayText&gt;&lt;record&gt;&lt;rec-number&gt;44&lt;/rec-number&gt;&lt;foreign-keys&gt;&lt;key app="EN" db-id="e9xrw0ppjrxazme9sdavssd69wf90saf5s09" timestamp="1638890527" guid="fff9fdbf-95a1-4e58-a59c-ed7d0563f406"&gt;44&lt;/key&gt;&lt;/foreign-keys&gt;&lt;ref-type name="Journal Article"&gt;17&lt;/ref-type&gt;&lt;contributors&gt;&lt;authors&gt;&lt;author&gt;Huerta-Sanchez, Daniel&lt;/author&gt;&lt;author&gt;Escobari, Diego&lt;/author&gt;&lt;/authors&gt;&lt;/contributors&gt;&lt;titles&gt;&lt;title&gt;Changes in sentiment on REIT industry excess returns and volatility&lt;/title&gt;&lt;secondary-title&gt;Financial Markets and Portfolio Management&lt;/secondary-title&gt;&lt;/titles&gt;&lt;periodical&gt;&lt;full-title&gt;Financial Markets and Portfolio Management&lt;/full-title&gt;&lt;/periodical&gt;&lt;pages&gt;239-274&lt;/pages&gt;&lt;volume&gt;32&lt;/volume&gt;&lt;number&gt;3&lt;/number&gt;&lt;dates&gt;&lt;year&gt;2018&lt;/year&gt;&lt;/dates&gt;&lt;isbn&gt;2373-8529&lt;/isbn&gt;&lt;urls&gt;&lt;/urls&gt;&lt;/record&gt;&lt;/Cite&gt;&lt;/EndNote&gt;</w:instrText>
      </w:r>
      <w:r w:rsidRPr="00322E50">
        <w:rPr>
          <w:szCs w:val="22"/>
        </w:rPr>
        <w:fldChar w:fldCharType="separate"/>
      </w:r>
      <w:r w:rsidRPr="00322E50">
        <w:rPr>
          <w:szCs w:val="22"/>
        </w:rPr>
        <w:t>Huerta-Sanchez and Escobari (2018)</w:t>
      </w:r>
      <w:r w:rsidRPr="00322E50">
        <w:rPr>
          <w:szCs w:val="22"/>
        </w:rPr>
        <w:fldChar w:fldCharType="end"/>
      </w:r>
      <w:r w:rsidRPr="00322E50">
        <w:rPr>
          <w:szCs w:val="22"/>
        </w:rPr>
        <w:t xml:space="preserve"> is the first to use a dynamic model to analyse the relationship between heterogeneous investor sentiment indicators and REITs returns and volatility. Their </w:t>
      </w:r>
      <w:r w:rsidRPr="00322E50">
        <w:rPr>
          <w:szCs w:val="22"/>
        </w:rPr>
        <w:lastRenderedPageBreak/>
        <w:t xml:space="preserve">research firstly confirms that trading behaviour by noise traders, as a kind of systematic risk, has </w:t>
      </w:r>
      <w:r w:rsidR="00A33751">
        <w:rPr>
          <w:szCs w:val="22"/>
        </w:rPr>
        <w:t xml:space="preserve">a </w:t>
      </w:r>
      <w:r w:rsidRPr="00322E50">
        <w:rPr>
          <w:szCs w:val="22"/>
        </w:rPr>
        <w:t xml:space="preserve">significant impact on the realisation of REITs return, which also </w:t>
      </w:r>
      <w:r w:rsidRPr="00322E50">
        <w:rPr>
          <w:rFonts w:hint="eastAsia"/>
          <w:szCs w:val="22"/>
        </w:rPr>
        <w:t>v</w:t>
      </w:r>
      <w:r w:rsidRPr="00322E50">
        <w:rPr>
          <w:szCs w:val="22"/>
        </w:rPr>
        <w:t>erified</w:t>
      </w:r>
      <w:r w:rsidR="00715E48">
        <w:rPr>
          <w:szCs w:val="22"/>
        </w:rPr>
        <w:t xml:space="preserve"> the view of</w:t>
      </w:r>
      <w:r w:rsidRPr="00322E50">
        <w:rPr>
          <w:szCs w:val="22"/>
        </w:rPr>
        <w:t xml:space="preserve"> </w:t>
      </w:r>
      <w:r w:rsidRPr="00322E50">
        <w:rPr>
          <w:szCs w:val="22"/>
        </w:rPr>
        <w:fldChar w:fldCharType="begin"/>
      </w:r>
      <w:r w:rsidRPr="00322E50">
        <w:rPr>
          <w:szCs w:val="22"/>
        </w:rPr>
        <w:instrText xml:space="preserve"> ADDIN EN.CITE &lt;EndNote&gt;&lt;Cite AuthorYear="1"&gt;&lt;Author&gt;De Long&lt;/Author&gt;&lt;Year&gt;1990&lt;/Year&gt;&lt;RecNum&gt;2&lt;/RecNum&gt;&lt;DisplayText&gt;De Long et al. (1990)&lt;/DisplayText&gt;&lt;record&gt;&lt;rec-number&gt;2&lt;/rec-number&gt;&lt;foreign-keys&gt;&lt;key app="EN" db-id="e9xrw0ppjrxazme9sdavssd69wf90saf5s09" timestamp="1638708183" guid="940fe901-dcae-4679-b59e-2ac021164ab7"&gt;2&lt;/key&gt;&lt;/foreign-keys&gt;&lt;ref-type name="Journal Article"&gt;17&lt;/ref-type&gt;&lt;contributors&gt;&lt;authors&gt;&lt;author&gt;De Long, J. Bradford&lt;/author&gt;&lt;author&gt;Shleifer, Andrei&lt;/author&gt;&lt;author&gt;Summers, Lawrence H.&lt;/author&gt;&lt;author&gt;Waldmann, Robert J.&lt;/author&gt;&lt;/authors&gt;&lt;/contributors&gt;&lt;titles&gt;&lt;title&gt;Noise Trader Risk in Financial Markets&lt;/title&gt;&lt;secondary-title&gt;Journal of Political Economy&lt;/secondary-title&gt;&lt;/titles&gt;&lt;periodical&gt;&lt;full-title&gt;Journal of Political Economy&lt;/full-title&gt;&lt;/periodical&gt;&lt;pages&gt;703-738&lt;/pages&gt;&lt;volume&gt;98&lt;/volume&gt;&lt;number&gt;4&lt;/number&gt;&lt;dates&gt;&lt;year&gt;1990&lt;/year&gt;&lt;/dates&gt;&lt;publisher&gt;University of Chicago Press&lt;/publisher&gt;&lt;isbn&gt;00223808, 1537534X&lt;/isbn&gt;&lt;urls&gt;&lt;related-urls&gt;&lt;url&gt;http://www.jstor.org/stable/2937765&lt;/url&gt;&lt;/related-urls&gt;&lt;/urls&gt;&lt;custom1&gt;Full publication date: Aug., 1990&lt;/custom1&gt;&lt;remote-database-name&gt;JSTOR&lt;/remote-database-name&gt;&lt;access-date&gt;2021/12/05/&lt;/access-date&gt;&lt;/record&gt;&lt;/Cite&gt;&lt;/EndNote&gt;</w:instrText>
      </w:r>
      <w:r w:rsidRPr="00322E50">
        <w:rPr>
          <w:szCs w:val="22"/>
        </w:rPr>
        <w:fldChar w:fldCharType="separate"/>
      </w:r>
      <w:r w:rsidRPr="00322E50">
        <w:rPr>
          <w:szCs w:val="22"/>
        </w:rPr>
        <w:t>De Long et al. (1990)</w:t>
      </w:r>
      <w:r w:rsidRPr="00322E50">
        <w:rPr>
          <w:szCs w:val="22"/>
        </w:rPr>
        <w:fldChar w:fldCharType="end"/>
      </w:r>
      <w:r w:rsidRPr="00322E50">
        <w:rPr>
          <w:szCs w:val="22"/>
        </w:rPr>
        <w:t xml:space="preserve">. </w:t>
      </w:r>
    </w:p>
    <w:p w14:paraId="3B1FC740" w14:textId="77777777" w:rsidR="00182990" w:rsidRPr="00D314D5" w:rsidRDefault="00182990" w:rsidP="00D3639B">
      <w:pPr>
        <w:rPr>
          <w:szCs w:val="22"/>
        </w:rPr>
      </w:pPr>
    </w:p>
    <w:p w14:paraId="4D2BBD23" w14:textId="77777777" w:rsidR="00182990" w:rsidRPr="00C63BC0" w:rsidRDefault="00182990" w:rsidP="00D3639B">
      <w:pPr>
        <w:pStyle w:val="Heading1"/>
      </w:pPr>
      <w:r w:rsidRPr="00C63BC0">
        <w:t>3 RESEARCH DESIGN</w:t>
      </w:r>
    </w:p>
    <w:p w14:paraId="2203CE38" w14:textId="4ED4CBA8" w:rsidR="00182990" w:rsidRPr="00D314D5" w:rsidRDefault="00182990" w:rsidP="00D3639B">
      <w:pPr>
        <w:rPr>
          <w:szCs w:val="22"/>
        </w:rPr>
      </w:pPr>
      <w:r w:rsidRPr="00D314D5">
        <w:rPr>
          <w:szCs w:val="22"/>
        </w:rPr>
        <w:t xml:space="preserve">According to the review of previous studies, </w:t>
      </w:r>
      <w:r w:rsidR="00A568AE">
        <w:rPr>
          <w:szCs w:val="22"/>
        </w:rPr>
        <w:t xml:space="preserve">the </w:t>
      </w:r>
      <w:r w:rsidRPr="00D314D5">
        <w:rPr>
          <w:szCs w:val="22"/>
        </w:rPr>
        <w:t xml:space="preserve">regression model is a common and valid analysis method to explore the relationship between investor sentiment and investment returns. This study will follow the empirical framework proposed by </w:t>
      </w:r>
      <w:r w:rsidRPr="00D314D5">
        <w:rPr>
          <w:szCs w:val="22"/>
        </w:rPr>
        <w:fldChar w:fldCharType="begin"/>
      </w:r>
      <w:r w:rsidRPr="00D314D5">
        <w:rPr>
          <w:szCs w:val="22"/>
        </w:rPr>
        <w:instrText xml:space="preserve"> ADDIN EN.CITE &lt;EndNote&gt;&lt;Cite AuthorYear="1"&gt;&lt;Author&gt;Lin&lt;/Author&gt;&lt;Year&gt;2008&lt;/Year&gt;&lt;RecNum&gt;1&lt;/RecNum&gt;&lt;DisplayText&gt;Lin, Rahman and Yung (2008)&lt;/DisplayText&gt;&lt;record&gt;&lt;rec-number&gt;1&lt;/rec-number&gt;&lt;foreign-keys&gt;&lt;key app="EN" db-id="e9xrw0ppjrxazme9sdavssd69wf90saf5s09" timestamp="1638694753" guid="a383aec7-d447-4945-b6e2-393379b564a8"&gt;1&lt;/key&gt;&lt;/foreign-keys&gt;&lt;ref-type name="Journal Article"&gt;17&lt;/ref-type&gt;&lt;contributors&gt;&lt;authors&gt;&lt;author&gt;Lin, Crystal Yan&lt;/author&gt;&lt;author&gt;Rahman, Hamid&lt;/author&gt;&lt;author&gt;Yung, Kenneth&lt;/author&gt;&lt;/authors&gt;&lt;/contributors&gt;&lt;titles&gt;&lt;title&gt;Investor Sentiment and REIT Returns&lt;/title&gt;&lt;secondary-title&gt;The Journal of Real Estate Finance and Economics&lt;/secondary-title&gt;&lt;/titles&gt;&lt;periodical&gt;&lt;full-title&gt;The Journal of Real Estate Finance and Economics&lt;/full-title&gt;&lt;/periodical&gt;&lt;pages&gt;450&lt;/pages&gt;&lt;volume&gt;39&lt;/volume&gt;&lt;number&gt;4&lt;/number&gt;&lt;dates&gt;&lt;year&gt;2008&lt;/year&gt;&lt;pub-dates&gt;&lt;date&gt;2008/06/03&lt;/date&gt;&lt;/pub-dates&gt;&lt;/dates&gt;&lt;isbn&gt;1573-045X&lt;/isbn&gt;&lt;urls&gt;&lt;related-urls&gt;&lt;url&gt;https://doi.org/10.1007/s11146-008-9115-5&lt;/url&gt;&lt;/related-urls&gt;&lt;/urls&gt;&lt;electronic-resource-num&gt;10.1007/s11146-008-9115-5&lt;/electronic-resource-num&gt;&lt;/record&gt;&lt;/Cite&gt;&lt;/EndNote&gt;</w:instrText>
      </w:r>
      <w:r w:rsidRPr="00D314D5">
        <w:rPr>
          <w:szCs w:val="22"/>
        </w:rPr>
        <w:fldChar w:fldCharType="separate"/>
      </w:r>
      <w:r w:rsidRPr="00D314D5">
        <w:rPr>
          <w:noProof/>
          <w:szCs w:val="22"/>
        </w:rPr>
        <w:t>Lin, Rahman and Yung (2008)</w:t>
      </w:r>
      <w:r w:rsidRPr="00D314D5">
        <w:rPr>
          <w:szCs w:val="22"/>
        </w:rPr>
        <w:fldChar w:fldCharType="end"/>
      </w:r>
      <w:r w:rsidRPr="00D314D5">
        <w:rPr>
          <w:szCs w:val="22"/>
        </w:rPr>
        <w:t xml:space="preserve"> to use a series of regression models to test the impact of investor sentiment and A-REITs returns. Regression models used include univariate and multivariate regressions. Its theoretical basis is adding core explanatory variables based on the Fama-French Three Factor Model to test whether there is a relationship between core explanatory variables and asset returns. The core explanatory variables in this study are individual and institutional sentiment.</w:t>
      </w:r>
    </w:p>
    <w:p w14:paraId="070B0068" w14:textId="77777777" w:rsidR="00182990" w:rsidRPr="00D314D5" w:rsidRDefault="00182990" w:rsidP="00D3639B">
      <w:pPr>
        <w:rPr>
          <w:szCs w:val="22"/>
        </w:rPr>
      </w:pPr>
    </w:p>
    <w:p w14:paraId="1133A2FE" w14:textId="5E1A157E" w:rsidR="00182990" w:rsidRPr="00D314D5" w:rsidRDefault="00182990" w:rsidP="00D3639B">
      <w:pPr>
        <w:rPr>
          <w:szCs w:val="22"/>
        </w:rPr>
      </w:pPr>
      <w:r w:rsidRPr="00D314D5">
        <w:rPr>
          <w:szCs w:val="22"/>
        </w:rPr>
        <w:t xml:space="preserve">The Fame-French Three Factor Model </w:t>
      </w:r>
      <w:r w:rsidR="00C24AF9">
        <w:rPr>
          <w:szCs w:val="22"/>
        </w:rPr>
        <w:t>was</w:t>
      </w:r>
      <w:r w:rsidRPr="00D314D5">
        <w:rPr>
          <w:szCs w:val="22"/>
        </w:rPr>
        <w:t xml:space="preserve"> developed by </w:t>
      </w:r>
      <w:r w:rsidRPr="00D314D5">
        <w:rPr>
          <w:szCs w:val="22"/>
        </w:rPr>
        <w:fldChar w:fldCharType="begin"/>
      </w:r>
      <w:r w:rsidRPr="00D314D5">
        <w:rPr>
          <w:szCs w:val="22"/>
        </w:rPr>
        <w:instrText xml:space="preserve"> ADDIN EN.CITE &lt;EndNote&gt;&lt;Cite AuthorYear="1"&gt;&lt;Author&gt;Fama&lt;/Author&gt;&lt;Year&gt;1992&lt;/Year&gt;&lt;RecNum&gt;597&lt;/RecNum&gt;&lt;DisplayText&gt;Fama and French (1992)&lt;/DisplayText&gt;&lt;record&gt;&lt;rec-number&gt;597&lt;/rec-number&gt;&lt;foreign-keys&gt;&lt;key app="EN" db-id="e9xrw0ppjrxazme9sdavssd69wf90saf5s09" timestamp="1683834369" guid="3d7beacd-d40b-4e3c-ba63-8c665d413bd9"&gt;597&lt;/key&gt;&lt;/foreign-keys&gt;&lt;ref-type name="Journal Article"&gt;17&lt;/ref-type&gt;&lt;contributors&gt;&lt;authors&gt;&lt;author&gt;Fama, Eugene F.&lt;/author&gt;&lt;author&gt;French, Kenneth R.&lt;/author&gt;&lt;/authors&gt;&lt;/contributors&gt;&lt;titles&gt;&lt;title&gt;The Cross-Section of Expected Stock Returns&lt;/title&gt;&lt;secondary-title&gt;The Journal of finance (New York)&lt;/secondary-title&gt;&lt;/titles&gt;&lt;periodical&gt;&lt;full-title&gt;The Journal of finance (New York)&lt;/full-title&gt;&lt;/periodical&gt;&lt;pages&gt;427-465&lt;/pages&gt;&lt;volume&gt;47&lt;/volume&gt;&lt;number&gt;2&lt;/number&gt;&lt;keywords&gt;&lt;keyword&gt;Average&lt;/keyword&gt;&lt;keyword&gt;Book value&lt;/keyword&gt;&lt;keyword&gt;Capital market&lt;/keyword&gt;&lt;keyword&gt;Capital markets&lt;/keyword&gt;&lt;keyword&gt;Comparative analysis&lt;/keyword&gt;&lt;keyword&gt;Cross-sectional analysis&lt;/keyword&gt;&lt;keyword&gt;Equity&lt;/keyword&gt;&lt;keyword&gt;Evaluation&lt;/keyword&gt;&lt;keyword&gt;Expected returns&lt;/keyword&gt;&lt;keyword&gt;Financial leverage&lt;/keyword&gt;&lt;keyword&gt;Financial portfolios&lt;/keyword&gt;&lt;keyword&gt;Linear regression&lt;/keyword&gt;&lt;keyword&gt;Market&lt;/keyword&gt;&lt;keyword&gt;Market value&lt;/keyword&gt;&lt;keyword&gt;Nasdaq Composite Index&lt;/keyword&gt;&lt;keyword&gt;Ratio scales&lt;/keyword&gt;&lt;keyword&gt;Security prices&lt;/keyword&gt;&lt;keyword&gt;Standard error&lt;/keyword&gt;&lt;keyword&gt;Stock exchanges&lt;/keyword&gt;&lt;keyword&gt;Stock prices&lt;/keyword&gt;&lt;keyword&gt;Stock returns&lt;/keyword&gt;&lt;keyword&gt;Stock-exchange&lt;/keyword&gt;&lt;keyword&gt;Stocks&lt;/keyword&gt;&lt;keyword&gt;Studies&lt;/keyword&gt;&lt;keyword&gt;Time series&lt;/keyword&gt;&lt;keyword&gt;Yield&lt;/keyword&gt;&lt;/keywords&gt;&lt;dates&gt;&lt;year&gt;1992&lt;/year&gt;&lt;/dates&gt;&lt;pub-location&gt;Oxford, UK&lt;/pub-location&gt;&lt;publisher&gt;Blackwell Publishing Ltd&lt;/publisher&gt;&lt;isbn&gt;0022-1082&lt;/isbn&gt;&lt;urls&gt;&lt;/urls&gt;&lt;electronic-resource-num&gt;10.1111/j.1540-6261.1992.tb04398.x&lt;/electronic-resource-num&gt;&lt;/record&gt;&lt;/Cite&gt;&lt;/EndNote&gt;</w:instrText>
      </w:r>
      <w:r w:rsidRPr="00D314D5">
        <w:rPr>
          <w:szCs w:val="22"/>
        </w:rPr>
        <w:fldChar w:fldCharType="separate"/>
      </w:r>
      <w:r w:rsidRPr="00D314D5">
        <w:rPr>
          <w:noProof/>
          <w:szCs w:val="22"/>
        </w:rPr>
        <w:t>Fama and French (1992)</w:t>
      </w:r>
      <w:r w:rsidRPr="00D314D5">
        <w:rPr>
          <w:szCs w:val="22"/>
        </w:rPr>
        <w:fldChar w:fldCharType="end"/>
      </w:r>
      <w:r w:rsidRPr="00D314D5">
        <w:rPr>
          <w:szCs w:val="22"/>
        </w:rPr>
        <w:t xml:space="preserve"> as an extension to the classical Capital Asset Pricing Model (CAPM), which adds two variables, SMB and HML, to improve the explanatory power of CAPM. SMB (small minus big) is the size risk factor, which measures size premium (excess return premium of small capitalisation stocks to large capitalisation stocks). HML (high minus low) is the value risk factor, which measures value premium (excess return premium of value stocks to growth stocks</w:t>
      </w:r>
      <w:r w:rsidRPr="00D314D5">
        <w:rPr>
          <w:rStyle w:val="FootnoteReference"/>
          <w:szCs w:val="22"/>
        </w:rPr>
        <w:footnoteReference w:id="4"/>
      </w:r>
      <w:r w:rsidRPr="00D314D5">
        <w:rPr>
          <w:szCs w:val="22"/>
        </w:rPr>
        <w:t>). SMB and HML</w:t>
      </w:r>
      <w:r>
        <w:rPr>
          <w:szCs w:val="22"/>
        </w:rPr>
        <w:t xml:space="preserve"> factor</w:t>
      </w:r>
      <w:r w:rsidR="00211CBE">
        <w:rPr>
          <w:szCs w:val="22"/>
        </w:rPr>
        <w:t>s</w:t>
      </w:r>
      <w:r>
        <w:rPr>
          <w:szCs w:val="22"/>
        </w:rPr>
        <w:t xml:space="preserve"> in this study</w:t>
      </w:r>
      <w:r w:rsidRPr="00D314D5">
        <w:rPr>
          <w:szCs w:val="22"/>
        </w:rPr>
        <w:t xml:space="preserve"> </w:t>
      </w:r>
      <w:r w:rsidRPr="00655493">
        <w:rPr>
          <w:szCs w:val="22"/>
        </w:rPr>
        <w:t>will be calculated separately on a sample basis</w:t>
      </w:r>
      <w:r>
        <w:rPr>
          <w:szCs w:val="22"/>
        </w:rPr>
        <w:t>.</w:t>
      </w:r>
      <w:r w:rsidR="00356E2B">
        <w:rPr>
          <w:szCs w:val="22"/>
        </w:rPr>
        <w:t xml:space="preserve"> </w:t>
      </w:r>
      <w:r w:rsidRPr="00D314D5">
        <w:rPr>
          <w:szCs w:val="22"/>
        </w:rPr>
        <w:t>This study will use the following regression models to test the impact of investor sentiment on A-REITs returns.</w:t>
      </w:r>
    </w:p>
    <w:p w14:paraId="050098A8" w14:textId="77777777" w:rsidR="00182990" w:rsidRPr="00D314D5" w:rsidRDefault="00182990" w:rsidP="00D3639B">
      <w:pPr>
        <w:rPr>
          <w:szCs w:val="22"/>
        </w:rPr>
      </w:pPr>
    </w:p>
    <w:p w14:paraId="02ED2938" w14:textId="7C435568" w:rsidR="00182990" w:rsidRPr="00D314D5" w:rsidRDefault="00182990" w:rsidP="00D3639B">
      <w:pPr>
        <w:rPr>
          <w:szCs w:val="22"/>
        </w:rPr>
      </w:pPr>
      <w:r w:rsidRPr="00D314D5">
        <w:rPr>
          <w:szCs w:val="22"/>
        </w:rPr>
        <w:t>Eq. (1) is to explore the relation</w:t>
      </w:r>
      <w:r w:rsidR="00CF160D">
        <w:rPr>
          <w:szCs w:val="22"/>
        </w:rPr>
        <w:t>ship</w:t>
      </w:r>
      <w:r w:rsidRPr="00D314D5">
        <w:rPr>
          <w:szCs w:val="22"/>
        </w:rPr>
        <w:t xml:space="preserve"> between A-REITs returns and investor sentiment, as follow</w:t>
      </w:r>
      <w:r w:rsidR="00D606B5">
        <w:rPr>
          <w:szCs w:val="22"/>
        </w:rPr>
        <w:t>s</w:t>
      </w:r>
      <w:r w:rsidRPr="00D314D5">
        <w:rPr>
          <w:szCs w:val="22"/>
        </w:rPr>
        <w:t>:</w:t>
      </w:r>
    </w:p>
    <w:p w14:paraId="5F53080F" w14:textId="77777777" w:rsidR="00182990" w:rsidRPr="00D314D5" w:rsidRDefault="00182990" w:rsidP="00D3639B">
      <w:pPr>
        <w:rPr>
          <w:szCs w:val="22"/>
        </w:rPr>
      </w:pPr>
    </w:p>
    <w:p w14:paraId="4A943A5C" w14:textId="446AEFD9" w:rsidR="00182990" w:rsidRPr="00D314D5" w:rsidRDefault="00000000" w:rsidP="00952EEA">
      <w:pPr>
        <w:jc w:val="right"/>
        <w:rPr>
          <w:szCs w:val="22"/>
        </w:rPr>
      </w:pPr>
      <m:oMath>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α</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1</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Sent</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ε</m:t>
            </m:r>
          </m:e>
          <m:sub>
            <m:r>
              <m:rPr>
                <m:sty m:val="p"/>
              </m:rPr>
              <w:rPr>
                <w:rFonts w:ascii="Cambria Math" w:hAnsi="Cambria Math"/>
                <w:szCs w:val="22"/>
              </w:rPr>
              <m:t>i,t</m:t>
            </m:r>
          </m:sub>
        </m:sSub>
      </m:oMath>
      <w:r w:rsidR="00182990" w:rsidRPr="00D314D5">
        <w:rPr>
          <w:szCs w:val="22"/>
        </w:rPr>
        <w:t xml:space="preserve">                     </w:t>
      </w:r>
      <w:r w:rsidR="008A6BE7">
        <w:rPr>
          <w:szCs w:val="22"/>
        </w:rPr>
        <w:t xml:space="preserve">         </w:t>
      </w:r>
      <w:r w:rsidR="00182990" w:rsidRPr="00D314D5">
        <w:rPr>
          <w:szCs w:val="22"/>
        </w:rPr>
        <w:t xml:space="preserve">                       (1)</w:t>
      </w:r>
    </w:p>
    <w:p w14:paraId="338FB26A" w14:textId="77777777" w:rsidR="00182990" w:rsidRPr="00D314D5" w:rsidRDefault="00182990" w:rsidP="00D3639B">
      <w:pPr>
        <w:rPr>
          <w:szCs w:val="22"/>
        </w:rPr>
      </w:pPr>
      <w:r w:rsidRPr="00D314D5">
        <w:rPr>
          <w:szCs w:val="22"/>
        </w:rPr>
        <w:t xml:space="preserve">where: </w:t>
      </w:r>
    </w:p>
    <w:p w14:paraId="2ABC61ED" w14:textId="77777777" w:rsidR="00182990" w:rsidRPr="00D314D5"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oMath>
      <w:r w:rsidR="00182990" w:rsidRPr="00D314D5">
        <w:rPr>
          <w:szCs w:val="22"/>
        </w:rPr>
        <w:t xml:space="preserve"> is the monthly return of A-REIT </w:t>
      </w:r>
      <m:oMath>
        <m:r>
          <m:rPr>
            <m:sty m:val="p"/>
          </m:rPr>
          <w:rPr>
            <w:rFonts w:ascii="Cambria Math" w:hAnsi="Cambria Math"/>
            <w:szCs w:val="22"/>
          </w:rPr>
          <m:t>i</m:t>
        </m:r>
      </m:oMath>
      <w:r w:rsidR="00182990" w:rsidRPr="00D314D5">
        <w:rPr>
          <w:szCs w:val="22"/>
        </w:rPr>
        <w:t xml:space="preserve"> in month </w:t>
      </w:r>
      <m:oMath>
        <m:r>
          <m:rPr>
            <m:sty m:val="p"/>
          </m:rPr>
          <w:rPr>
            <w:rFonts w:ascii="Cambria Math" w:hAnsi="Cambria Math"/>
            <w:szCs w:val="22"/>
          </w:rPr>
          <m:t>t</m:t>
        </m:r>
      </m:oMath>
      <w:r w:rsidR="00182990" w:rsidRPr="00D314D5">
        <w:rPr>
          <w:szCs w:val="22"/>
        </w:rPr>
        <w:t>;</w:t>
      </w:r>
    </w:p>
    <w:p w14:paraId="18059DA3" w14:textId="15FAB12B" w:rsidR="00182990" w:rsidRPr="00D314D5"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oMath>
      <w:r w:rsidR="00182990" w:rsidRPr="00D314D5">
        <w:rPr>
          <w:szCs w:val="22"/>
        </w:rPr>
        <w:t xml:space="preserve"> is the monthly risk-free rate of return in month </w:t>
      </w:r>
      <m:oMath>
        <m:r>
          <m:rPr>
            <m:sty m:val="p"/>
          </m:rPr>
          <w:rPr>
            <w:rFonts w:ascii="Cambria Math" w:hAnsi="Cambria Math"/>
            <w:szCs w:val="22"/>
          </w:rPr>
          <m:t>t</m:t>
        </m:r>
      </m:oMath>
      <w:r w:rsidR="00182990" w:rsidRPr="00D314D5">
        <w:rPr>
          <w:szCs w:val="22"/>
        </w:rPr>
        <w:t xml:space="preserve">, </w:t>
      </w:r>
      <w:r w:rsidR="0044156C">
        <w:rPr>
          <w:szCs w:val="22"/>
        </w:rPr>
        <w:t>measured</w:t>
      </w:r>
      <w:r w:rsidR="00182990" w:rsidRPr="00D314D5">
        <w:rPr>
          <w:szCs w:val="22"/>
        </w:rPr>
        <w:t xml:space="preserve"> by the return of Commonwealth government bonds (10 years maturity);</w:t>
      </w:r>
    </w:p>
    <w:p w14:paraId="2A7D3635" w14:textId="77777777" w:rsidR="00182990" w:rsidRPr="00D314D5"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Sent</m:t>
            </m:r>
          </m:e>
          <m:sub>
            <m:r>
              <m:rPr>
                <m:sty m:val="p"/>
              </m:rPr>
              <w:rPr>
                <w:rFonts w:ascii="Cambria Math" w:hAnsi="Cambria Math"/>
                <w:szCs w:val="22"/>
              </w:rPr>
              <m:t>t</m:t>
            </m:r>
          </m:sub>
        </m:sSub>
      </m:oMath>
      <w:r w:rsidR="00182990" w:rsidRPr="00D314D5">
        <w:rPr>
          <w:szCs w:val="22"/>
        </w:rPr>
        <w:t xml:space="preserve"> </w:t>
      </w:r>
      <w:r w:rsidR="00182990">
        <w:rPr>
          <w:szCs w:val="22"/>
        </w:rPr>
        <w:t>is</w:t>
      </w:r>
      <w:r w:rsidR="00182990" w:rsidRPr="00D314D5">
        <w:rPr>
          <w:szCs w:val="22"/>
        </w:rPr>
        <w:t xml:space="preserve"> the monthly sentiment proxies in month </w:t>
      </w:r>
      <m:oMath>
        <m:r>
          <m:rPr>
            <m:sty m:val="p"/>
          </m:rPr>
          <w:rPr>
            <w:rFonts w:ascii="Cambria Math" w:hAnsi="Cambria Math"/>
            <w:szCs w:val="22"/>
          </w:rPr>
          <m:t>t</m:t>
        </m:r>
      </m:oMath>
      <w:r w:rsidR="00182990" w:rsidRPr="00D314D5">
        <w:rPr>
          <w:szCs w:val="22"/>
        </w:rPr>
        <w:t>.</w:t>
      </w:r>
    </w:p>
    <w:p w14:paraId="20954761" w14:textId="77777777" w:rsidR="00182990" w:rsidRPr="00D314D5" w:rsidRDefault="00182990" w:rsidP="00D3639B">
      <w:pPr>
        <w:rPr>
          <w:szCs w:val="22"/>
        </w:rPr>
      </w:pPr>
    </w:p>
    <w:p w14:paraId="19E00997" w14:textId="658F22A7" w:rsidR="00182990" w:rsidRPr="00D314D5" w:rsidRDefault="00182990" w:rsidP="00D3639B">
      <w:pPr>
        <w:rPr>
          <w:szCs w:val="22"/>
        </w:rPr>
      </w:pPr>
      <w:r w:rsidRPr="00D314D5">
        <w:rPr>
          <w:szCs w:val="22"/>
        </w:rPr>
        <w:t xml:space="preserve">Next, Eq. (3) will combine </w:t>
      </w:r>
      <w:r w:rsidR="009912FE">
        <w:rPr>
          <w:szCs w:val="22"/>
        </w:rPr>
        <w:t xml:space="preserve">the </w:t>
      </w:r>
      <w:r w:rsidRPr="00D314D5">
        <w:rPr>
          <w:szCs w:val="22"/>
        </w:rPr>
        <w:t>investor sentiment factor and CAPM (Eq. (2)):</w:t>
      </w:r>
    </w:p>
    <w:p w14:paraId="42DCA5EB" w14:textId="77777777" w:rsidR="00182990" w:rsidRPr="00D314D5" w:rsidRDefault="00182990" w:rsidP="00D3639B">
      <w:pPr>
        <w:rPr>
          <w:szCs w:val="22"/>
        </w:rPr>
      </w:pPr>
    </w:p>
    <w:p w14:paraId="25D60DD3" w14:textId="13BF5055" w:rsidR="00182990" w:rsidRPr="00D314D5" w:rsidRDefault="00000000" w:rsidP="00C43613">
      <w:pPr>
        <w:jc w:val="right"/>
        <w:rPr>
          <w:szCs w:val="22"/>
        </w:rPr>
      </w:pPr>
      <m:oMath>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α</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2</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m,t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ε</m:t>
            </m:r>
          </m:e>
          <m:sub>
            <m:r>
              <m:rPr>
                <m:sty m:val="p"/>
              </m:rPr>
              <w:rPr>
                <w:rFonts w:ascii="Cambria Math" w:hAnsi="Cambria Math"/>
                <w:szCs w:val="22"/>
              </w:rPr>
              <m:t>i,t</m:t>
            </m:r>
          </m:sub>
        </m:sSub>
      </m:oMath>
      <w:r w:rsidR="00182990" w:rsidRPr="00D314D5">
        <w:rPr>
          <w:szCs w:val="22"/>
        </w:rPr>
        <w:t xml:space="preserve">                   </w:t>
      </w:r>
      <w:r w:rsidR="00C43613">
        <w:rPr>
          <w:szCs w:val="22"/>
        </w:rPr>
        <w:t xml:space="preserve">             </w:t>
      </w:r>
      <w:r w:rsidR="00182990" w:rsidRPr="00D314D5">
        <w:rPr>
          <w:szCs w:val="22"/>
        </w:rPr>
        <w:t xml:space="preserve">                 (2)</w:t>
      </w:r>
    </w:p>
    <w:p w14:paraId="1FDD2F3F" w14:textId="77777777" w:rsidR="00182990" w:rsidRPr="00D314D5" w:rsidRDefault="00182990" w:rsidP="00D3639B">
      <w:pPr>
        <w:rPr>
          <w:szCs w:val="22"/>
        </w:rPr>
      </w:pPr>
    </w:p>
    <w:p w14:paraId="1ECC0616" w14:textId="457C1629" w:rsidR="00182990" w:rsidRPr="00D314D5" w:rsidRDefault="00000000" w:rsidP="00952EEA">
      <w:pPr>
        <w:jc w:val="right"/>
        <w:rPr>
          <w:szCs w:val="22"/>
        </w:rPr>
      </w:pPr>
      <m:oMath>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α</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1</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Sent</m:t>
                    </m:r>
                  </m:e>
                  <m:sub>
                    <m:r>
                      <m:rPr>
                        <m:sty m:val="p"/>
                      </m:rPr>
                      <w:rPr>
                        <w:rFonts w:ascii="Cambria Math" w:hAnsi="Cambria Math"/>
                        <w:szCs w:val="22"/>
                      </w:rPr>
                      <m:t>t</m:t>
                    </m:r>
                  </m:sub>
                </m:sSub>
              </m:e>
            </m:d>
            <m:r>
              <m:rPr>
                <m:sty m:val="p"/>
              </m:rPr>
              <w:rPr>
                <w:rFonts w:ascii="Cambria Math" w:hAnsi="Cambria Math"/>
                <w:szCs w:val="22"/>
              </w:rPr>
              <m:t>+β</m:t>
            </m:r>
          </m:e>
          <m:sub>
            <m:r>
              <m:rPr>
                <m:sty m:val="p"/>
              </m:rPr>
              <w:rPr>
                <w:rFonts w:ascii="Cambria Math" w:hAnsi="Cambria Math"/>
                <w:szCs w:val="22"/>
              </w:rPr>
              <m:t>2</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m,t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ε</m:t>
            </m:r>
          </m:e>
          <m:sub>
            <m:r>
              <m:rPr>
                <m:sty m:val="p"/>
              </m:rPr>
              <w:rPr>
                <w:rFonts w:ascii="Cambria Math" w:hAnsi="Cambria Math"/>
                <w:szCs w:val="22"/>
              </w:rPr>
              <m:t>i,t</m:t>
            </m:r>
          </m:sub>
        </m:sSub>
      </m:oMath>
      <w:r w:rsidR="00182990" w:rsidRPr="00D314D5">
        <w:rPr>
          <w:szCs w:val="22"/>
        </w:rPr>
        <w:t xml:space="preserve">            </w:t>
      </w:r>
      <w:r w:rsidR="00C43613">
        <w:rPr>
          <w:szCs w:val="22"/>
        </w:rPr>
        <w:t xml:space="preserve">              </w:t>
      </w:r>
      <w:r w:rsidR="00182990" w:rsidRPr="00D314D5">
        <w:rPr>
          <w:szCs w:val="22"/>
        </w:rPr>
        <w:t xml:space="preserve">            (3)</w:t>
      </w:r>
    </w:p>
    <w:p w14:paraId="14123CFB" w14:textId="77777777" w:rsidR="00182990" w:rsidRPr="00D314D5" w:rsidRDefault="00182990" w:rsidP="00D3639B">
      <w:pPr>
        <w:rPr>
          <w:szCs w:val="22"/>
        </w:rPr>
      </w:pPr>
      <w:r w:rsidRPr="00D314D5">
        <w:rPr>
          <w:szCs w:val="22"/>
        </w:rPr>
        <w:t xml:space="preserve">where: </w:t>
      </w:r>
    </w:p>
    <w:p w14:paraId="1ABA2B7F" w14:textId="23327B22" w:rsidR="00182990" w:rsidRPr="00D314D5"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m,t</m:t>
            </m:r>
          </m:sub>
        </m:sSub>
      </m:oMath>
      <w:r w:rsidR="00182990" w:rsidRPr="005205F0">
        <w:rPr>
          <w:szCs w:val="22"/>
        </w:rPr>
        <w:t xml:space="preserve"> is the monthly return of A-REIT market in month </w:t>
      </w:r>
      <m:oMath>
        <m:r>
          <m:rPr>
            <m:sty m:val="p"/>
          </m:rPr>
          <w:rPr>
            <w:rFonts w:ascii="Cambria Math" w:hAnsi="Cambria Math"/>
            <w:szCs w:val="22"/>
          </w:rPr>
          <m:t>t</m:t>
        </m:r>
      </m:oMath>
      <w:r w:rsidR="00182990" w:rsidRPr="005205F0">
        <w:rPr>
          <w:szCs w:val="22"/>
        </w:rPr>
        <w:t>, measured by the monthly change rate of S&amp;P/ASX 200 A-REITs Index.</w:t>
      </w:r>
    </w:p>
    <w:p w14:paraId="73237775" w14:textId="77777777" w:rsidR="00182990" w:rsidRPr="00D314D5" w:rsidRDefault="00182990" w:rsidP="00D3639B">
      <w:pPr>
        <w:rPr>
          <w:szCs w:val="22"/>
        </w:rPr>
      </w:pPr>
    </w:p>
    <w:p w14:paraId="32AAB8EB" w14:textId="77777777" w:rsidR="00182990" w:rsidRPr="00D314D5" w:rsidRDefault="00182990" w:rsidP="00D3639B">
      <w:pPr>
        <w:rPr>
          <w:szCs w:val="22"/>
        </w:rPr>
      </w:pPr>
      <w:r w:rsidRPr="00D314D5">
        <w:rPr>
          <w:szCs w:val="22"/>
        </w:rPr>
        <w:t>Next, Eq. (5) will add investor sentiment factor to Fame-French Three Factor Model (Eq. (4)):</w:t>
      </w:r>
    </w:p>
    <w:p w14:paraId="5A84DB1F" w14:textId="77777777" w:rsidR="00182990" w:rsidRPr="00D314D5" w:rsidRDefault="00182990" w:rsidP="00D3639B">
      <w:pPr>
        <w:rPr>
          <w:szCs w:val="22"/>
        </w:rPr>
      </w:pPr>
    </w:p>
    <w:p w14:paraId="35D7269A" w14:textId="2D798035" w:rsidR="00182990" w:rsidRPr="00D314D5" w:rsidRDefault="00000000" w:rsidP="00C43613">
      <w:pPr>
        <w:jc w:val="right"/>
        <w:rPr>
          <w:szCs w:val="22"/>
        </w:rPr>
      </w:pPr>
      <m:oMath>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α</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2</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m,t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3</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SMB</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4</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HML</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ε</m:t>
            </m:r>
          </m:e>
          <m:sub>
            <m:r>
              <m:rPr>
                <m:sty m:val="p"/>
              </m:rPr>
              <w:rPr>
                <w:rFonts w:ascii="Cambria Math" w:hAnsi="Cambria Math"/>
                <w:szCs w:val="22"/>
              </w:rPr>
              <m:t>i,t</m:t>
            </m:r>
          </m:sub>
        </m:sSub>
      </m:oMath>
      <w:r w:rsidR="00182990" w:rsidRPr="00D314D5">
        <w:rPr>
          <w:szCs w:val="22"/>
        </w:rPr>
        <w:t xml:space="preserve">           </w:t>
      </w:r>
      <w:r w:rsidR="00C43613">
        <w:rPr>
          <w:szCs w:val="22"/>
        </w:rPr>
        <w:t xml:space="preserve">         </w:t>
      </w:r>
      <w:r w:rsidR="00182990" w:rsidRPr="00D314D5">
        <w:rPr>
          <w:szCs w:val="22"/>
        </w:rPr>
        <w:t xml:space="preserve">     (4)</w:t>
      </w:r>
    </w:p>
    <w:p w14:paraId="19F0C2D5" w14:textId="77777777" w:rsidR="00182990" w:rsidRPr="00D314D5" w:rsidRDefault="00182990" w:rsidP="00D3639B">
      <w:pPr>
        <w:rPr>
          <w:szCs w:val="22"/>
        </w:rPr>
      </w:pPr>
    </w:p>
    <w:p w14:paraId="744D4469" w14:textId="731D48BB" w:rsidR="00182990" w:rsidRPr="00D314D5" w:rsidRDefault="00000000" w:rsidP="00952EEA">
      <w:pPr>
        <w:jc w:val="right"/>
        <w:rPr>
          <w:szCs w:val="22"/>
        </w:rPr>
      </w:pPr>
      <m:oMath>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α</m:t>
            </m:r>
          </m:e>
          <m:sub>
            <m:r>
              <m:rPr>
                <m:sty m:val="p"/>
              </m:rPr>
              <w:rPr>
                <w:rFonts w:ascii="Cambria Math" w:hAnsi="Cambria Math"/>
                <w:szCs w:val="22"/>
              </w:rPr>
              <m:t>i,t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1</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Sent</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2</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m,t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f,t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3</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SMB</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β</m:t>
            </m:r>
          </m:e>
          <m:sub>
            <m:r>
              <m:rPr>
                <m:sty m:val="p"/>
              </m:rPr>
              <w:rPr>
                <w:rFonts w:ascii="Cambria Math" w:hAnsi="Cambria Math"/>
                <w:szCs w:val="22"/>
              </w:rPr>
              <m:t>4</m:t>
            </m:r>
          </m:sub>
        </m:sSub>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HML</m:t>
                </m:r>
              </m:e>
              <m:sub>
                <m:r>
                  <m:rPr>
                    <m:sty m:val="p"/>
                  </m:rPr>
                  <w:rPr>
                    <w:rFonts w:ascii="Cambria Math" w:hAnsi="Cambria Math"/>
                    <w:szCs w:val="22"/>
                  </w:rPr>
                  <m:t>t</m:t>
                </m:r>
              </m:sub>
            </m:sSub>
          </m:e>
        </m:d>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ε</m:t>
            </m:r>
          </m:e>
          <m:sub>
            <m:r>
              <m:rPr>
                <m:sty m:val="p"/>
              </m:rPr>
              <w:rPr>
                <w:rFonts w:ascii="Cambria Math" w:hAnsi="Cambria Math"/>
                <w:szCs w:val="22"/>
              </w:rPr>
              <m:t>i,t</m:t>
            </m:r>
          </m:sub>
        </m:sSub>
      </m:oMath>
      <w:r w:rsidR="00182990" w:rsidRPr="00D314D5">
        <w:rPr>
          <w:szCs w:val="22"/>
        </w:rPr>
        <w:t xml:space="preserve">  </w:t>
      </w:r>
      <w:r w:rsidR="00182990">
        <w:rPr>
          <w:szCs w:val="22"/>
        </w:rPr>
        <w:t xml:space="preserve"> </w:t>
      </w:r>
      <w:r w:rsidR="00182990" w:rsidRPr="00D314D5">
        <w:rPr>
          <w:szCs w:val="22"/>
        </w:rPr>
        <w:t xml:space="preserve"> </w:t>
      </w:r>
      <w:r w:rsidR="00C43613">
        <w:rPr>
          <w:szCs w:val="22"/>
        </w:rPr>
        <w:t xml:space="preserve">          </w:t>
      </w:r>
      <w:r w:rsidR="00182990" w:rsidRPr="00D314D5">
        <w:rPr>
          <w:szCs w:val="22"/>
        </w:rPr>
        <w:t>(5)</w:t>
      </w:r>
    </w:p>
    <w:p w14:paraId="53466196" w14:textId="77777777" w:rsidR="00182990" w:rsidRPr="00D314D5" w:rsidRDefault="00182990" w:rsidP="00D3639B">
      <w:pPr>
        <w:rPr>
          <w:szCs w:val="22"/>
        </w:rPr>
      </w:pPr>
      <w:r w:rsidRPr="00D314D5">
        <w:rPr>
          <w:szCs w:val="22"/>
        </w:rPr>
        <w:t xml:space="preserve">where: </w:t>
      </w:r>
    </w:p>
    <w:p w14:paraId="4E1A917B" w14:textId="35C626E1" w:rsidR="00182990" w:rsidRPr="00D314D5" w:rsidRDefault="00000000" w:rsidP="00D3639B">
      <w:pPr>
        <w:rPr>
          <w:szCs w:val="22"/>
        </w:rPr>
      </w:pPr>
      <m:oMath>
        <m:sSub>
          <m:sSubPr>
            <m:ctrlPr>
              <w:rPr>
                <w:rFonts w:ascii="Cambria Math" w:hAnsi="Cambria Math"/>
                <w:szCs w:val="22"/>
              </w:rPr>
            </m:ctrlPr>
          </m:sSubPr>
          <m:e>
            <m:r>
              <w:rPr>
                <w:rFonts w:ascii="Cambria Math" w:hAnsi="Cambria Math"/>
                <w:szCs w:val="22"/>
              </w:rPr>
              <m:t>SMB</m:t>
            </m:r>
          </m:e>
          <m:sub>
            <m:r>
              <w:rPr>
                <w:rFonts w:ascii="Cambria Math" w:hAnsi="Cambria Math"/>
                <w:szCs w:val="22"/>
              </w:rPr>
              <m:t>t</m:t>
            </m:r>
          </m:sub>
        </m:sSub>
      </m:oMath>
      <w:r w:rsidR="00182990" w:rsidRPr="00D314D5">
        <w:rPr>
          <w:szCs w:val="22"/>
        </w:rPr>
        <w:t xml:space="preserve"> is the </w:t>
      </w:r>
      <w:r w:rsidR="001B7E09">
        <w:rPr>
          <w:szCs w:val="22"/>
        </w:rPr>
        <w:t>size</w:t>
      </w:r>
      <w:r w:rsidR="00182990" w:rsidRPr="00D314D5">
        <w:rPr>
          <w:szCs w:val="22"/>
        </w:rPr>
        <w:t xml:space="preserve"> premium in month </w:t>
      </w:r>
      <m:oMath>
        <m:r>
          <w:rPr>
            <w:rFonts w:ascii="Cambria Math" w:hAnsi="Cambria Math"/>
            <w:szCs w:val="22"/>
          </w:rPr>
          <m:t>t</m:t>
        </m:r>
      </m:oMath>
      <w:r w:rsidR="00182990" w:rsidRPr="00D314D5">
        <w:rPr>
          <w:szCs w:val="22"/>
        </w:rPr>
        <w:t>;</w:t>
      </w:r>
    </w:p>
    <w:p w14:paraId="6C4BFB4A" w14:textId="77777777" w:rsidR="00182990" w:rsidRPr="00D314D5" w:rsidRDefault="00000000" w:rsidP="00D3639B">
      <w:pPr>
        <w:rPr>
          <w:szCs w:val="22"/>
        </w:rPr>
      </w:pPr>
      <m:oMath>
        <m:sSub>
          <m:sSubPr>
            <m:ctrlPr>
              <w:rPr>
                <w:rFonts w:ascii="Cambria Math" w:hAnsi="Cambria Math"/>
                <w:szCs w:val="22"/>
              </w:rPr>
            </m:ctrlPr>
          </m:sSubPr>
          <m:e>
            <m:r>
              <w:rPr>
                <w:rFonts w:ascii="Cambria Math" w:hAnsi="Cambria Math"/>
                <w:szCs w:val="22"/>
              </w:rPr>
              <m:t>HML</m:t>
            </m:r>
          </m:e>
          <m:sub>
            <m:r>
              <w:rPr>
                <w:rFonts w:ascii="Cambria Math" w:hAnsi="Cambria Math"/>
                <w:szCs w:val="22"/>
              </w:rPr>
              <m:t>t</m:t>
            </m:r>
          </m:sub>
        </m:sSub>
      </m:oMath>
      <w:r w:rsidR="00182990" w:rsidRPr="00D314D5">
        <w:rPr>
          <w:szCs w:val="22"/>
        </w:rPr>
        <w:t xml:space="preserve"> is the value premium in month </w:t>
      </w:r>
      <m:oMath>
        <m:r>
          <w:rPr>
            <w:rFonts w:ascii="Cambria Math" w:hAnsi="Cambria Math"/>
            <w:szCs w:val="22"/>
          </w:rPr>
          <m:t>t</m:t>
        </m:r>
      </m:oMath>
      <w:r w:rsidR="00182990" w:rsidRPr="00D314D5">
        <w:rPr>
          <w:szCs w:val="22"/>
        </w:rPr>
        <w:t>.</w:t>
      </w:r>
    </w:p>
    <w:p w14:paraId="39F43D65" w14:textId="77777777" w:rsidR="00182990" w:rsidRPr="00D314D5" w:rsidRDefault="00182990" w:rsidP="00D3639B">
      <w:pPr>
        <w:rPr>
          <w:szCs w:val="22"/>
        </w:rPr>
      </w:pPr>
    </w:p>
    <w:p w14:paraId="69E41ABD" w14:textId="77777777" w:rsidR="00182990" w:rsidRPr="00C63BC0" w:rsidRDefault="00182990" w:rsidP="00D3639B">
      <w:pPr>
        <w:pStyle w:val="Heading1"/>
      </w:pPr>
      <w:r w:rsidRPr="00C63BC0">
        <w:t>4 DATA</w:t>
      </w:r>
    </w:p>
    <w:p w14:paraId="6EE2B6B3" w14:textId="77777777" w:rsidR="00182990" w:rsidRPr="00C63BC0" w:rsidRDefault="00182990" w:rsidP="00D3639B">
      <w:pPr>
        <w:pStyle w:val="Heading2"/>
      </w:pPr>
      <w:r w:rsidRPr="00C63BC0">
        <w:t>4.1 Sampling Strategy</w:t>
      </w:r>
    </w:p>
    <w:p w14:paraId="0579A8AF" w14:textId="62AA86D0" w:rsidR="00182990" w:rsidRPr="00860DE2" w:rsidRDefault="00182990" w:rsidP="00D3639B">
      <w:pPr>
        <w:rPr>
          <w:szCs w:val="22"/>
        </w:rPr>
      </w:pPr>
      <w:r w:rsidRPr="00D314D5">
        <w:rPr>
          <w:szCs w:val="22"/>
        </w:rPr>
        <w:t xml:space="preserve">The study investigates the impact of </w:t>
      </w:r>
      <w:r w:rsidRPr="00A61C84">
        <w:rPr>
          <w:szCs w:val="22"/>
        </w:rPr>
        <w:t>investor sentiment on the A-REIT market. The A-REITs sample is taken from A-REITs listed and traded on the ASX (Australian Securities Exchange</w:t>
      </w:r>
      <w:r w:rsidRPr="00D314D5">
        <w:rPr>
          <w:szCs w:val="22"/>
        </w:rPr>
        <w:t>). Considering the accessibility and availability of data, the study will narrow down the initial sample to all listed A-REITs in existence from 2006 to 2021.</w:t>
      </w:r>
      <w:r w:rsidR="00860DE2">
        <w:rPr>
          <w:szCs w:val="22"/>
        </w:rPr>
        <w:t xml:space="preserve"> </w:t>
      </w:r>
      <w:r w:rsidRPr="00D314D5">
        <w:rPr>
          <w:szCs w:val="22"/>
        </w:rPr>
        <w:t xml:space="preserve">This time period (2006-2021) was picked to conduct the empirical study </w:t>
      </w:r>
      <w:r>
        <w:rPr>
          <w:szCs w:val="22"/>
        </w:rPr>
        <w:t xml:space="preserve">due to data availability concerns. </w:t>
      </w:r>
      <w:r w:rsidRPr="00D314D5">
        <w:rPr>
          <w:szCs w:val="22"/>
        </w:rPr>
        <w:t xml:space="preserve">The difficulty of collecting the required data for the last 15 years is moderate and it is possible to assess the accuracy and validity of the data. Secondly, this time period contains events that have a significant impact on the market, such as the global financial crisis and the COVID-19 pandemic. This facilitates the expansion and refinement of future studies. Based on this timeframe, </w:t>
      </w:r>
      <w:r w:rsidR="00F202C2" w:rsidRPr="00F202C2">
        <w:rPr>
          <w:szCs w:val="22"/>
        </w:rPr>
        <w:t xml:space="preserve">after reviewing the accuracy of data, </w:t>
      </w:r>
      <w:r w:rsidRPr="00D314D5">
        <w:rPr>
          <w:szCs w:val="22"/>
        </w:rPr>
        <w:t>the initial sample include</w:t>
      </w:r>
      <w:r>
        <w:rPr>
          <w:szCs w:val="22"/>
        </w:rPr>
        <w:t>s</w:t>
      </w:r>
      <w:r w:rsidRPr="00D314D5">
        <w:rPr>
          <w:szCs w:val="22"/>
        </w:rPr>
        <w:t xml:space="preserve"> 1</w:t>
      </w:r>
      <w:r w:rsidR="00571A76">
        <w:rPr>
          <w:szCs w:val="22"/>
        </w:rPr>
        <w:t>7</w:t>
      </w:r>
      <w:r w:rsidRPr="00D314D5">
        <w:rPr>
          <w:szCs w:val="22"/>
        </w:rPr>
        <w:t xml:space="preserve"> A-REITs</w:t>
      </w:r>
      <w:r>
        <w:rPr>
          <w:szCs w:val="22"/>
        </w:rPr>
        <w:t xml:space="preserve"> that traded on the ASX </w:t>
      </w:r>
      <w:r w:rsidRPr="00D314D5">
        <w:rPr>
          <w:szCs w:val="22"/>
        </w:rPr>
        <w:t>from 1 January 2006 to 31 December 2021</w:t>
      </w:r>
      <w:r w:rsidRPr="001555D6">
        <w:t xml:space="preserve">. </w:t>
      </w:r>
    </w:p>
    <w:p w14:paraId="7C247036" w14:textId="77777777" w:rsidR="00882600" w:rsidRPr="00882600" w:rsidRDefault="00882600" w:rsidP="00D3639B"/>
    <w:p w14:paraId="2748ED09" w14:textId="17EA54B3" w:rsidR="00182990" w:rsidRPr="006D2614" w:rsidRDefault="00182990" w:rsidP="00D3639B">
      <w:pPr>
        <w:rPr>
          <w:szCs w:val="22"/>
        </w:rPr>
      </w:pPr>
      <w:r w:rsidRPr="00534388">
        <w:rPr>
          <w:szCs w:val="22"/>
        </w:rPr>
        <w:t>Additionally,</w:t>
      </w:r>
      <w:r>
        <w:rPr>
          <w:szCs w:val="22"/>
        </w:rPr>
        <w:t xml:space="preserve"> </w:t>
      </w:r>
      <w:r w:rsidRPr="00534388">
        <w:rPr>
          <w:szCs w:val="22"/>
        </w:rPr>
        <w:t>Westfield Corporation</w:t>
      </w:r>
      <w:r>
        <w:rPr>
          <w:szCs w:val="22"/>
        </w:rPr>
        <w:t xml:space="preserve"> (WFD</w:t>
      </w:r>
      <w:r w:rsidRPr="00534388">
        <w:rPr>
          <w:szCs w:val="22"/>
        </w:rPr>
        <w:t>) and Novion Property Group</w:t>
      </w:r>
      <w:r>
        <w:rPr>
          <w:szCs w:val="22"/>
        </w:rPr>
        <w:t xml:space="preserve"> (NVN) were included </w:t>
      </w:r>
      <w:r w:rsidRPr="00534388">
        <w:rPr>
          <w:szCs w:val="22"/>
        </w:rPr>
        <w:t>in the study</w:t>
      </w:r>
      <w:r>
        <w:rPr>
          <w:szCs w:val="22"/>
        </w:rPr>
        <w:t xml:space="preserve"> for continuity of data. </w:t>
      </w:r>
      <w:r w:rsidRPr="006D2614">
        <w:rPr>
          <w:szCs w:val="22"/>
        </w:rPr>
        <w:t>It should be noted that Scentre Group</w:t>
      </w:r>
      <w:r>
        <w:rPr>
          <w:szCs w:val="22"/>
        </w:rPr>
        <w:t xml:space="preserve"> (SCG</w:t>
      </w:r>
      <w:r w:rsidRPr="006D2614">
        <w:rPr>
          <w:szCs w:val="22"/>
        </w:rPr>
        <w:t>) and Westfield Corporation</w:t>
      </w:r>
      <w:r>
        <w:rPr>
          <w:szCs w:val="22"/>
        </w:rPr>
        <w:t xml:space="preserve"> (WFD</w:t>
      </w:r>
      <w:r w:rsidRPr="006D2614">
        <w:rPr>
          <w:szCs w:val="22"/>
        </w:rPr>
        <w:t xml:space="preserve">) are related, and their portfolios have a high degree of overlap. </w:t>
      </w:r>
      <w:r>
        <w:rPr>
          <w:szCs w:val="22"/>
        </w:rPr>
        <w:t>The</w:t>
      </w:r>
      <w:r w:rsidRPr="006D2614">
        <w:rPr>
          <w:szCs w:val="22"/>
        </w:rPr>
        <w:t xml:space="preserve"> Scentra Group </w:t>
      </w:r>
      <w:r>
        <w:rPr>
          <w:szCs w:val="22"/>
        </w:rPr>
        <w:t xml:space="preserve">was </w:t>
      </w:r>
      <w:r w:rsidRPr="006D2614">
        <w:rPr>
          <w:szCs w:val="22"/>
        </w:rPr>
        <w:t>established on 30 June 2014 by the restructur</w:t>
      </w:r>
      <w:r w:rsidR="002A6F58">
        <w:rPr>
          <w:szCs w:val="22"/>
        </w:rPr>
        <w:t xml:space="preserve">ing </w:t>
      </w:r>
      <w:r w:rsidRPr="006D2614">
        <w:rPr>
          <w:szCs w:val="22"/>
        </w:rPr>
        <w:t xml:space="preserve">of Westfield Retail Trust and Westfield Group’s Australian and New Zealand management business </w:t>
      </w:r>
      <w:r w:rsidRPr="006D2614">
        <w:rPr>
          <w:szCs w:val="22"/>
        </w:rPr>
        <w:fldChar w:fldCharType="begin"/>
      </w:r>
      <w:r w:rsidRPr="006D2614">
        <w:rPr>
          <w:szCs w:val="22"/>
        </w:rPr>
        <w:instrText xml:space="preserve"> ADDIN EN.CITE &lt;EndNote&gt;&lt;Cite&gt;&lt;Author&gt;SCG&lt;/Author&gt;&lt;Year&gt;2023&lt;/Year&gt;&lt;RecNum&gt;593&lt;/RecNum&gt;&lt;DisplayText&gt;(SCG 2023a)&lt;/DisplayText&gt;&lt;record&gt;&lt;rec-number&gt;593&lt;/rec-number&gt;&lt;foreign-keys&gt;&lt;key app="EN" db-id="e9xrw0ppjrxazme9sdavssd69wf90saf5s09" timestamp="1683125449" guid="0d20510e-0b44-45c4-bc01-71f87f7f444c"&gt;593&lt;/key&gt;&lt;/foreign-keys&gt;&lt;ref-type name="Web Page"&gt;12&lt;/ref-type&gt;&lt;contributors&gt;&lt;authors&gt;&lt;author&gt;SCG&lt;/author&gt;&lt;/authors&gt;&lt;/contributors&gt;&lt;titles&gt;&lt;title&gt;About Us - History&lt;/title&gt;&lt;/titles&gt;&lt;dates&gt;&lt;year&gt;2023&lt;/year&gt;&lt;/dates&gt;&lt;publisher&gt;Scentre Group&lt;/publisher&gt;&lt;urls&gt;&lt;related-urls&gt;&lt;url&gt;https://www.scentregroup.com/about-us/history&lt;/url&gt;&lt;/related-urls&gt;&lt;/urls&gt;&lt;/record&gt;&lt;/Cite&gt;&lt;/EndNote&gt;</w:instrText>
      </w:r>
      <w:r w:rsidRPr="006D2614">
        <w:rPr>
          <w:szCs w:val="22"/>
        </w:rPr>
        <w:fldChar w:fldCharType="separate"/>
      </w:r>
      <w:r w:rsidRPr="006D2614">
        <w:rPr>
          <w:noProof/>
          <w:szCs w:val="22"/>
        </w:rPr>
        <w:t>(SCG 2023a)</w:t>
      </w:r>
      <w:r w:rsidRPr="006D2614">
        <w:rPr>
          <w:szCs w:val="22"/>
        </w:rPr>
        <w:fldChar w:fldCharType="end"/>
      </w:r>
      <w:r w:rsidRPr="006D2614">
        <w:rPr>
          <w:szCs w:val="22"/>
        </w:rPr>
        <w:t xml:space="preserve">. As </w:t>
      </w:r>
      <w:r w:rsidR="0074665C">
        <w:rPr>
          <w:szCs w:val="22"/>
        </w:rPr>
        <w:t xml:space="preserve">of </w:t>
      </w:r>
      <w:r w:rsidRPr="006D2614">
        <w:rPr>
          <w:szCs w:val="22"/>
        </w:rPr>
        <w:t xml:space="preserve">the end of 31 December 2022, Scentre Group owns and operates 42 Westfield real estate assets </w:t>
      </w:r>
      <w:r w:rsidRPr="006D2614">
        <w:rPr>
          <w:szCs w:val="22"/>
        </w:rPr>
        <w:fldChar w:fldCharType="begin"/>
      </w:r>
      <w:r w:rsidRPr="006D2614">
        <w:rPr>
          <w:szCs w:val="22"/>
        </w:rPr>
        <w:instrText xml:space="preserve"> ADDIN EN.CITE &lt;EndNote&gt;&lt;Cite&gt;&lt;Author&gt;SCG&lt;/Author&gt;&lt;Year&gt;2023&lt;/Year&gt;&lt;RecNum&gt;594&lt;/RecNum&gt;&lt;DisplayText&gt;(SCG 2023b)&lt;/DisplayText&gt;&lt;record&gt;&lt;rec-number&gt;594&lt;/rec-number&gt;&lt;foreign-keys&gt;&lt;key app="EN" db-id="e9xrw0ppjrxazme9sdavssd69wf90saf5s09" timestamp="1683126043" guid="65536cfe-5a15-40bc-9366-04f719afa893"&gt;594&lt;/key&gt;&lt;/foreign-keys&gt;&lt;ref-type name="Report"&gt;27&lt;/ref-type&gt;&lt;contributors&gt;&lt;authors&gt;&lt;author&gt;SCG&lt;/author&gt;&lt;/authors&gt;&lt;/contributors&gt;&lt;titles&gt;&lt;title&gt;Scentre Group Annual Financial Report 2022&lt;/title&gt;&lt;/titles&gt;&lt;dates&gt;&lt;year&gt;2023&lt;/year&gt;&lt;/dates&gt;&lt;urls&gt;&lt;/urls&gt;&lt;/record&gt;&lt;/Cite&gt;&lt;/EndNote&gt;</w:instrText>
      </w:r>
      <w:r w:rsidRPr="006D2614">
        <w:rPr>
          <w:szCs w:val="22"/>
        </w:rPr>
        <w:fldChar w:fldCharType="separate"/>
      </w:r>
      <w:r w:rsidRPr="006D2614">
        <w:rPr>
          <w:noProof/>
          <w:szCs w:val="22"/>
        </w:rPr>
        <w:t>(SCG 2023b)</w:t>
      </w:r>
      <w:r w:rsidRPr="006D2614">
        <w:rPr>
          <w:szCs w:val="22"/>
        </w:rPr>
        <w:fldChar w:fldCharType="end"/>
      </w:r>
      <w:r w:rsidRPr="006D2614">
        <w:rPr>
          <w:szCs w:val="22"/>
        </w:rPr>
        <w:t xml:space="preserve">. </w:t>
      </w:r>
      <w:r>
        <w:rPr>
          <w:szCs w:val="22"/>
        </w:rPr>
        <w:t xml:space="preserve">Similarly, Vicinity Centres (VCX) and </w:t>
      </w:r>
      <w:r w:rsidRPr="006D2614">
        <w:rPr>
          <w:szCs w:val="22"/>
        </w:rPr>
        <w:t>Novion Property Group</w:t>
      </w:r>
      <w:r>
        <w:rPr>
          <w:szCs w:val="22"/>
        </w:rPr>
        <w:t xml:space="preserve"> (NVN) are related. </w:t>
      </w:r>
      <w:r w:rsidRPr="006D2614">
        <w:rPr>
          <w:szCs w:val="22"/>
        </w:rPr>
        <w:t xml:space="preserve">Novion Property Group and Federation Centres merged in 2015 to form Vicinity </w:t>
      </w:r>
      <w:r w:rsidRPr="006D2614">
        <w:rPr>
          <w:szCs w:val="22"/>
        </w:rPr>
        <w:fldChar w:fldCharType="begin"/>
      </w:r>
      <w:r w:rsidRPr="006D2614">
        <w:rPr>
          <w:szCs w:val="22"/>
        </w:rPr>
        <w:instrText xml:space="preserve"> ADDIN EN.CITE &lt;EndNote&gt;&lt;Cite&gt;&lt;Author&gt;VCG&lt;/Author&gt;&lt;Year&gt;2023&lt;/Year&gt;&lt;RecNum&gt;595&lt;/RecNum&gt;&lt;DisplayText&gt;(VCG 2023)&lt;/DisplayText&gt;&lt;record&gt;&lt;rec-number&gt;595&lt;/rec-number&gt;&lt;foreign-keys&gt;&lt;key app="EN" db-id="e9xrw0ppjrxazme9sdavssd69wf90saf5s09" timestamp="1683126735" guid="feb006de-f1e4-4620-a8ca-b53d60eb7717"&gt;595&lt;/key&gt;&lt;/foreign-keys&gt;&lt;ref-type name="Web Page"&gt;12&lt;/ref-type&gt;&lt;contributors&gt;&lt;authors&gt;&lt;author&gt;VCG&lt;/author&gt;&lt;/authors&gt;&lt;/contributors&gt;&lt;titles&gt;&lt;title&gt;About Us - Our Story&lt;/title&gt;&lt;/titles&gt;&lt;dates&gt;&lt;year&gt;2023&lt;/year&gt;&lt;/dates&gt;&lt;urls&gt;&lt;related-urls&gt;&lt;url&gt;https://www.vicinity.com.au/about-us/who-we-are&lt;/url&gt;&lt;/related-urls&gt;&lt;/urls&gt;&lt;/record&gt;&lt;/Cite&gt;&lt;/EndNote&gt;</w:instrText>
      </w:r>
      <w:r w:rsidRPr="006D2614">
        <w:rPr>
          <w:szCs w:val="22"/>
        </w:rPr>
        <w:fldChar w:fldCharType="separate"/>
      </w:r>
      <w:r w:rsidRPr="006D2614">
        <w:rPr>
          <w:noProof/>
          <w:szCs w:val="22"/>
        </w:rPr>
        <w:t>(VCG 2023)</w:t>
      </w:r>
      <w:r w:rsidRPr="006D2614">
        <w:rPr>
          <w:szCs w:val="22"/>
        </w:rPr>
        <w:fldChar w:fldCharType="end"/>
      </w:r>
      <w:r w:rsidRPr="006D2614">
        <w:rPr>
          <w:szCs w:val="22"/>
        </w:rPr>
        <w:t xml:space="preserve">. </w:t>
      </w:r>
    </w:p>
    <w:p w14:paraId="56E0C39A" w14:textId="77777777" w:rsidR="00182990" w:rsidRPr="006D2614" w:rsidRDefault="00182990" w:rsidP="00D3639B">
      <w:pPr>
        <w:rPr>
          <w:szCs w:val="22"/>
        </w:rPr>
      </w:pPr>
    </w:p>
    <w:p w14:paraId="7FD9B412" w14:textId="6FA18F35" w:rsidR="00882600" w:rsidRPr="00D60DB0" w:rsidRDefault="00182990" w:rsidP="00882600">
      <w:r w:rsidRPr="006D2614">
        <w:rPr>
          <w:szCs w:val="22"/>
        </w:rPr>
        <w:t>Finally, after including the above additions to the initial sample, the final sample size for this study was 2</w:t>
      </w:r>
      <w:r w:rsidR="005651F5">
        <w:rPr>
          <w:szCs w:val="22"/>
        </w:rPr>
        <w:t>1</w:t>
      </w:r>
      <w:r w:rsidR="0013328C">
        <w:rPr>
          <w:szCs w:val="22"/>
        </w:rPr>
        <w:t xml:space="preserve">. Among them, </w:t>
      </w:r>
      <w:r w:rsidR="0013328C" w:rsidRPr="006D2614">
        <w:rPr>
          <w:szCs w:val="22"/>
        </w:rPr>
        <w:t>15 A-REITs are with stapled structure</w:t>
      </w:r>
      <w:r w:rsidR="00D9394A">
        <w:rPr>
          <w:szCs w:val="22"/>
        </w:rPr>
        <w:t>s</w:t>
      </w:r>
      <w:r w:rsidR="0013328C" w:rsidRPr="006D2614">
        <w:rPr>
          <w:szCs w:val="22"/>
        </w:rPr>
        <w:t xml:space="preserve">, and the remaining </w:t>
      </w:r>
      <w:r w:rsidR="005651F5">
        <w:rPr>
          <w:szCs w:val="22"/>
        </w:rPr>
        <w:t>6</w:t>
      </w:r>
      <w:r w:rsidR="0013328C" w:rsidRPr="006D2614">
        <w:rPr>
          <w:szCs w:val="22"/>
        </w:rPr>
        <w:t xml:space="preserve"> A-REITs type are units.</w:t>
      </w:r>
      <w:r w:rsidR="00D60DB0">
        <w:rPr>
          <w:szCs w:val="22"/>
        </w:rPr>
        <w:t xml:space="preserve"> </w:t>
      </w:r>
      <w:r w:rsidR="00882600" w:rsidRPr="001555D6">
        <w:t>Table</w:t>
      </w:r>
      <w:r w:rsidR="00882600">
        <w:t xml:space="preserve"> </w:t>
      </w:r>
      <w:r w:rsidR="00D60DB0">
        <w:t xml:space="preserve">2 </w:t>
      </w:r>
      <w:r w:rsidR="00882600" w:rsidRPr="001555D6">
        <w:t xml:space="preserve">presents </w:t>
      </w:r>
      <w:r w:rsidR="00D60DB0">
        <w:t xml:space="preserve">the detailed </w:t>
      </w:r>
      <w:r w:rsidR="00882600" w:rsidRPr="001555D6">
        <w:t xml:space="preserve">information </w:t>
      </w:r>
      <w:r w:rsidR="00D60DB0">
        <w:t xml:space="preserve">of A-REITs in the final sample of this study, </w:t>
      </w:r>
      <w:r w:rsidR="00882600" w:rsidRPr="001555D6">
        <w:t xml:space="preserve">with the </w:t>
      </w:r>
      <w:r w:rsidR="00D60DB0">
        <w:t xml:space="preserve">blue </w:t>
      </w:r>
      <w:r w:rsidR="00882600" w:rsidRPr="001555D6">
        <w:t>highlighted rows being the A-REITs included in the initial sample</w:t>
      </w:r>
      <w:r w:rsidR="00D60DB0">
        <w:t xml:space="preserve">, and the green highlighted rows being the additions. </w:t>
      </w:r>
    </w:p>
    <w:p w14:paraId="6F8B680D" w14:textId="77777777" w:rsidR="00182990" w:rsidRPr="006D2614" w:rsidRDefault="00182990" w:rsidP="00D3639B">
      <w:pPr>
        <w:rPr>
          <w:szCs w:val="22"/>
        </w:rPr>
      </w:pPr>
    </w:p>
    <w:p w14:paraId="06ACFF9E" w14:textId="77777777" w:rsidR="00D91D2C" w:rsidRDefault="00D91D2C">
      <w:pPr>
        <w:spacing w:before="0" w:after="0"/>
        <w:jc w:val="left"/>
        <w:rPr>
          <w:b/>
          <w:bCs/>
          <w:szCs w:val="20"/>
        </w:rPr>
      </w:pPr>
      <w:r>
        <w:br w:type="page"/>
      </w:r>
    </w:p>
    <w:p w14:paraId="2A807F54" w14:textId="3EEF8ACF" w:rsidR="00447643" w:rsidRPr="0013599D" w:rsidRDefault="00075F85" w:rsidP="0013599D">
      <w:pPr>
        <w:pStyle w:val="Caption"/>
        <w:keepNext/>
        <w:rPr>
          <w:rStyle w:val="SubtleReference"/>
          <w:smallCaps w:val="0"/>
          <w:color w:val="auto"/>
          <w:sz w:val="22"/>
        </w:rPr>
      </w:pPr>
      <w:r>
        <w:lastRenderedPageBreak/>
        <w:t xml:space="preserve">Table </w:t>
      </w:r>
      <w:fldSimple w:instr=" SEQ Table \* ARABIC ">
        <w:r>
          <w:rPr>
            <w:noProof/>
          </w:rPr>
          <w:t>2</w:t>
        </w:r>
      </w:fldSimple>
      <w:r>
        <w:t xml:space="preserve"> The List of Final Sample</w:t>
      </w:r>
    </w:p>
    <w:tbl>
      <w:tblPr>
        <w:tblStyle w:val="GridTable1Light-Accent1"/>
        <w:tblW w:w="9634" w:type="dxa"/>
        <w:tblLook w:val="04A0" w:firstRow="1" w:lastRow="0" w:firstColumn="1" w:lastColumn="0" w:noHBand="0" w:noVBand="1"/>
      </w:tblPr>
      <w:tblGrid>
        <w:gridCol w:w="750"/>
        <w:gridCol w:w="3356"/>
        <w:gridCol w:w="851"/>
        <w:gridCol w:w="1275"/>
        <w:gridCol w:w="1134"/>
        <w:gridCol w:w="1134"/>
        <w:gridCol w:w="1134"/>
      </w:tblGrid>
      <w:tr w:rsidR="00DB07AF" w:rsidRPr="001B7E09" w14:paraId="2AEF6D5E" w14:textId="77777777" w:rsidTr="00F4568A">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50" w:type="dxa"/>
            <w:vMerge w:val="restart"/>
            <w:vAlign w:val="center"/>
          </w:tcPr>
          <w:p w14:paraId="21731F78"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ASX Code</w:t>
            </w:r>
          </w:p>
        </w:tc>
        <w:tc>
          <w:tcPr>
            <w:tcW w:w="3356" w:type="dxa"/>
            <w:vMerge w:val="restart"/>
            <w:vAlign w:val="center"/>
          </w:tcPr>
          <w:p w14:paraId="588B0241" w14:textId="77777777" w:rsidR="00447643"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Fund Name</w:t>
            </w:r>
          </w:p>
        </w:tc>
        <w:tc>
          <w:tcPr>
            <w:tcW w:w="851" w:type="dxa"/>
            <w:vMerge w:val="restart"/>
            <w:vAlign w:val="center"/>
          </w:tcPr>
          <w:p w14:paraId="67E25246" w14:textId="77777777" w:rsidR="00447643"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Type</w:t>
            </w:r>
          </w:p>
        </w:tc>
        <w:tc>
          <w:tcPr>
            <w:tcW w:w="1275" w:type="dxa"/>
            <w:vMerge w:val="restart"/>
            <w:vAlign w:val="center"/>
          </w:tcPr>
          <w:p w14:paraId="707B3F63" w14:textId="77777777" w:rsidR="00447643"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bCs w:val="0"/>
                <w:sz w:val="18"/>
                <w:szCs w:val="18"/>
              </w:rPr>
            </w:pPr>
            <w:r w:rsidRPr="001B7E09">
              <w:rPr>
                <w:rFonts w:ascii="Times New Roman" w:eastAsia="DengXian" w:hAnsi="Times New Roman" w:cs="Times New Roman"/>
                <w:sz w:val="18"/>
                <w:szCs w:val="18"/>
              </w:rPr>
              <w:t xml:space="preserve">Listed </w:t>
            </w:r>
          </w:p>
          <w:p w14:paraId="433BB1C0" w14:textId="77777777" w:rsidR="00447643"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Date</w:t>
            </w:r>
          </w:p>
        </w:tc>
        <w:tc>
          <w:tcPr>
            <w:tcW w:w="1134" w:type="dxa"/>
            <w:vMerge w:val="restart"/>
            <w:vAlign w:val="center"/>
          </w:tcPr>
          <w:p w14:paraId="641EE518" w14:textId="77777777" w:rsidR="00447643"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Delisted Date</w:t>
            </w:r>
          </w:p>
        </w:tc>
        <w:tc>
          <w:tcPr>
            <w:tcW w:w="2268" w:type="dxa"/>
            <w:gridSpan w:val="2"/>
            <w:vAlign w:val="center"/>
          </w:tcPr>
          <w:p w14:paraId="71B922C1" w14:textId="77777777" w:rsidR="0072206D" w:rsidRPr="001B7E09" w:rsidRDefault="00447643"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bCs w:val="0"/>
                <w:sz w:val="18"/>
                <w:szCs w:val="18"/>
              </w:rPr>
            </w:pPr>
            <w:r w:rsidRPr="001B7E09">
              <w:rPr>
                <w:rFonts w:ascii="Times New Roman" w:eastAsia="DengXian" w:hAnsi="Times New Roman" w:cs="Times New Roman"/>
                <w:sz w:val="18"/>
                <w:szCs w:val="18"/>
              </w:rPr>
              <w:t>Market Capitalisation</w:t>
            </w:r>
            <w:r w:rsidR="000D54A0" w:rsidRPr="001B7E09">
              <w:rPr>
                <w:rFonts w:ascii="Times New Roman" w:eastAsia="DengXian" w:hAnsi="Times New Roman" w:cs="Times New Roman"/>
                <w:sz w:val="18"/>
                <w:szCs w:val="18"/>
              </w:rPr>
              <w:t xml:space="preserve"> </w:t>
            </w:r>
          </w:p>
          <w:p w14:paraId="083BE9E7" w14:textId="59CEC6C0" w:rsidR="0072206D" w:rsidRPr="001B7E09" w:rsidRDefault="000D54A0"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bCs w:val="0"/>
                <w:sz w:val="18"/>
                <w:szCs w:val="18"/>
              </w:rPr>
            </w:pPr>
            <w:r w:rsidRPr="001B7E09">
              <w:rPr>
                <w:rFonts w:ascii="Times New Roman" w:eastAsia="DengXian" w:hAnsi="Times New Roman" w:cs="Times New Roman"/>
                <w:sz w:val="18"/>
                <w:szCs w:val="18"/>
              </w:rPr>
              <w:t xml:space="preserve">(as </w:t>
            </w:r>
            <w:r w:rsidR="00777377">
              <w:rPr>
                <w:rFonts w:ascii="Times New Roman" w:eastAsia="DengXian" w:hAnsi="Times New Roman" w:cs="Times New Roman"/>
                <w:sz w:val="18"/>
                <w:szCs w:val="18"/>
              </w:rPr>
              <w:t>of</w:t>
            </w:r>
            <w:r w:rsidRPr="001B7E09">
              <w:rPr>
                <w:rFonts w:ascii="Times New Roman" w:eastAsia="DengXian" w:hAnsi="Times New Roman" w:cs="Times New Roman"/>
                <w:sz w:val="18"/>
                <w:szCs w:val="18"/>
              </w:rPr>
              <w:t xml:space="preserve"> 31/12/2021</w:t>
            </w:r>
            <w:r w:rsidR="00DB07AF" w:rsidRPr="001B7E09">
              <w:rPr>
                <w:rFonts w:ascii="Times New Roman" w:eastAsia="DengXian" w:hAnsi="Times New Roman" w:cs="Times New Roman"/>
                <w:sz w:val="18"/>
                <w:szCs w:val="18"/>
              </w:rPr>
              <w:t xml:space="preserve"> </w:t>
            </w:r>
          </w:p>
          <w:p w14:paraId="1047BB77" w14:textId="6677426B" w:rsidR="00447643" w:rsidRPr="001B7E09" w:rsidRDefault="00DB07AF" w:rsidP="00F4568A">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or before delisted</w:t>
            </w:r>
            <w:r w:rsidR="000D54A0" w:rsidRPr="001B7E09">
              <w:rPr>
                <w:rFonts w:ascii="Times New Roman" w:eastAsia="DengXian" w:hAnsi="Times New Roman" w:cs="Times New Roman"/>
                <w:sz w:val="18"/>
                <w:szCs w:val="18"/>
              </w:rPr>
              <w:t>)</w:t>
            </w:r>
          </w:p>
        </w:tc>
      </w:tr>
      <w:tr w:rsidR="00DB07AF" w:rsidRPr="001B7E09" w14:paraId="627EE528" w14:textId="77777777" w:rsidTr="00F4568A">
        <w:trPr>
          <w:trHeight w:val="236"/>
        </w:trPr>
        <w:tc>
          <w:tcPr>
            <w:cnfStyle w:val="001000000000" w:firstRow="0" w:lastRow="0" w:firstColumn="1" w:lastColumn="0" w:oddVBand="0" w:evenVBand="0" w:oddHBand="0" w:evenHBand="0" w:firstRowFirstColumn="0" w:firstRowLastColumn="0" w:lastRowFirstColumn="0" w:lastRowLastColumn="0"/>
            <w:tcW w:w="750" w:type="dxa"/>
            <w:vMerge/>
            <w:tcBorders>
              <w:bottom w:val="single" w:sz="12" w:space="0" w:color="8EAADB"/>
            </w:tcBorders>
            <w:vAlign w:val="center"/>
          </w:tcPr>
          <w:p w14:paraId="3E437E46"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p>
        </w:tc>
        <w:tc>
          <w:tcPr>
            <w:tcW w:w="3356" w:type="dxa"/>
            <w:vMerge/>
            <w:tcBorders>
              <w:bottom w:val="single" w:sz="12" w:space="0" w:color="8EAADB"/>
            </w:tcBorders>
            <w:vAlign w:val="center"/>
          </w:tcPr>
          <w:p w14:paraId="3E50161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851" w:type="dxa"/>
            <w:vMerge/>
            <w:tcBorders>
              <w:bottom w:val="single" w:sz="12" w:space="0" w:color="8EAADB"/>
            </w:tcBorders>
            <w:vAlign w:val="center"/>
          </w:tcPr>
          <w:p w14:paraId="216BBE28"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275" w:type="dxa"/>
            <w:vMerge/>
            <w:tcBorders>
              <w:bottom w:val="single" w:sz="12" w:space="0" w:color="8EAADB"/>
            </w:tcBorders>
            <w:vAlign w:val="center"/>
          </w:tcPr>
          <w:p w14:paraId="3D6AC38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vMerge/>
            <w:tcBorders>
              <w:bottom w:val="single" w:sz="12" w:space="0" w:color="8EAADB"/>
            </w:tcBorders>
            <w:vAlign w:val="center"/>
          </w:tcPr>
          <w:p w14:paraId="43DCA27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tcBorders>
              <w:bottom w:val="single" w:sz="12" w:space="0" w:color="8EAADB"/>
            </w:tcBorders>
            <w:vAlign w:val="center"/>
          </w:tcPr>
          <w:p w14:paraId="0252339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sz w:val="18"/>
                <w:szCs w:val="18"/>
              </w:rPr>
            </w:pPr>
            <w:r w:rsidRPr="001B7E09">
              <w:rPr>
                <w:rFonts w:ascii="Times New Roman" w:eastAsia="DengXian" w:hAnsi="Times New Roman" w:cs="Times New Roman"/>
                <w:b/>
                <w:bCs/>
                <w:sz w:val="18"/>
                <w:szCs w:val="18"/>
              </w:rPr>
              <w:t>$m</w:t>
            </w:r>
          </w:p>
        </w:tc>
        <w:tc>
          <w:tcPr>
            <w:tcW w:w="1134" w:type="dxa"/>
            <w:tcBorders>
              <w:bottom w:val="single" w:sz="12" w:space="0" w:color="8EAADB"/>
            </w:tcBorders>
            <w:vAlign w:val="center"/>
          </w:tcPr>
          <w:p w14:paraId="2692A2DE"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sz w:val="18"/>
                <w:szCs w:val="18"/>
              </w:rPr>
            </w:pPr>
            <w:r w:rsidRPr="001B7E09">
              <w:rPr>
                <w:rFonts w:ascii="Times New Roman" w:eastAsia="DengXian" w:hAnsi="Times New Roman" w:cs="Times New Roman"/>
                <w:b/>
                <w:bCs/>
                <w:sz w:val="18"/>
                <w:szCs w:val="18"/>
              </w:rPr>
              <w:t>%</w:t>
            </w:r>
          </w:p>
        </w:tc>
      </w:tr>
      <w:tr w:rsidR="00DB07AF" w:rsidRPr="001B7E09" w14:paraId="6C76B47B"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392A1D74"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GMG</w:t>
            </w:r>
          </w:p>
        </w:tc>
        <w:tc>
          <w:tcPr>
            <w:tcW w:w="3356" w:type="dxa"/>
            <w:shd w:val="clear" w:color="auto" w:fill="DEEAF6"/>
            <w:vAlign w:val="center"/>
          </w:tcPr>
          <w:p w14:paraId="1FB8B087"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Goodman Group</w:t>
            </w:r>
          </w:p>
        </w:tc>
        <w:tc>
          <w:tcPr>
            <w:tcW w:w="851" w:type="dxa"/>
            <w:shd w:val="clear" w:color="auto" w:fill="DEEAF6"/>
            <w:vAlign w:val="center"/>
          </w:tcPr>
          <w:p w14:paraId="0B58E62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6C8298C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02/02/2005</w:t>
            </w:r>
          </w:p>
        </w:tc>
        <w:tc>
          <w:tcPr>
            <w:tcW w:w="1134" w:type="dxa"/>
            <w:shd w:val="clear" w:color="auto" w:fill="DEEAF6"/>
            <w:vAlign w:val="center"/>
          </w:tcPr>
          <w:p w14:paraId="692CA52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70C870F4"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49,507.90</w:t>
            </w:r>
          </w:p>
        </w:tc>
        <w:tc>
          <w:tcPr>
            <w:tcW w:w="1134" w:type="dxa"/>
            <w:shd w:val="clear" w:color="auto" w:fill="DEEAF6"/>
            <w:vAlign w:val="center"/>
          </w:tcPr>
          <w:p w14:paraId="54A22BC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27.65%</w:t>
            </w:r>
          </w:p>
        </w:tc>
      </w:tr>
      <w:tr w:rsidR="000D54A0" w:rsidRPr="001B7E09" w14:paraId="66F215E6" w14:textId="77777777" w:rsidTr="000D54A0">
        <w:tc>
          <w:tcPr>
            <w:cnfStyle w:val="001000000000" w:firstRow="0" w:lastRow="0" w:firstColumn="1" w:lastColumn="0" w:oddVBand="0" w:evenVBand="0" w:oddHBand="0" w:evenHBand="0" w:firstRowFirstColumn="0" w:firstRowLastColumn="0" w:lastRowFirstColumn="0" w:lastRowLastColumn="0"/>
            <w:tcW w:w="750" w:type="dxa"/>
            <w:shd w:val="clear" w:color="auto" w:fill="EAF1DD" w:themeFill="accent3" w:themeFillTint="33"/>
            <w:vAlign w:val="center"/>
          </w:tcPr>
          <w:p w14:paraId="20F6B33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SCG</w:t>
            </w:r>
          </w:p>
        </w:tc>
        <w:tc>
          <w:tcPr>
            <w:tcW w:w="3356" w:type="dxa"/>
            <w:shd w:val="clear" w:color="auto" w:fill="EAF1DD" w:themeFill="accent3" w:themeFillTint="33"/>
            <w:vAlign w:val="center"/>
          </w:tcPr>
          <w:p w14:paraId="334536D8"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Scentre Group</w:t>
            </w:r>
          </w:p>
        </w:tc>
        <w:tc>
          <w:tcPr>
            <w:tcW w:w="851" w:type="dxa"/>
            <w:shd w:val="clear" w:color="auto" w:fill="EAF1DD" w:themeFill="accent3" w:themeFillTint="33"/>
            <w:vAlign w:val="center"/>
          </w:tcPr>
          <w:p w14:paraId="0155C05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EAF1DD" w:themeFill="accent3" w:themeFillTint="33"/>
            <w:vAlign w:val="center"/>
          </w:tcPr>
          <w:p w14:paraId="51C12C4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25/06/2014</w:t>
            </w:r>
          </w:p>
        </w:tc>
        <w:tc>
          <w:tcPr>
            <w:tcW w:w="1134" w:type="dxa"/>
            <w:shd w:val="clear" w:color="auto" w:fill="EAF1DD" w:themeFill="accent3" w:themeFillTint="33"/>
            <w:vAlign w:val="center"/>
          </w:tcPr>
          <w:p w14:paraId="7ACBF1E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EAF1DD" w:themeFill="accent3" w:themeFillTint="33"/>
            <w:vAlign w:val="center"/>
          </w:tcPr>
          <w:p w14:paraId="7D0D6331"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16,401.60</w:t>
            </w:r>
          </w:p>
        </w:tc>
        <w:tc>
          <w:tcPr>
            <w:tcW w:w="1134" w:type="dxa"/>
            <w:shd w:val="clear" w:color="auto" w:fill="EAF1DD" w:themeFill="accent3" w:themeFillTint="33"/>
            <w:vAlign w:val="center"/>
          </w:tcPr>
          <w:p w14:paraId="05A35B4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9.16%</w:t>
            </w:r>
          </w:p>
        </w:tc>
      </w:tr>
      <w:tr w:rsidR="00DB07AF" w:rsidRPr="001B7E09" w14:paraId="36354F6B" w14:textId="77777777" w:rsidTr="00F4568A">
        <w:tc>
          <w:tcPr>
            <w:tcW w:w="750" w:type="dxa"/>
            <w:shd w:val="clear" w:color="auto" w:fill="EAF1DD" w:themeFill="accent3" w:themeFillTint="33"/>
            <w:vAlign w:val="center"/>
          </w:tcPr>
          <w:p w14:paraId="6875EDBA" w14:textId="77777777" w:rsidR="00DB07AF" w:rsidRPr="001B7E09" w:rsidRDefault="00DB07AF" w:rsidP="00F4568A">
            <w:pPr>
              <w:spacing w:before="0" w:after="0" w:line="36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WFD</w:t>
            </w:r>
          </w:p>
        </w:tc>
        <w:tc>
          <w:tcPr>
            <w:tcW w:w="3356" w:type="dxa"/>
            <w:shd w:val="clear" w:color="auto" w:fill="EAF1DD" w:themeFill="accent3" w:themeFillTint="33"/>
            <w:vAlign w:val="center"/>
          </w:tcPr>
          <w:p w14:paraId="0F2DF1F5" w14:textId="77777777" w:rsidR="00DB07AF" w:rsidRPr="001B7E09" w:rsidRDefault="00DB07AF" w:rsidP="00F4568A">
            <w:pPr>
              <w:tabs>
                <w:tab w:val="center" w:pos="983"/>
              </w:tabs>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Westfield Corporation</w:t>
            </w:r>
          </w:p>
        </w:tc>
        <w:tc>
          <w:tcPr>
            <w:tcW w:w="851" w:type="dxa"/>
            <w:shd w:val="clear" w:color="auto" w:fill="EAF1DD" w:themeFill="accent3" w:themeFillTint="33"/>
            <w:vAlign w:val="center"/>
          </w:tcPr>
          <w:p w14:paraId="70A8015E"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EAF1DD" w:themeFill="accent3" w:themeFillTint="33"/>
            <w:vAlign w:val="center"/>
          </w:tcPr>
          <w:p w14:paraId="78496A48"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05/07/2004</w:t>
            </w:r>
          </w:p>
        </w:tc>
        <w:tc>
          <w:tcPr>
            <w:tcW w:w="1134" w:type="dxa"/>
            <w:shd w:val="clear" w:color="auto" w:fill="EAF1DD" w:themeFill="accent3" w:themeFillTint="33"/>
            <w:vAlign w:val="center"/>
          </w:tcPr>
          <w:p w14:paraId="337F4504"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11/06/2018</w:t>
            </w:r>
          </w:p>
        </w:tc>
        <w:tc>
          <w:tcPr>
            <w:tcW w:w="1134" w:type="dxa"/>
            <w:shd w:val="clear" w:color="auto" w:fill="EAF1DD" w:themeFill="accent3" w:themeFillTint="33"/>
            <w:vAlign w:val="center"/>
          </w:tcPr>
          <w:p w14:paraId="348783D8" w14:textId="77777777" w:rsidR="00DB07AF" w:rsidRPr="001B7E09" w:rsidRDefault="00DB07AF" w:rsidP="00F4568A">
            <w:pPr>
              <w:spacing w:before="0" w:after="0" w:line="360" w:lineRule="auto"/>
              <w:jc w:val="right"/>
              <w:rPr>
                <w:rFonts w:ascii="Times New Roman" w:eastAsia="DengXian" w:hAnsi="Times New Roman" w:cs="Times New Roman"/>
                <w:sz w:val="18"/>
                <w:szCs w:val="18"/>
              </w:rPr>
            </w:pPr>
            <w:r w:rsidRPr="001B7E09">
              <w:rPr>
                <w:rFonts w:ascii="Times New Roman" w:hAnsi="Times New Roman" w:cs="Times New Roman"/>
                <w:sz w:val="18"/>
                <w:szCs w:val="18"/>
              </w:rPr>
              <w:t>18,370.31</w:t>
            </w:r>
          </w:p>
        </w:tc>
        <w:tc>
          <w:tcPr>
            <w:tcW w:w="1134" w:type="dxa"/>
            <w:shd w:val="clear" w:color="auto" w:fill="EAF1DD" w:themeFill="accent3" w:themeFillTint="33"/>
            <w:vAlign w:val="center"/>
          </w:tcPr>
          <w:p w14:paraId="4DD9C3B2"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14.11%</w:t>
            </w:r>
            <w:r w:rsidRPr="001B7E09">
              <w:rPr>
                <w:rStyle w:val="FootnoteReference"/>
                <w:rFonts w:ascii="Times New Roman" w:hAnsi="Times New Roman" w:cs="Times New Roman"/>
                <w:sz w:val="18"/>
                <w:szCs w:val="18"/>
              </w:rPr>
              <w:footnoteReference w:id="5"/>
            </w:r>
          </w:p>
        </w:tc>
      </w:tr>
      <w:tr w:rsidR="00DB07AF" w:rsidRPr="001B7E09" w14:paraId="1E21A6EA"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703F0799"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DXS</w:t>
            </w:r>
          </w:p>
        </w:tc>
        <w:tc>
          <w:tcPr>
            <w:tcW w:w="3356" w:type="dxa"/>
            <w:shd w:val="clear" w:color="auto" w:fill="DEEAF6"/>
            <w:vAlign w:val="center"/>
          </w:tcPr>
          <w:p w14:paraId="3D1359C4"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Dexus</w:t>
            </w:r>
          </w:p>
        </w:tc>
        <w:tc>
          <w:tcPr>
            <w:tcW w:w="851" w:type="dxa"/>
            <w:shd w:val="clear" w:color="auto" w:fill="DEEAF6"/>
            <w:vAlign w:val="center"/>
          </w:tcPr>
          <w:p w14:paraId="2A677E4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5F6568D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06/10/2004</w:t>
            </w:r>
          </w:p>
        </w:tc>
        <w:tc>
          <w:tcPr>
            <w:tcW w:w="1134" w:type="dxa"/>
            <w:shd w:val="clear" w:color="auto" w:fill="DEEAF6"/>
            <w:vAlign w:val="center"/>
          </w:tcPr>
          <w:p w14:paraId="50735578"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73A2CF3B"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11,960.29</w:t>
            </w:r>
          </w:p>
        </w:tc>
        <w:tc>
          <w:tcPr>
            <w:tcW w:w="1134" w:type="dxa"/>
            <w:shd w:val="clear" w:color="auto" w:fill="DEEAF6"/>
            <w:vAlign w:val="center"/>
          </w:tcPr>
          <w:p w14:paraId="47F50730"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6.68%</w:t>
            </w:r>
          </w:p>
        </w:tc>
      </w:tr>
      <w:tr w:rsidR="00DB07AF" w:rsidRPr="001B7E09" w14:paraId="30347632"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C0D16C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MGR</w:t>
            </w:r>
          </w:p>
        </w:tc>
        <w:tc>
          <w:tcPr>
            <w:tcW w:w="3356" w:type="dxa"/>
            <w:shd w:val="clear" w:color="auto" w:fill="DEEAF6"/>
            <w:vAlign w:val="center"/>
          </w:tcPr>
          <w:p w14:paraId="6D2EC958"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Mirvac Group</w:t>
            </w:r>
          </w:p>
        </w:tc>
        <w:tc>
          <w:tcPr>
            <w:tcW w:w="851" w:type="dxa"/>
            <w:shd w:val="clear" w:color="auto" w:fill="DEEAF6"/>
            <w:vAlign w:val="center"/>
          </w:tcPr>
          <w:p w14:paraId="36EF3000"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1111539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18/06/1999</w:t>
            </w:r>
          </w:p>
        </w:tc>
        <w:tc>
          <w:tcPr>
            <w:tcW w:w="1134" w:type="dxa"/>
            <w:shd w:val="clear" w:color="auto" w:fill="DEEAF6"/>
            <w:vAlign w:val="center"/>
          </w:tcPr>
          <w:p w14:paraId="60C03DF7"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4A160778"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11,473.16</w:t>
            </w:r>
          </w:p>
        </w:tc>
        <w:tc>
          <w:tcPr>
            <w:tcW w:w="1134" w:type="dxa"/>
            <w:shd w:val="clear" w:color="auto" w:fill="DEEAF6"/>
            <w:vAlign w:val="center"/>
          </w:tcPr>
          <w:p w14:paraId="4A295F2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6.41%</w:t>
            </w:r>
          </w:p>
        </w:tc>
      </w:tr>
      <w:tr w:rsidR="00DB07AF" w:rsidRPr="001B7E09" w14:paraId="4300BECB"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67A72EE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GPT</w:t>
            </w:r>
          </w:p>
        </w:tc>
        <w:tc>
          <w:tcPr>
            <w:tcW w:w="3356" w:type="dxa"/>
            <w:shd w:val="clear" w:color="auto" w:fill="DEEAF6"/>
            <w:vAlign w:val="center"/>
          </w:tcPr>
          <w:p w14:paraId="13BE8253"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GPT Group</w:t>
            </w:r>
          </w:p>
        </w:tc>
        <w:tc>
          <w:tcPr>
            <w:tcW w:w="851" w:type="dxa"/>
            <w:shd w:val="clear" w:color="auto" w:fill="DEEAF6"/>
            <w:vAlign w:val="center"/>
          </w:tcPr>
          <w:p w14:paraId="0E9A650D"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54234E5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29/04/1971</w:t>
            </w:r>
          </w:p>
        </w:tc>
        <w:tc>
          <w:tcPr>
            <w:tcW w:w="1134" w:type="dxa"/>
            <w:shd w:val="clear" w:color="auto" w:fill="DEEAF6"/>
            <w:vAlign w:val="center"/>
          </w:tcPr>
          <w:p w14:paraId="6981E07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368CDBD2"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10,382.43</w:t>
            </w:r>
          </w:p>
        </w:tc>
        <w:tc>
          <w:tcPr>
            <w:tcW w:w="1134" w:type="dxa"/>
            <w:shd w:val="clear" w:color="auto" w:fill="DEEAF6"/>
            <w:vAlign w:val="center"/>
          </w:tcPr>
          <w:p w14:paraId="54D9CFA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5.80%</w:t>
            </w:r>
          </w:p>
        </w:tc>
      </w:tr>
      <w:tr w:rsidR="00DB07AF" w:rsidRPr="001B7E09" w14:paraId="354ABF05"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EA44C43"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SGP</w:t>
            </w:r>
          </w:p>
        </w:tc>
        <w:tc>
          <w:tcPr>
            <w:tcW w:w="3356" w:type="dxa"/>
            <w:shd w:val="clear" w:color="auto" w:fill="DEEAF6"/>
            <w:vAlign w:val="center"/>
          </w:tcPr>
          <w:p w14:paraId="500E6A00"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Stockland</w:t>
            </w:r>
          </w:p>
        </w:tc>
        <w:tc>
          <w:tcPr>
            <w:tcW w:w="851" w:type="dxa"/>
            <w:shd w:val="clear" w:color="auto" w:fill="DEEAF6"/>
            <w:vAlign w:val="center"/>
          </w:tcPr>
          <w:p w14:paraId="54055CA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6CC0B75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12/02/1988</w:t>
            </w:r>
          </w:p>
        </w:tc>
        <w:tc>
          <w:tcPr>
            <w:tcW w:w="1134" w:type="dxa"/>
            <w:shd w:val="clear" w:color="auto" w:fill="DEEAF6"/>
            <w:vAlign w:val="center"/>
          </w:tcPr>
          <w:p w14:paraId="3846F07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14847108"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10,121.61</w:t>
            </w:r>
          </w:p>
        </w:tc>
        <w:tc>
          <w:tcPr>
            <w:tcW w:w="1134" w:type="dxa"/>
            <w:shd w:val="clear" w:color="auto" w:fill="DEEAF6"/>
            <w:vAlign w:val="center"/>
          </w:tcPr>
          <w:p w14:paraId="37F10B4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5.65%</w:t>
            </w:r>
          </w:p>
        </w:tc>
      </w:tr>
      <w:tr w:rsidR="00DB07AF" w:rsidRPr="001B7E09" w14:paraId="0EE12730"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F8EF1F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CHC</w:t>
            </w:r>
          </w:p>
        </w:tc>
        <w:tc>
          <w:tcPr>
            <w:tcW w:w="3356" w:type="dxa"/>
            <w:shd w:val="clear" w:color="auto" w:fill="DEEAF6"/>
            <w:vAlign w:val="center"/>
          </w:tcPr>
          <w:p w14:paraId="79E47D32"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Charter Hall Group</w:t>
            </w:r>
          </w:p>
        </w:tc>
        <w:tc>
          <w:tcPr>
            <w:tcW w:w="851" w:type="dxa"/>
            <w:shd w:val="clear" w:color="auto" w:fill="DEEAF6"/>
            <w:vAlign w:val="center"/>
          </w:tcPr>
          <w:p w14:paraId="4DA3CE6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20329DE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10/06/2005</w:t>
            </w:r>
          </w:p>
        </w:tc>
        <w:tc>
          <w:tcPr>
            <w:tcW w:w="1134" w:type="dxa"/>
            <w:shd w:val="clear" w:color="auto" w:fill="DEEAF6"/>
            <w:vAlign w:val="center"/>
          </w:tcPr>
          <w:p w14:paraId="50DFDE16"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3757DCEA"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9,585.69</w:t>
            </w:r>
          </w:p>
        </w:tc>
        <w:tc>
          <w:tcPr>
            <w:tcW w:w="1134" w:type="dxa"/>
            <w:shd w:val="clear" w:color="auto" w:fill="DEEAF6"/>
            <w:vAlign w:val="center"/>
          </w:tcPr>
          <w:p w14:paraId="40C2DE91"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5.35%</w:t>
            </w:r>
          </w:p>
        </w:tc>
      </w:tr>
      <w:tr w:rsidR="00447643" w:rsidRPr="001B7E09" w14:paraId="61BA9C81" w14:textId="77777777" w:rsidTr="000D54A0">
        <w:tc>
          <w:tcPr>
            <w:cnfStyle w:val="001000000000" w:firstRow="0" w:lastRow="0" w:firstColumn="1" w:lastColumn="0" w:oddVBand="0" w:evenVBand="0" w:oddHBand="0" w:evenHBand="0" w:firstRowFirstColumn="0" w:firstRowLastColumn="0" w:lastRowFirstColumn="0" w:lastRowLastColumn="0"/>
            <w:tcW w:w="750" w:type="dxa"/>
            <w:shd w:val="clear" w:color="auto" w:fill="EAF1DD" w:themeFill="accent3" w:themeFillTint="33"/>
            <w:vAlign w:val="center"/>
          </w:tcPr>
          <w:p w14:paraId="6EA90CFD"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VCX</w:t>
            </w:r>
          </w:p>
        </w:tc>
        <w:tc>
          <w:tcPr>
            <w:tcW w:w="3356" w:type="dxa"/>
            <w:shd w:val="clear" w:color="auto" w:fill="EAF1DD" w:themeFill="accent3" w:themeFillTint="33"/>
            <w:vAlign w:val="center"/>
          </w:tcPr>
          <w:p w14:paraId="66643AB9"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Vicinity Centres</w:t>
            </w:r>
          </w:p>
        </w:tc>
        <w:tc>
          <w:tcPr>
            <w:tcW w:w="851" w:type="dxa"/>
            <w:shd w:val="clear" w:color="auto" w:fill="EAF1DD" w:themeFill="accent3" w:themeFillTint="33"/>
            <w:vAlign w:val="center"/>
          </w:tcPr>
          <w:p w14:paraId="2E2DABF1"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EAF1DD" w:themeFill="accent3" w:themeFillTint="33"/>
            <w:vAlign w:val="center"/>
          </w:tcPr>
          <w:p w14:paraId="292A032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05/12/2011</w:t>
            </w:r>
          </w:p>
        </w:tc>
        <w:tc>
          <w:tcPr>
            <w:tcW w:w="1134" w:type="dxa"/>
            <w:shd w:val="clear" w:color="auto" w:fill="EAF1DD" w:themeFill="accent3" w:themeFillTint="33"/>
            <w:vAlign w:val="center"/>
          </w:tcPr>
          <w:p w14:paraId="4BC70D3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EAF1DD" w:themeFill="accent3" w:themeFillTint="33"/>
            <w:vAlign w:val="center"/>
          </w:tcPr>
          <w:p w14:paraId="2E53A77E"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7,693.35</w:t>
            </w:r>
          </w:p>
        </w:tc>
        <w:tc>
          <w:tcPr>
            <w:tcW w:w="1134" w:type="dxa"/>
            <w:shd w:val="clear" w:color="auto" w:fill="EAF1DD" w:themeFill="accent3" w:themeFillTint="33"/>
            <w:vAlign w:val="center"/>
          </w:tcPr>
          <w:p w14:paraId="5A4D4771"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4.30%</w:t>
            </w:r>
          </w:p>
        </w:tc>
      </w:tr>
      <w:tr w:rsidR="00DB07AF" w:rsidRPr="001B7E09" w14:paraId="2AA72610" w14:textId="77777777" w:rsidTr="00F4568A">
        <w:tc>
          <w:tcPr>
            <w:tcW w:w="750" w:type="dxa"/>
            <w:shd w:val="clear" w:color="auto" w:fill="EAF1DD" w:themeFill="accent3" w:themeFillTint="33"/>
            <w:vAlign w:val="center"/>
          </w:tcPr>
          <w:p w14:paraId="7319D0DD" w14:textId="77777777" w:rsidR="00DB07AF" w:rsidRPr="001B7E09" w:rsidRDefault="00DB07AF" w:rsidP="00F4568A">
            <w:pPr>
              <w:spacing w:before="0" w:after="0" w:line="36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NVN</w:t>
            </w:r>
          </w:p>
        </w:tc>
        <w:tc>
          <w:tcPr>
            <w:tcW w:w="3356" w:type="dxa"/>
            <w:shd w:val="clear" w:color="auto" w:fill="EAF1DD" w:themeFill="accent3" w:themeFillTint="33"/>
            <w:vAlign w:val="center"/>
          </w:tcPr>
          <w:p w14:paraId="406E9131" w14:textId="77777777" w:rsidR="00DB07AF" w:rsidRPr="001B7E09" w:rsidRDefault="00DB07AF" w:rsidP="00F4568A">
            <w:pPr>
              <w:tabs>
                <w:tab w:val="center" w:pos="983"/>
              </w:tabs>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Novion Property Group</w:t>
            </w:r>
          </w:p>
        </w:tc>
        <w:tc>
          <w:tcPr>
            <w:tcW w:w="851" w:type="dxa"/>
            <w:shd w:val="clear" w:color="auto" w:fill="EAF1DD" w:themeFill="accent3" w:themeFillTint="33"/>
            <w:vAlign w:val="center"/>
          </w:tcPr>
          <w:p w14:paraId="6CC4D5A5"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EAF1DD" w:themeFill="accent3" w:themeFillTint="33"/>
            <w:vAlign w:val="center"/>
          </w:tcPr>
          <w:p w14:paraId="56451AC5"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07/04/1994</w:t>
            </w:r>
          </w:p>
        </w:tc>
        <w:tc>
          <w:tcPr>
            <w:tcW w:w="1134" w:type="dxa"/>
            <w:shd w:val="clear" w:color="auto" w:fill="EAF1DD" w:themeFill="accent3" w:themeFillTint="33"/>
            <w:vAlign w:val="center"/>
          </w:tcPr>
          <w:p w14:paraId="3420CCC3"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15/06/2015</w:t>
            </w:r>
          </w:p>
        </w:tc>
        <w:tc>
          <w:tcPr>
            <w:tcW w:w="1134" w:type="dxa"/>
            <w:shd w:val="clear" w:color="auto" w:fill="EAF1DD" w:themeFill="accent3" w:themeFillTint="33"/>
            <w:vAlign w:val="center"/>
          </w:tcPr>
          <w:p w14:paraId="695C1C78" w14:textId="77777777" w:rsidR="00DB07AF" w:rsidRPr="001B7E09" w:rsidRDefault="00DB07AF" w:rsidP="00F4568A">
            <w:pPr>
              <w:spacing w:before="0" w:after="0" w:line="360" w:lineRule="auto"/>
              <w:jc w:val="right"/>
              <w:rPr>
                <w:rFonts w:ascii="Times New Roman" w:eastAsia="DengXian" w:hAnsi="Times New Roman" w:cs="Times New Roman"/>
                <w:sz w:val="18"/>
                <w:szCs w:val="18"/>
              </w:rPr>
            </w:pPr>
            <w:r w:rsidRPr="001B7E09">
              <w:rPr>
                <w:rFonts w:ascii="Times New Roman" w:hAnsi="Times New Roman" w:cs="Times New Roman"/>
                <w:sz w:val="18"/>
                <w:szCs w:val="18"/>
              </w:rPr>
              <w:t>7,508.40</w:t>
            </w:r>
          </w:p>
        </w:tc>
        <w:tc>
          <w:tcPr>
            <w:tcW w:w="1134" w:type="dxa"/>
            <w:shd w:val="clear" w:color="auto" w:fill="EAF1DD" w:themeFill="accent3" w:themeFillTint="33"/>
            <w:vAlign w:val="center"/>
          </w:tcPr>
          <w:p w14:paraId="0DBD1A50" w14:textId="77777777" w:rsidR="00DB07AF" w:rsidRPr="001B7E09" w:rsidRDefault="00DB07AF" w:rsidP="00F4568A">
            <w:pPr>
              <w:spacing w:before="0" w:after="0" w:line="360" w:lineRule="auto"/>
              <w:jc w:val="center"/>
              <w:rPr>
                <w:rFonts w:ascii="Times New Roman" w:eastAsia="DengXian" w:hAnsi="Times New Roman" w:cs="Times New Roman"/>
                <w:sz w:val="18"/>
                <w:szCs w:val="18"/>
              </w:rPr>
            </w:pPr>
            <w:r w:rsidRPr="001B7E09">
              <w:rPr>
                <w:rFonts w:ascii="Times New Roman" w:hAnsi="Times New Roman" w:cs="Times New Roman"/>
                <w:sz w:val="18"/>
                <w:szCs w:val="18"/>
              </w:rPr>
              <w:t>6.20%</w:t>
            </w:r>
            <w:r w:rsidRPr="001B7E09">
              <w:rPr>
                <w:rStyle w:val="FootnoteReference"/>
                <w:rFonts w:ascii="Times New Roman" w:hAnsi="Times New Roman" w:cs="Times New Roman"/>
                <w:sz w:val="18"/>
                <w:szCs w:val="18"/>
              </w:rPr>
              <w:footnoteReference w:id="6"/>
            </w:r>
          </w:p>
        </w:tc>
      </w:tr>
      <w:tr w:rsidR="00DB07AF" w:rsidRPr="001B7E09" w14:paraId="72E86292"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76DAA469"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ABP</w:t>
            </w:r>
          </w:p>
        </w:tc>
        <w:tc>
          <w:tcPr>
            <w:tcW w:w="3356" w:type="dxa"/>
            <w:shd w:val="clear" w:color="auto" w:fill="DEEAF6"/>
            <w:vAlign w:val="center"/>
          </w:tcPr>
          <w:p w14:paraId="3CE24961"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Abacus Property Group</w:t>
            </w:r>
          </w:p>
        </w:tc>
        <w:tc>
          <w:tcPr>
            <w:tcW w:w="851" w:type="dxa"/>
            <w:shd w:val="clear" w:color="auto" w:fill="DEEAF6"/>
            <w:vAlign w:val="center"/>
          </w:tcPr>
          <w:p w14:paraId="5025E408"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58A9DFE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14/11/2002</w:t>
            </w:r>
          </w:p>
        </w:tc>
        <w:tc>
          <w:tcPr>
            <w:tcW w:w="1134" w:type="dxa"/>
            <w:shd w:val="clear" w:color="auto" w:fill="DEEAF6"/>
            <w:vAlign w:val="center"/>
          </w:tcPr>
          <w:p w14:paraId="0800327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0A9D790C"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3,152.61</w:t>
            </w:r>
          </w:p>
        </w:tc>
        <w:tc>
          <w:tcPr>
            <w:tcW w:w="1134" w:type="dxa"/>
            <w:shd w:val="clear" w:color="auto" w:fill="DEEAF6"/>
            <w:vAlign w:val="center"/>
          </w:tcPr>
          <w:p w14:paraId="5639651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1.76%</w:t>
            </w:r>
          </w:p>
        </w:tc>
      </w:tr>
      <w:tr w:rsidR="00DB07AF" w:rsidRPr="001B7E09" w14:paraId="17187D01"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401C025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BWP</w:t>
            </w:r>
          </w:p>
        </w:tc>
        <w:tc>
          <w:tcPr>
            <w:tcW w:w="3356" w:type="dxa"/>
            <w:shd w:val="clear" w:color="auto" w:fill="DEEAF6"/>
            <w:vAlign w:val="center"/>
          </w:tcPr>
          <w:p w14:paraId="0D91C953"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BWP Trust</w:t>
            </w:r>
          </w:p>
        </w:tc>
        <w:tc>
          <w:tcPr>
            <w:tcW w:w="851" w:type="dxa"/>
            <w:shd w:val="clear" w:color="auto" w:fill="DEEAF6"/>
            <w:vAlign w:val="center"/>
          </w:tcPr>
          <w:p w14:paraId="2CE53E3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719054E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16/09/1998</w:t>
            </w:r>
          </w:p>
        </w:tc>
        <w:tc>
          <w:tcPr>
            <w:tcW w:w="1134" w:type="dxa"/>
            <w:shd w:val="clear" w:color="auto" w:fill="DEEAF6"/>
            <w:vAlign w:val="center"/>
          </w:tcPr>
          <w:p w14:paraId="491670C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7CF20937"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2,665.89</w:t>
            </w:r>
          </w:p>
        </w:tc>
        <w:tc>
          <w:tcPr>
            <w:tcW w:w="1134" w:type="dxa"/>
            <w:shd w:val="clear" w:color="auto" w:fill="DEEAF6"/>
            <w:vAlign w:val="center"/>
          </w:tcPr>
          <w:p w14:paraId="6C586B47"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1.49%</w:t>
            </w:r>
          </w:p>
        </w:tc>
      </w:tr>
      <w:tr w:rsidR="00DB07AF" w:rsidRPr="001B7E09" w14:paraId="42D161BF"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DC292D4"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INA</w:t>
            </w:r>
          </w:p>
        </w:tc>
        <w:tc>
          <w:tcPr>
            <w:tcW w:w="3356" w:type="dxa"/>
            <w:shd w:val="clear" w:color="auto" w:fill="DEEAF6"/>
            <w:vAlign w:val="center"/>
          </w:tcPr>
          <w:p w14:paraId="7C87784C"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Ingenia Communities Group</w:t>
            </w:r>
          </w:p>
        </w:tc>
        <w:tc>
          <w:tcPr>
            <w:tcW w:w="851" w:type="dxa"/>
            <w:shd w:val="clear" w:color="auto" w:fill="DEEAF6"/>
            <w:vAlign w:val="center"/>
          </w:tcPr>
          <w:p w14:paraId="741EFF08"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642AC6A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01/07/2004</w:t>
            </w:r>
          </w:p>
        </w:tc>
        <w:tc>
          <w:tcPr>
            <w:tcW w:w="1134" w:type="dxa"/>
            <w:shd w:val="clear" w:color="auto" w:fill="DEEAF6"/>
            <w:vAlign w:val="center"/>
          </w:tcPr>
          <w:p w14:paraId="58149C8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29C6FF41"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2,527.96</w:t>
            </w:r>
          </w:p>
        </w:tc>
        <w:tc>
          <w:tcPr>
            <w:tcW w:w="1134" w:type="dxa"/>
            <w:shd w:val="clear" w:color="auto" w:fill="DEEAF6"/>
            <w:vAlign w:val="center"/>
          </w:tcPr>
          <w:p w14:paraId="523B2A44"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1.41%</w:t>
            </w:r>
          </w:p>
        </w:tc>
      </w:tr>
      <w:tr w:rsidR="00DB07AF" w:rsidRPr="001B7E09" w14:paraId="6C4638A0"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759FBD91"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CQR</w:t>
            </w:r>
          </w:p>
        </w:tc>
        <w:tc>
          <w:tcPr>
            <w:tcW w:w="3356" w:type="dxa"/>
            <w:shd w:val="clear" w:color="auto" w:fill="DEEAF6"/>
            <w:vAlign w:val="center"/>
          </w:tcPr>
          <w:p w14:paraId="0C385412"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Charter Hall Retail REIT</w:t>
            </w:r>
          </w:p>
        </w:tc>
        <w:tc>
          <w:tcPr>
            <w:tcW w:w="851" w:type="dxa"/>
            <w:shd w:val="clear" w:color="auto" w:fill="DEEAF6"/>
            <w:vAlign w:val="center"/>
          </w:tcPr>
          <w:p w14:paraId="67FDFBB2"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15ADCE9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15/11/1996</w:t>
            </w:r>
          </w:p>
        </w:tc>
        <w:tc>
          <w:tcPr>
            <w:tcW w:w="1134" w:type="dxa"/>
            <w:shd w:val="clear" w:color="auto" w:fill="DEEAF6"/>
            <w:vAlign w:val="center"/>
          </w:tcPr>
          <w:p w14:paraId="47DBDC36"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589BDD88"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2,463.90</w:t>
            </w:r>
          </w:p>
        </w:tc>
        <w:tc>
          <w:tcPr>
            <w:tcW w:w="1134" w:type="dxa"/>
            <w:shd w:val="clear" w:color="auto" w:fill="DEEAF6"/>
            <w:vAlign w:val="center"/>
          </w:tcPr>
          <w:p w14:paraId="6E8E830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1.38%</w:t>
            </w:r>
          </w:p>
        </w:tc>
      </w:tr>
      <w:tr w:rsidR="00DB07AF" w:rsidRPr="001B7E09" w14:paraId="63A12D6B"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512ABC43"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CMW</w:t>
            </w:r>
          </w:p>
        </w:tc>
        <w:tc>
          <w:tcPr>
            <w:tcW w:w="3356" w:type="dxa"/>
            <w:shd w:val="clear" w:color="auto" w:fill="DEEAF6"/>
            <w:vAlign w:val="center"/>
          </w:tcPr>
          <w:p w14:paraId="6F853845"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Cromwell Property Group</w:t>
            </w:r>
          </w:p>
        </w:tc>
        <w:tc>
          <w:tcPr>
            <w:tcW w:w="851" w:type="dxa"/>
            <w:shd w:val="clear" w:color="auto" w:fill="DEEAF6"/>
            <w:vAlign w:val="center"/>
          </w:tcPr>
          <w:p w14:paraId="64CC986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1800032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22/02/1973</w:t>
            </w:r>
          </w:p>
        </w:tc>
        <w:tc>
          <w:tcPr>
            <w:tcW w:w="1134" w:type="dxa"/>
            <w:shd w:val="clear" w:color="auto" w:fill="DEEAF6"/>
            <w:vAlign w:val="center"/>
          </w:tcPr>
          <w:p w14:paraId="5386F26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7B0E021A"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2,278.41</w:t>
            </w:r>
          </w:p>
        </w:tc>
        <w:tc>
          <w:tcPr>
            <w:tcW w:w="1134" w:type="dxa"/>
            <w:shd w:val="clear" w:color="auto" w:fill="DEEAF6"/>
            <w:vAlign w:val="center"/>
          </w:tcPr>
          <w:p w14:paraId="6373917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1.27%</w:t>
            </w:r>
          </w:p>
        </w:tc>
      </w:tr>
      <w:tr w:rsidR="00DB07AF" w:rsidRPr="001B7E09" w14:paraId="3EF6C05F"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455DA86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CQE</w:t>
            </w:r>
          </w:p>
        </w:tc>
        <w:tc>
          <w:tcPr>
            <w:tcW w:w="3356" w:type="dxa"/>
            <w:shd w:val="clear" w:color="auto" w:fill="DEEAF6"/>
            <w:vAlign w:val="center"/>
          </w:tcPr>
          <w:p w14:paraId="351183CE"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Charter Hall Social Infrastructure REIT</w:t>
            </w:r>
          </w:p>
        </w:tc>
        <w:tc>
          <w:tcPr>
            <w:tcW w:w="851" w:type="dxa"/>
            <w:shd w:val="clear" w:color="auto" w:fill="DEEAF6"/>
            <w:vAlign w:val="center"/>
          </w:tcPr>
          <w:p w14:paraId="7BFA4542"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4B3FE37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22/05/2003</w:t>
            </w:r>
          </w:p>
        </w:tc>
        <w:tc>
          <w:tcPr>
            <w:tcW w:w="1134" w:type="dxa"/>
            <w:shd w:val="clear" w:color="auto" w:fill="DEEAF6"/>
            <w:vAlign w:val="center"/>
          </w:tcPr>
          <w:p w14:paraId="6D0755F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4D7A45AA"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1,503.94</w:t>
            </w:r>
          </w:p>
        </w:tc>
        <w:tc>
          <w:tcPr>
            <w:tcW w:w="1134" w:type="dxa"/>
            <w:shd w:val="clear" w:color="auto" w:fill="DEEAF6"/>
            <w:vAlign w:val="center"/>
          </w:tcPr>
          <w:p w14:paraId="66CF6F8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0.84%</w:t>
            </w:r>
          </w:p>
        </w:tc>
      </w:tr>
      <w:tr w:rsidR="00DB07AF" w:rsidRPr="001B7E09" w14:paraId="31554FF0"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42283EA0"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CDP</w:t>
            </w:r>
          </w:p>
        </w:tc>
        <w:tc>
          <w:tcPr>
            <w:tcW w:w="3356" w:type="dxa"/>
            <w:shd w:val="clear" w:color="auto" w:fill="DEEAF6"/>
            <w:vAlign w:val="center"/>
          </w:tcPr>
          <w:p w14:paraId="1CF75193"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Carindale Property Trust</w:t>
            </w:r>
          </w:p>
        </w:tc>
        <w:tc>
          <w:tcPr>
            <w:tcW w:w="851" w:type="dxa"/>
            <w:shd w:val="clear" w:color="auto" w:fill="DEEAF6"/>
            <w:vAlign w:val="center"/>
          </w:tcPr>
          <w:p w14:paraId="570138E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64F0370D"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17/06/1999</w:t>
            </w:r>
          </w:p>
        </w:tc>
        <w:tc>
          <w:tcPr>
            <w:tcW w:w="1134" w:type="dxa"/>
            <w:shd w:val="clear" w:color="auto" w:fill="DEEAF6"/>
            <w:vAlign w:val="center"/>
          </w:tcPr>
          <w:p w14:paraId="6E7CDEB6"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4778E906"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333.60</w:t>
            </w:r>
          </w:p>
        </w:tc>
        <w:tc>
          <w:tcPr>
            <w:tcW w:w="1134" w:type="dxa"/>
            <w:shd w:val="clear" w:color="auto" w:fill="DEEAF6"/>
            <w:vAlign w:val="center"/>
          </w:tcPr>
          <w:p w14:paraId="04905D3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0.19%</w:t>
            </w:r>
          </w:p>
        </w:tc>
      </w:tr>
      <w:tr w:rsidR="00DB07AF" w:rsidRPr="001B7E09" w14:paraId="2473F69C"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6CDC503F"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APZ</w:t>
            </w:r>
          </w:p>
        </w:tc>
        <w:tc>
          <w:tcPr>
            <w:tcW w:w="3356" w:type="dxa"/>
            <w:shd w:val="clear" w:color="auto" w:fill="DEEAF6"/>
            <w:vAlign w:val="center"/>
          </w:tcPr>
          <w:p w14:paraId="5AFF7313"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Aspen Group</w:t>
            </w:r>
          </w:p>
        </w:tc>
        <w:tc>
          <w:tcPr>
            <w:tcW w:w="851" w:type="dxa"/>
            <w:shd w:val="clear" w:color="auto" w:fill="DEEAF6"/>
            <w:vAlign w:val="center"/>
          </w:tcPr>
          <w:p w14:paraId="14EE9937"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20788961"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11/04/1991</w:t>
            </w:r>
          </w:p>
        </w:tc>
        <w:tc>
          <w:tcPr>
            <w:tcW w:w="1134" w:type="dxa"/>
            <w:shd w:val="clear" w:color="auto" w:fill="DEEAF6"/>
            <w:vAlign w:val="center"/>
          </w:tcPr>
          <w:p w14:paraId="4B3B2322"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36BFA179"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241.45</w:t>
            </w:r>
          </w:p>
        </w:tc>
        <w:tc>
          <w:tcPr>
            <w:tcW w:w="1134" w:type="dxa"/>
            <w:shd w:val="clear" w:color="auto" w:fill="DEEAF6"/>
            <w:vAlign w:val="center"/>
          </w:tcPr>
          <w:p w14:paraId="70A27BCA"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0.13%</w:t>
            </w:r>
          </w:p>
        </w:tc>
      </w:tr>
      <w:tr w:rsidR="00DB07AF" w:rsidRPr="001B7E09" w14:paraId="716544BF"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751662C0"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TGP</w:t>
            </w:r>
          </w:p>
        </w:tc>
        <w:tc>
          <w:tcPr>
            <w:tcW w:w="3356" w:type="dxa"/>
            <w:shd w:val="clear" w:color="auto" w:fill="DEEAF6"/>
            <w:vAlign w:val="center"/>
          </w:tcPr>
          <w:p w14:paraId="76D76199"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360 Capital Group</w:t>
            </w:r>
          </w:p>
        </w:tc>
        <w:tc>
          <w:tcPr>
            <w:tcW w:w="851" w:type="dxa"/>
            <w:shd w:val="clear" w:color="auto" w:fill="DEEAF6"/>
            <w:vAlign w:val="center"/>
          </w:tcPr>
          <w:p w14:paraId="3FC8228B"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Stapled</w:t>
            </w:r>
          </w:p>
        </w:tc>
        <w:tc>
          <w:tcPr>
            <w:tcW w:w="1275" w:type="dxa"/>
            <w:shd w:val="clear" w:color="auto" w:fill="DEEAF6"/>
            <w:vAlign w:val="center"/>
          </w:tcPr>
          <w:p w14:paraId="7BE200FD"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26/07/2005</w:t>
            </w:r>
          </w:p>
        </w:tc>
        <w:tc>
          <w:tcPr>
            <w:tcW w:w="1134" w:type="dxa"/>
            <w:shd w:val="clear" w:color="auto" w:fill="DEEAF6"/>
            <w:vAlign w:val="center"/>
          </w:tcPr>
          <w:p w14:paraId="284CE997"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29AA0D1D"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180.67</w:t>
            </w:r>
          </w:p>
        </w:tc>
        <w:tc>
          <w:tcPr>
            <w:tcW w:w="1134" w:type="dxa"/>
            <w:shd w:val="clear" w:color="auto" w:fill="DEEAF6"/>
            <w:vAlign w:val="center"/>
          </w:tcPr>
          <w:p w14:paraId="7BC5E168"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0.10%</w:t>
            </w:r>
          </w:p>
        </w:tc>
      </w:tr>
      <w:tr w:rsidR="00DB07AF" w:rsidRPr="001B7E09" w14:paraId="365F5AB4"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B3493B7"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APW</w:t>
            </w:r>
          </w:p>
        </w:tc>
        <w:tc>
          <w:tcPr>
            <w:tcW w:w="3356" w:type="dxa"/>
            <w:shd w:val="clear" w:color="auto" w:fill="DEEAF6"/>
            <w:vAlign w:val="center"/>
          </w:tcPr>
          <w:p w14:paraId="7B1385C1"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Aims Property Securities Fund</w:t>
            </w:r>
          </w:p>
        </w:tc>
        <w:tc>
          <w:tcPr>
            <w:tcW w:w="851" w:type="dxa"/>
            <w:shd w:val="clear" w:color="auto" w:fill="DEEAF6"/>
            <w:vAlign w:val="center"/>
          </w:tcPr>
          <w:p w14:paraId="36FF38BF"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7830C5FC"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17/12/2004</w:t>
            </w:r>
          </w:p>
        </w:tc>
        <w:tc>
          <w:tcPr>
            <w:tcW w:w="1134" w:type="dxa"/>
            <w:shd w:val="clear" w:color="auto" w:fill="DEEAF6"/>
            <w:vAlign w:val="center"/>
          </w:tcPr>
          <w:p w14:paraId="0228432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p>
        </w:tc>
        <w:tc>
          <w:tcPr>
            <w:tcW w:w="1134" w:type="dxa"/>
            <w:shd w:val="clear" w:color="auto" w:fill="DEEAF6"/>
            <w:vAlign w:val="center"/>
          </w:tcPr>
          <w:p w14:paraId="5DA499D0"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54.42</w:t>
            </w:r>
          </w:p>
        </w:tc>
        <w:tc>
          <w:tcPr>
            <w:tcW w:w="1134" w:type="dxa"/>
            <w:shd w:val="clear" w:color="auto" w:fill="DEEAF6"/>
            <w:vAlign w:val="center"/>
          </w:tcPr>
          <w:p w14:paraId="0EADA35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0.03%</w:t>
            </w:r>
          </w:p>
        </w:tc>
      </w:tr>
      <w:tr w:rsidR="00DB07AF" w:rsidRPr="001B7E09" w14:paraId="601E7002" w14:textId="77777777" w:rsidTr="00F4568A">
        <w:tc>
          <w:tcPr>
            <w:cnfStyle w:val="001000000000" w:firstRow="0" w:lastRow="0" w:firstColumn="1" w:lastColumn="0" w:oddVBand="0" w:evenVBand="0" w:oddHBand="0" w:evenHBand="0" w:firstRowFirstColumn="0" w:firstRowLastColumn="0" w:lastRowFirstColumn="0" w:lastRowLastColumn="0"/>
            <w:tcW w:w="750" w:type="dxa"/>
            <w:shd w:val="clear" w:color="auto" w:fill="DEEAF6"/>
            <w:vAlign w:val="center"/>
          </w:tcPr>
          <w:p w14:paraId="075F7232" w14:textId="77777777" w:rsidR="00447643" w:rsidRPr="001B7E09" w:rsidRDefault="00447643" w:rsidP="00F4568A">
            <w:pPr>
              <w:spacing w:before="0" w:after="0" w:line="360" w:lineRule="auto"/>
              <w:jc w:val="center"/>
              <w:rPr>
                <w:rFonts w:ascii="Times New Roman" w:eastAsia="DengXian" w:hAnsi="Times New Roman" w:cs="Times New Roman"/>
                <w:sz w:val="18"/>
                <w:szCs w:val="18"/>
              </w:rPr>
            </w:pPr>
            <w:r w:rsidRPr="001B7E09">
              <w:rPr>
                <w:rFonts w:ascii="Times New Roman" w:eastAsia="DengXian" w:hAnsi="Times New Roman" w:cs="Times New Roman"/>
                <w:sz w:val="18"/>
                <w:szCs w:val="18"/>
              </w:rPr>
              <w:t>AGJ</w:t>
            </w:r>
          </w:p>
        </w:tc>
        <w:tc>
          <w:tcPr>
            <w:tcW w:w="3356" w:type="dxa"/>
            <w:shd w:val="clear" w:color="auto" w:fill="DEEAF6"/>
            <w:vAlign w:val="center"/>
          </w:tcPr>
          <w:p w14:paraId="73AC9083" w14:textId="77777777" w:rsidR="00447643" w:rsidRPr="001B7E09" w:rsidRDefault="00447643" w:rsidP="00F4568A">
            <w:pPr>
              <w:tabs>
                <w:tab w:val="center" w:pos="983"/>
              </w:tabs>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Agricultural Land Trust</w:t>
            </w:r>
          </w:p>
        </w:tc>
        <w:tc>
          <w:tcPr>
            <w:tcW w:w="851" w:type="dxa"/>
            <w:shd w:val="clear" w:color="auto" w:fill="DEEAF6"/>
            <w:vAlign w:val="center"/>
          </w:tcPr>
          <w:p w14:paraId="3E30D775"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Units</w:t>
            </w:r>
          </w:p>
        </w:tc>
        <w:tc>
          <w:tcPr>
            <w:tcW w:w="1275" w:type="dxa"/>
            <w:shd w:val="clear" w:color="auto" w:fill="DEEAF6"/>
            <w:vAlign w:val="center"/>
          </w:tcPr>
          <w:p w14:paraId="72C667E9"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10/04/2003</w:t>
            </w:r>
          </w:p>
        </w:tc>
        <w:tc>
          <w:tcPr>
            <w:tcW w:w="1134" w:type="dxa"/>
            <w:shd w:val="clear" w:color="auto" w:fill="DEEAF6"/>
            <w:vAlign w:val="center"/>
          </w:tcPr>
          <w:p w14:paraId="408D4FA1"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14/07/2022</w:t>
            </w:r>
          </w:p>
        </w:tc>
        <w:tc>
          <w:tcPr>
            <w:tcW w:w="1134" w:type="dxa"/>
            <w:shd w:val="clear" w:color="auto" w:fill="DEEAF6"/>
            <w:vAlign w:val="center"/>
          </w:tcPr>
          <w:p w14:paraId="0834A23E" w14:textId="77777777" w:rsidR="00447643" w:rsidRPr="001B7E09" w:rsidRDefault="00447643" w:rsidP="00F4568A">
            <w:pPr>
              <w:spacing w:before="0"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3.66</w:t>
            </w:r>
          </w:p>
        </w:tc>
        <w:tc>
          <w:tcPr>
            <w:tcW w:w="1134" w:type="dxa"/>
            <w:shd w:val="clear" w:color="auto" w:fill="DEEAF6"/>
            <w:vAlign w:val="center"/>
          </w:tcPr>
          <w:p w14:paraId="6640D453" w14:textId="77777777" w:rsidR="00447643" w:rsidRPr="001B7E09" w:rsidRDefault="00447643" w:rsidP="00F4568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18"/>
                <w:szCs w:val="18"/>
              </w:rPr>
            </w:pPr>
            <w:r w:rsidRPr="001B7E09">
              <w:rPr>
                <w:rFonts w:ascii="Times New Roman" w:eastAsia="DengXian" w:hAnsi="Times New Roman" w:cs="Times New Roman"/>
                <w:sz w:val="18"/>
                <w:szCs w:val="18"/>
              </w:rPr>
              <w:t>0.00%</w:t>
            </w:r>
          </w:p>
        </w:tc>
      </w:tr>
    </w:tbl>
    <w:p w14:paraId="54614117" w14:textId="77777777" w:rsidR="006845F9" w:rsidRPr="006561A1" w:rsidRDefault="00132A68" w:rsidP="006845F9">
      <w:pPr>
        <w:rPr>
          <w:rStyle w:val="SubtleReference"/>
        </w:rPr>
      </w:pPr>
      <w:r w:rsidRPr="006561A1">
        <w:rPr>
          <w:rStyle w:val="SubtleReference"/>
        </w:rPr>
        <w:t xml:space="preserve">Source: Author, adopted from </w:t>
      </w:r>
      <w:r w:rsidRPr="006561A1">
        <w:rPr>
          <w:rStyle w:val="SubtleReference"/>
        </w:rPr>
        <w:fldChar w:fldCharType="begin"/>
      </w:r>
      <w:r w:rsidRPr="006561A1">
        <w:rPr>
          <w:rStyle w:val="SubtleReference"/>
        </w:rPr>
        <w:instrText xml:space="preserve"> ADDIN EN.CITE &lt;EndNote&gt;&lt;Cite AuthorYear="1"&gt;&lt;Author&gt;ASX&lt;/Author&gt;&lt;Year&gt;2021&lt;/Year&gt;&lt;RecNum&gt;201&lt;/RecNum&gt;&lt;DisplayText&gt;ASX (2021)&lt;/DisplayText&gt;&lt;record&gt;&lt;rec-number&gt;201&lt;/rec-number&gt;&lt;foreign-keys&gt;&lt;key app="EN" db-id="e9xrw0ppjrxazme9sdavssd69wf90saf5s09" timestamp="1648665987" guid="98372e5d-db57-4757-8bbd-f687f5fdd2f3"&gt;201&lt;/key&gt;&lt;/foreign-keys&gt;&lt;ref-type name="Report"&gt;27&lt;/ref-type&gt;&lt;contributors&gt;&lt;authors&gt;&lt;author&gt;ASX&lt;/author&gt;&lt;/authors&gt;&lt;/contributors&gt;&lt;titles&gt;&lt;title&gt;ASX Investment Prodects Monthly Update - December 2021&lt;/title&gt;&lt;/titles&gt;&lt;dates&gt;&lt;year&gt;2021&lt;/year&gt;&lt;/dates&gt;&lt;urls&gt;&lt;/urls&gt;&lt;/record&gt;&lt;/Cite&gt;&lt;/EndNote&gt;</w:instrText>
      </w:r>
      <w:r w:rsidRPr="006561A1">
        <w:rPr>
          <w:rStyle w:val="SubtleReference"/>
        </w:rPr>
        <w:fldChar w:fldCharType="separate"/>
      </w:r>
      <w:r w:rsidRPr="006561A1">
        <w:rPr>
          <w:rStyle w:val="SubtleReference"/>
        </w:rPr>
        <w:t>ASX (2021)</w:t>
      </w:r>
      <w:r w:rsidRPr="006561A1">
        <w:rPr>
          <w:rStyle w:val="SubtleReference"/>
        </w:rPr>
        <w:fldChar w:fldCharType="end"/>
      </w:r>
      <w:r w:rsidRPr="006561A1">
        <w:rPr>
          <w:rStyle w:val="SubtleReference"/>
        </w:rPr>
        <w:t xml:space="preserve"> and Morningstar</w:t>
      </w:r>
    </w:p>
    <w:p w14:paraId="4C0C261B" w14:textId="77777777" w:rsidR="00182990" w:rsidRPr="00C55019" w:rsidRDefault="00182990" w:rsidP="00D3639B">
      <w:pPr>
        <w:rPr>
          <w:szCs w:val="22"/>
        </w:rPr>
      </w:pPr>
    </w:p>
    <w:p w14:paraId="091EC39C" w14:textId="77777777" w:rsidR="00182990" w:rsidRPr="00D3639B" w:rsidRDefault="00182990" w:rsidP="00D3639B">
      <w:pPr>
        <w:pStyle w:val="Heading2"/>
      </w:pPr>
      <w:r w:rsidRPr="00D3639B">
        <w:t>4.2 Data Collection</w:t>
      </w:r>
    </w:p>
    <w:p w14:paraId="7C42FD6D" w14:textId="3AF0F5F7" w:rsidR="00182990" w:rsidRPr="00C55019" w:rsidRDefault="00182990" w:rsidP="00D3639B">
      <w:pPr>
        <w:rPr>
          <w:szCs w:val="22"/>
        </w:rPr>
      </w:pPr>
      <w:r w:rsidRPr="00C55019">
        <w:rPr>
          <w:szCs w:val="22"/>
        </w:rPr>
        <w:t xml:space="preserve">According to the nature and purpose of this study, there are three categories of data </w:t>
      </w:r>
      <w:r w:rsidR="0016457C">
        <w:rPr>
          <w:szCs w:val="22"/>
        </w:rPr>
        <w:t xml:space="preserve">that </w:t>
      </w:r>
      <w:r w:rsidRPr="00C55019">
        <w:rPr>
          <w:szCs w:val="22"/>
        </w:rPr>
        <w:t xml:space="preserve">need to be collected: market data of A-REITs, investor sentiment data, and economic indicators. Also, according to the nature of the data required in this study, all raw data are secondary data. </w:t>
      </w:r>
    </w:p>
    <w:p w14:paraId="310142EC" w14:textId="77777777" w:rsidR="00182990" w:rsidRPr="00C55019" w:rsidRDefault="00182990" w:rsidP="00D3639B">
      <w:pPr>
        <w:rPr>
          <w:szCs w:val="22"/>
        </w:rPr>
      </w:pPr>
    </w:p>
    <w:p w14:paraId="18712909" w14:textId="4302D3FF" w:rsidR="00182990" w:rsidRPr="00C55019" w:rsidRDefault="00182990" w:rsidP="00D3639B">
      <w:pPr>
        <w:rPr>
          <w:szCs w:val="22"/>
        </w:rPr>
      </w:pPr>
      <w:r w:rsidRPr="00C55019">
        <w:rPr>
          <w:szCs w:val="22"/>
        </w:rPr>
        <w:t xml:space="preserve">Monthly return data of A-REITs are collected from </w:t>
      </w:r>
      <w:r w:rsidR="00A110FE">
        <w:rPr>
          <w:szCs w:val="22"/>
        </w:rPr>
        <w:t xml:space="preserve">the </w:t>
      </w:r>
      <w:r w:rsidRPr="00C55019">
        <w:rPr>
          <w:szCs w:val="22"/>
        </w:rPr>
        <w:t xml:space="preserve">Morningstar database for the sample period from January 2006 to December 2021. </w:t>
      </w:r>
      <w:r>
        <w:rPr>
          <w:szCs w:val="22"/>
        </w:rPr>
        <w:t>For the study, the</w:t>
      </w:r>
      <w:r w:rsidRPr="00C55019">
        <w:rPr>
          <w:szCs w:val="22"/>
        </w:rPr>
        <w:t xml:space="preserve"> monthly return</w:t>
      </w:r>
      <w:r>
        <w:rPr>
          <w:szCs w:val="22"/>
        </w:rPr>
        <w:t>s</w:t>
      </w:r>
      <w:r w:rsidRPr="00C55019">
        <w:rPr>
          <w:szCs w:val="22"/>
        </w:rPr>
        <w:t xml:space="preserve"> here is defined as monthly excess return, i.e., the difference between the monthly return of individual A-REIT and the monthly return of Commonwealth </w:t>
      </w:r>
      <w:r w:rsidRPr="00C55019">
        <w:rPr>
          <w:szCs w:val="22"/>
        </w:rPr>
        <w:lastRenderedPageBreak/>
        <w:t>Government Bonds (10 years maturity). The data of Yields on Commonwealth Government Bonds (10 years maturity) are obtained from</w:t>
      </w:r>
      <w:r w:rsidR="00BC1BAD">
        <w:rPr>
          <w:szCs w:val="22"/>
        </w:rPr>
        <w:t xml:space="preserve"> the</w:t>
      </w:r>
      <w:r w:rsidRPr="00C55019">
        <w:rPr>
          <w:szCs w:val="22"/>
        </w:rPr>
        <w:t xml:space="preserve"> Australian Bureau of Statistics. The data of market capitalisation and book value of A-REITs are collected from</w:t>
      </w:r>
      <w:r w:rsidR="00616CE6">
        <w:rPr>
          <w:szCs w:val="22"/>
        </w:rPr>
        <w:t xml:space="preserve"> the</w:t>
      </w:r>
      <w:r w:rsidRPr="00C55019">
        <w:rPr>
          <w:szCs w:val="22"/>
        </w:rPr>
        <w:t xml:space="preserve"> Refinitiv database, and used in the calculation of SMB and HML factors. Monthly data of Westpac Melbourne Institute Consumer Sentiment Index (WM Index) and ANZ-Roy Morgan </w:t>
      </w:r>
      <w:r w:rsidRPr="00BE54BA">
        <w:rPr>
          <w:szCs w:val="22"/>
        </w:rPr>
        <w:t xml:space="preserve">Consumer Confidence Index (AR Index) are obtained from the DataStream database. They are used as the proxies of investor sentiment </w:t>
      </w:r>
      <w:r w:rsidR="004D1A02" w:rsidRPr="00BE54BA">
        <w:rPr>
          <w:szCs w:val="22"/>
        </w:rPr>
        <w:t>in the</w:t>
      </w:r>
      <w:r w:rsidRPr="00BE54BA">
        <w:rPr>
          <w:szCs w:val="22"/>
        </w:rPr>
        <w:t xml:space="preserve"> A-REIT market.</w:t>
      </w:r>
      <w:r w:rsidRPr="00C55019">
        <w:rPr>
          <w:szCs w:val="22"/>
        </w:rPr>
        <w:t xml:space="preserve"> </w:t>
      </w:r>
    </w:p>
    <w:p w14:paraId="483FF4D1" w14:textId="77777777" w:rsidR="00182990" w:rsidRPr="00C55019" w:rsidRDefault="00182990" w:rsidP="00D3639B">
      <w:pPr>
        <w:rPr>
          <w:szCs w:val="22"/>
        </w:rPr>
      </w:pPr>
    </w:p>
    <w:p w14:paraId="589FD8C1" w14:textId="77777777" w:rsidR="00182990" w:rsidRPr="00C63BC0" w:rsidRDefault="00182990" w:rsidP="00FF7A0E">
      <w:pPr>
        <w:pStyle w:val="Heading2"/>
      </w:pPr>
      <w:r w:rsidRPr="00C63BC0">
        <w:t>4.3 Data Statistics</w:t>
      </w:r>
    </w:p>
    <w:p w14:paraId="074B545C" w14:textId="03175D14" w:rsidR="00182990" w:rsidRPr="00C55019" w:rsidRDefault="00182990" w:rsidP="00D3639B">
      <w:pPr>
        <w:rPr>
          <w:szCs w:val="22"/>
        </w:rPr>
      </w:pPr>
      <w:r w:rsidRPr="00C55019">
        <w:rPr>
          <w:szCs w:val="22"/>
        </w:rPr>
        <w:t xml:space="preserve">To construct the proxies of investor sentiment of A-REITs, this study collected the raw data of WM Index and AR Index, as Figure </w:t>
      </w:r>
      <w:r w:rsidR="00FA5D5E">
        <w:rPr>
          <w:szCs w:val="22"/>
        </w:rPr>
        <w:t xml:space="preserve">2 </w:t>
      </w:r>
      <w:r w:rsidRPr="00C55019">
        <w:rPr>
          <w:szCs w:val="22"/>
        </w:rPr>
        <w:t>shows. Both indices use relative values on a 100 basis as the indicators of consumer sentiment for each month. They show a generally similar trend, but the overall value of AR index (</w:t>
      </w:r>
      <w:r w:rsidR="009147BB">
        <w:rPr>
          <w:szCs w:val="22"/>
        </w:rPr>
        <w:t>red</w:t>
      </w:r>
      <w:r w:rsidRPr="00C55019">
        <w:rPr>
          <w:szCs w:val="22"/>
        </w:rPr>
        <w:t xml:space="preserve"> line) is 10 units higher than WM index in most time of this period. Two periods of sharp volatility occur</w:t>
      </w:r>
      <w:r w:rsidR="00EB2F11">
        <w:rPr>
          <w:szCs w:val="22"/>
        </w:rPr>
        <w:t>red</w:t>
      </w:r>
      <w:r w:rsidRPr="00C55019">
        <w:rPr>
          <w:szCs w:val="22"/>
        </w:rPr>
        <w:t xml:space="preserve"> between 2008-2010 and 2020-2021, which coincide with the timing of the global financial crisis and the COVID</w:t>
      </w:r>
      <w:r w:rsidR="008374BD">
        <w:rPr>
          <w:szCs w:val="22"/>
        </w:rPr>
        <w:t>-</w:t>
      </w:r>
      <w:r w:rsidRPr="00C55019">
        <w:rPr>
          <w:szCs w:val="22"/>
        </w:rPr>
        <w:t>19 epidemic.</w:t>
      </w:r>
    </w:p>
    <w:p w14:paraId="6FF004A4" w14:textId="77777777" w:rsidR="00182990" w:rsidRPr="00C55019" w:rsidRDefault="00182990" w:rsidP="00D3639B">
      <w:pPr>
        <w:rPr>
          <w:szCs w:val="22"/>
        </w:rPr>
      </w:pPr>
    </w:p>
    <w:p w14:paraId="5342EC70" w14:textId="77777777" w:rsidR="004C2795" w:rsidRDefault="00182990" w:rsidP="003E655C">
      <w:pPr>
        <w:keepNext/>
        <w:jc w:val="center"/>
      </w:pPr>
      <w:r>
        <w:rPr>
          <w:noProof/>
        </w:rPr>
        <w:drawing>
          <wp:inline distT="0" distB="0" distL="0" distR="0" wp14:anchorId="2F0D4C90" wp14:editId="0F35B4EC">
            <wp:extent cx="5094654" cy="1843564"/>
            <wp:effectExtent l="0" t="0" r="10795" b="10795"/>
            <wp:docPr id="1864762393" name="Chart 1">
              <a:extLst xmlns:a="http://schemas.openxmlformats.org/drawingml/2006/main">
                <a:ext uri="{FF2B5EF4-FFF2-40B4-BE49-F238E27FC236}">
                  <a16:creationId xmlns:a16="http://schemas.microsoft.com/office/drawing/2014/main" id="{68BE0716-E9DD-E6D4-E96B-79530D2A1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EF02C2" w14:textId="70EA8731" w:rsidR="00182990" w:rsidRDefault="004C2795" w:rsidP="004C2795">
      <w:pPr>
        <w:pStyle w:val="Caption"/>
      </w:pPr>
      <w:r>
        <w:t xml:space="preserve">Figure </w:t>
      </w:r>
      <w:fldSimple w:instr=" SEQ Figure \* ARABIC ">
        <w:r>
          <w:rPr>
            <w:noProof/>
          </w:rPr>
          <w:t>2</w:t>
        </w:r>
      </w:fldSimple>
      <w:r>
        <w:t xml:space="preserve"> </w:t>
      </w:r>
      <w:r w:rsidRPr="000D7F40">
        <w:t>Trends of WM Index and AR Index</w:t>
      </w:r>
    </w:p>
    <w:p w14:paraId="310A9A3B" w14:textId="77777777" w:rsidR="00182990" w:rsidRPr="00320CC7" w:rsidRDefault="00182990" w:rsidP="00E52D0C">
      <w:pPr>
        <w:pStyle w:val="BalloonText"/>
        <w:rPr>
          <w:rStyle w:val="SubtleReference"/>
        </w:rPr>
      </w:pPr>
      <w:r w:rsidRPr="00320CC7">
        <w:rPr>
          <w:rStyle w:val="SubtleReference"/>
        </w:rPr>
        <w:t>Source: Author (2023), data adopted from DataStream</w:t>
      </w:r>
    </w:p>
    <w:p w14:paraId="7ECBA4EB" w14:textId="77777777" w:rsidR="00182990" w:rsidRPr="00FE23AC" w:rsidRDefault="00182990" w:rsidP="00D3639B">
      <w:pPr>
        <w:rPr>
          <w:szCs w:val="22"/>
        </w:rPr>
      </w:pPr>
    </w:p>
    <w:p w14:paraId="6582C341" w14:textId="5E8BAFD5" w:rsidR="00182990" w:rsidRPr="00FE23AC" w:rsidRDefault="00182990" w:rsidP="00D3639B">
      <w:pPr>
        <w:rPr>
          <w:szCs w:val="22"/>
        </w:rPr>
      </w:pPr>
      <w:r w:rsidRPr="00FE23AC">
        <w:rPr>
          <w:szCs w:val="22"/>
        </w:rPr>
        <w:t xml:space="preserve">In order to minimise the impact caused by the differences between their statistical approaches of these two consumer sentiment indices, this study will use their monthly rates of change as the proxies for investor sentiment </w:t>
      </w:r>
      <w:r w:rsidRPr="00FF2AA7">
        <w:rPr>
          <w:szCs w:val="22"/>
        </w:rPr>
        <w:t xml:space="preserve">of </w:t>
      </w:r>
      <w:r w:rsidR="00FB14E7" w:rsidRPr="00FF2AA7">
        <w:rPr>
          <w:szCs w:val="22"/>
        </w:rPr>
        <w:t xml:space="preserve">the </w:t>
      </w:r>
      <w:r w:rsidRPr="00FF2AA7">
        <w:rPr>
          <w:szCs w:val="22"/>
        </w:rPr>
        <w:t>A-REIT market, calculated as follows</w:t>
      </w:r>
      <w:r w:rsidRPr="00FE23AC">
        <w:rPr>
          <w:szCs w:val="22"/>
        </w:rPr>
        <w:t xml:space="preserve">: </w:t>
      </w:r>
    </w:p>
    <w:p w14:paraId="6489866D" w14:textId="77777777" w:rsidR="00182990" w:rsidRPr="00FE23AC" w:rsidRDefault="00182990" w:rsidP="00D3639B">
      <w:pPr>
        <w:rPr>
          <w:szCs w:val="22"/>
        </w:rPr>
      </w:pPr>
    </w:p>
    <w:p w14:paraId="40D846F7" w14:textId="6A681BBA" w:rsidR="00182990" w:rsidRPr="00FE23AC" w:rsidRDefault="00000000" w:rsidP="00D3639B">
      <w:pPr>
        <w:rPr>
          <w:szCs w:val="22"/>
        </w:rPr>
      </w:pPr>
      <m:oMathPara>
        <m:oMath>
          <m:sSub>
            <m:sSubPr>
              <m:ctrlPr>
                <w:rPr>
                  <w:rFonts w:ascii="Cambria Math" w:hAnsi="Cambria Math"/>
                  <w:szCs w:val="22"/>
                </w:rPr>
              </m:ctrlPr>
            </m:sSubPr>
            <m:e>
              <m:r>
                <w:rPr>
                  <w:rFonts w:ascii="Cambria Math" w:hAnsi="Cambria Math"/>
                  <w:szCs w:val="22"/>
                </w:rPr>
                <m:t>Sent</m:t>
              </m:r>
            </m:e>
            <m:sub>
              <m:r>
                <w:rPr>
                  <w:rFonts w:ascii="Cambria Math" w:hAnsi="Cambria Math"/>
                  <w:szCs w:val="22"/>
                </w:rPr>
                <m:t>ind</m:t>
              </m:r>
              <m:r>
                <m:rPr>
                  <m:sty m:val="p"/>
                </m:rPr>
                <w:rPr>
                  <w:rFonts w:ascii="Cambria Math" w:hAnsi="Cambria Math"/>
                  <w:szCs w:val="22"/>
                </w:rPr>
                <m:t>.</m:t>
              </m:r>
              <m:r>
                <w:rPr>
                  <w:rFonts w:ascii="Cambria Math" w:hAnsi="Cambria Math"/>
                  <w:szCs w:val="22"/>
                </w:rPr>
                <m:t>t</m:t>
              </m:r>
            </m:sub>
          </m:sSub>
          <m:r>
            <m:rPr>
              <m:sty m:val="p"/>
            </m:rPr>
            <w:rPr>
              <w:rFonts w:ascii="Cambria Math" w:hAnsi="Cambria Math"/>
              <w:szCs w:val="22"/>
            </w:rPr>
            <m:t>=</m:t>
          </m:r>
          <m:f>
            <m:fPr>
              <m:ctrlPr>
                <w:rPr>
                  <w:rFonts w:ascii="Cambria Math" w:hAnsi="Cambria Math"/>
                  <w:szCs w:val="22"/>
                </w:rPr>
              </m:ctrlPr>
            </m:fPr>
            <m:num>
              <m:sSub>
                <m:sSubPr>
                  <m:ctrlPr>
                    <w:rPr>
                      <w:rFonts w:ascii="Cambria Math" w:hAnsi="Cambria Math"/>
                      <w:szCs w:val="22"/>
                    </w:rPr>
                  </m:ctrlPr>
                </m:sSubPr>
                <m:e>
                  <m:r>
                    <w:rPr>
                      <w:rFonts w:ascii="Cambria Math" w:hAnsi="Cambria Math"/>
                      <w:szCs w:val="22"/>
                    </w:rPr>
                    <m:t>Index</m:t>
                  </m:r>
                </m:e>
                <m:sub>
                  <m:r>
                    <w:rPr>
                      <w:rFonts w:ascii="Cambria Math" w:hAnsi="Cambria Math"/>
                      <w:szCs w:val="22"/>
                    </w:rPr>
                    <m:t>t</m:t>
                  </m:r>
                </m:sub>
              </m:sSub>
              <m:r>
                <m:rPr>
                  <m:sty m:val="p"/>
                </m:rPr>
                <w:rPr>
                  <w:rFonts w:ascii="Cambria Math" w:hAnsi="Cambria Math"/>
                  <w:szCs w:val="22"/>
                </w:rPr>
                <m:t>-</m:t>
              </m:r>
              <m:sSub>
                <m:sSubPr>
                  <m:ctrlPr>
                    <w:rPr>
                      <w:rFonts w:ascii="Cambria Math" w:hAnsi="Cambria Math"/>
                      <w:szCs w:val="22"/>
                    </w:rPr>
                  </m:ctrlPr>
                </m:sSubPr>
                <m:e>
                  <m:r>
                    <w:rPr>
                      <w:rFonts w:ascii="Cambria Math" w:hAnsi="Cambria Math"/>
                      <w:szCs w:val="22"/>
                    </w:rPr>
                    <m:t>Index</m:t>
                  </m:r>
                </m:e>
                <m:sub>
                  <m:r>
                    <w:rPr>
                      <w:rFonts w:ascii="Cambria Math" w:hAnsi="Cambria Math"/>
                      <w:szCs w:val="22"/>
                    </w:rPr>
                    <m:t>t</m:t>
                  </m:r>
                  <m:r>
                    <m:rPr>
                      <m:sty m:val="p"/>
                    </m:rPr>
                    <w:rPr>
                      <w:rFonts w:ascii="Cambria Math" w:hAnsi="Cambria Math"/>
                      <w:szCs w:val="22"/>
                    </w:rPr>
                    <m:t>-1</m:t>
                  </m:r>
                </m:sub>
              </m:sSub>
            </m:num>
            <m:den>
              <m:sSub>
                <m:sSubPr>
                  <m:ctrlPr>
                    <w:rPr>
                      <w:rFonts w:ascii="Cambria Math" w:hAnsi="Cambria Math"/>
                      <w:szCs w:val="22"/>
                    </w:rPr>
                  </m:ctrlPr>
                </m:sSubPr>
                <m:e>
                  <m:r>
                    <w:rPr>
                      <w:rFonts w:ascii="Cambria Math" w:hAnsi="Cambria Math"/>
                      <w:szCs w:val="22"/>
                    </w:rPr>
                    <m:t>Index</m:t>
                  </m:r>
                </m:e>
                <m:sub>
                  <m:r>
                    <w:rPr>
                      <w:rFonts w:ascii="Cambria Math" w:hAnsi="Cambria Math"/>
                      <w:szCs w:val="22"/>
                    </w:rPr>
                    <m:t>t</m:t>
                  </m:r>
                  <m:r>
                    <m:rPr>
                      <m:sty m:val="p"/>
                    </m:rPr>
                    <w:rPr>
                      <w:rFonts w:ascii="Cambria Math" w:hAnsi="Cambria Math"/>
                      <w:szCs w:val="22"/>
                    </w:rPr>
                    <m:t>-1</m:t>
                  </m:r>
                </m:sub>
              </m:sSub>
            </m:den>
          </m:f>
        </m:oMath>
      </m:oMathPara>
    </w:p>
    <w:p w14:paraId="442744C0" w14:textId="77777777" w:rsidR="00182990" w:rsidRPr="00FE23AC" w:rsidRDefault="00182990" w:rsidP="00D3639B">
      <w:pPr>
        <w:rPr>
          <w:szCs w:val="22"/>
        </w:rPr>
      </w:pPr>
      <w:r w:rsidRPr="00FE23AC">
        <w:rPr>
          <w:szCs w:val="22"/>
        </w:rPr>
        <w:t xml:space="preserve">where: </w:t>
      </w:r>
    </w:p>
    <w:p w14:paraId="31855D7B" w14:textId="77777777" w:rsidR="00182990" w:rsidRPr="00FE23AC" w:rsidRDefault="00000000" w:rsidP="00D3639B">
      <w:pPr>
        <w:rPr>
          <w:szCs w:val="22"/>
        </w:rPr>
      </w:pPr>
      <m:oMath>
        <m:sSub>
          <m:sSubPr>
            <m:ctrlPr>
              <w:rPr>
                <w:rFonts w:ascii="Cambria Math" w:hAnsi="Cambria Math"/>
                <w:szCs w:val="22"/>
              </w:rPr>
            </m:ctrlPr>
          </m:sSubPr>
          <m:e>
            <m:r>
              <w:rPr>
                <w:rFonts w:ascii="Cambria Math" w:hAnsi="Cambria Math"/>
                <w:szCs w:val="22"/>
              </w:rPr>
              <m:t>Sent</m:t>
            </m:r>
          </m:e>
          <m:sub>
            <m:r>
              <w:rPr>
                <w:rFonts w:ascii="Cambria Math" w:hAnsi="Cambria Math"/>
                <w:szCs w:val="22"/>
              </w:rPr>
              <m:t>ind</m:t>
            </m:r>
            <m:r>
              <m:rPr>
                <m:sty m:val="p"/>
              </m:rPr>
              <w:rPr>
                <w:rFonts w:ascii="Cambria Math" w:hAnsi="Cambria Math"/>
                <w:szCs w:val="22"/>
              </w:rPr>
              <m:t>.</m:t>
            </m:r>
            <m:r>
              <w:rPr>
                <w:rFonts w:ascii="Cambria Math" w:hAnsi="Cambria Math"/>
                <w:szCs w:val="22"/>
              </w:rPr>
              <m:t>t</m:t>
            </m:r>
          </m:sub>
        </m:sSub>
      </m:oMath>
      <w:r w:rsidR="00182990" w:rsidRPr="00FE23AC">
        <w:rPr>
          <w:szCs w:val="22"/>
        </w:rPr>
        <w:t xml:space="preserve"> is the monthly sentiment proxy of A-REITs investors in month </w:t>
      </w:r>
      <m:oMath>
        <m:r>
          <w:rPr>
            <w:rFonts w:ascii="Cambria Math" w:hAnsi="Cambria Math"/>
            <w:szCs w:val="22"/>
          </w:rPr>
          <m:t>t</m:t>
        </m:r>
      </m:oMath>
      <w:r w:rsidR="00182990" w:rsidRPr="00FE23AC">
        <w:rPr>
          <w:szCs w:val="22"/>
        </w:rPr>
        <w:t xml:space="preserve">; </w:t>
      </w:r>
    </w:p>
    <w:p w14:paraId="64600874" w14:textId="77777777" w:rsidR="00182990" w:rsidRPr="00FE23AC" w:rsidRDefault="00000000" w:rsidP="00D3639B">
      <w:pPr>
        <w:rPr>
          <w:szCs w:val="22"/>
        </w:rPr>
      </w:pPr>
      <m:oMath>
        <m:sSub>
          <m:sSubPr>
            <m:ctrlPr>
              <w:rPr>
                <w:rFonts w:ascii="Cambria Math" w:hAnsi="Cambria Math"/>
                <w:i/>
                <w:szCs w:val="22"/>
              </w:rPr>
            </m:ctrlPr>
          </m:sSubPr>
          <m:e>
            <m:r>
              <w:rPr>
                <w:rFonts w:ascii="Cambria Math" w:hAnsi="Cambria Math"/>
                <w:szCs w:val="22"/>
              </w:rPr>
              <m:t>Index</m:t>
            </m:r>
          </m:e>
          <m:sub>
            <m:r>
              <w:rPr>
                <w:rFonts w:ascii="Cambria Math" w:hAnsi="Cambria Math"/>
                <w:szCs w:val="22"/>
              </w:rPr>
              <m:t>t</m:t>
            </m:r>
          </m:sub>
        </m:sSub>
      </m:oMath>
      <w:r w:rsidR="00182990" w:rsidRPr="00FE23AC">
        <w:rPr>
          <w:szCs w:val="22"/>
        </w:rPr>
        <w:t xml:space="preserve"> and </w:t>
      </w:r>
      <m:oMath>
        <m:sSub>
          <m:sSubPr>
            <m:ctrlPr>
              <w:rPr>
                <w:rFonts w:ascii="Cambria Math" w:hAnsi="Cambria Math"/>
                <w:i/>
                <w:szCs w:val="22"/>
              </w:rPr>
            </m:ctrlPr>
          </m:sSubPr>
          <m:e>
            <m:r>
              <w:rPr>
                <w:rFonts w:ascii="Cambria Math" w:hAnsi="Cambria Math"/>
                <w:szCs w:val="22"/>
              </w:rPr>
              <m:t>Index</m:t>
            </m:r>
          </m:e>
          <m:sub>
            <m:r>
              <w:rPr>
                <w:rFonts w:ascii="Cambria Math" w:hAnsi="Cambria Math"/>
                <w:szCs w:val="22"/>
              </w:rPr>
              <m:t>t-1</m:t>
            </m:r>
          </m:sub>
        </m:sSub>
      </m:oMath>
      <w:r w:rsidR="00182990" w:rsidRPr="00FE23AC">
        <w:rPr>
          <w:szCs w:val="22"/>
        </w:rPr>
        <w:t xml:space="preserve"> are the values of WM Index or AR Index in month </w:t>
      </w:r>
      <m:oMath>
        <m:r>
          <w:rPr>
            <w:rFonts w:ascii="Cambria Math" w:hAnsi="Cambria Math"/>
            <w:szCs w:val="22"/>
          </w:rPr>
          <m:t>t</m:t>
        </m:r>
      </m:oMath>
      <w:r w:rsidR="00182990" w:rsidRPr="00FE23AC">
        <w:rPr>
          <w:szCs w:val="22"/>
        </w:rPr>
        <w:t xml:space="preserve"> and </w:t>
      </w:r>
      <m:oMath>
        <m:r>
          <w:rPr>
            <w:rFonts w:ascii="Cambria Math" w:hAnsi="Cambria Math"/>
            <w:szCs w:val="22"/>
          </w:rPr>
          <m:t>t-1</m:t>
        </m:r>
      </m:oMath>
      <w:r w:rsidR="00182990" w:rsidRPr="00FE23AC">
        <w:rPr>
          <w:szCs w:val="22"/>
        </w:rPr>
        <w:t xml:space="preserve">, respectively. </w:t>
      </w:r>
    </w:p>
    <w:p w14:paraId="53314300" w14:textId="77777777" w:rsidR="00182990" w:rsidRPr="00FE23AC" w:rsidRDefault="00182990" w:rsidP="00D3639B">
      <w:pPr>
        <w:rPr>
          <w:szCs w:val="22"/>
        </w:rPr>
      </w:pPr>
    </w:p>
    <w:p w14:paraId="23E43051" w14:textId="51813BD9" w:rsidR="00182990" w:rsidRPr="00FE23AC" w:rsidRDefault="00FE2357" w:rsidP="00D3639B">
      <w:pPr>
        <w:rPr>
          <w:szCs w:val="22"/>
        </w:rPr>
      </w:pPr>
      <w:r>
        <w:rPr>
          <w:szCs w:val="22"/>
        </w:rPr>
        <w:t>Table 3</w:t>
      </w:r>
      <w:r w:rsidR="00182990" w:rsidRPr="00FE23AC">
        <w:rPr>
          <w:szCs w:val="22"/>
        </w:rPr>
        <w:t xml:space="preserve"> shows the descriptive statistics of the sentiment proxies of A-REITs investors. Both </w:t>
      </w:r>
      <w:bookmarkStart w:id="22" w:name="OLE_LINK282"/>
      <w:r w:rsidR="00182990" w:rsidRPr="00FE23AC">
        <w:rPr>
          <w:szCs w:val="22"/>
        </w:rPr>
        <w:t xml:space="preserve">WM Index and AR Index </w:t>
      </w:r>
      <w:bookmarkEnd w:id="22"/>
      <w:r w:rsidR="00182990" w:rsidRPr="00FE23AC">
        <w:rPr>
          <w:szCs w:val="22"/>
        </w:rPr>
        <w:t>have 192 monthly change rates, which cover</w:t>
      </w:r>
      <w:r w:rsidR="001B3618">
        <w:rPr>
          <w:szCs w:val="22"/>
        </w:rPr>
        <w:t>ed</w:t>
      </w:r>
      <w:r w:rsidR="00182990" w:rsidRPr="00FE23AC">
        <w:rPr>
          <w:szCs w:val="22"/>
        </w:rPr>
        <w:t xml:space="preserve"> the required sample period. WM index has a mean of 0.1440%, with a standard deviation of 5.2170. Its maximum and minimum values are 18.00% and -17.73%, respectively. AR index has a mean of 0.0298%, with a standard deviation of 3.8990. Its maximum and minimum values are 16.04% and -18.36%, respectively. Based on their standard deviation, it can be seen that the monthly change rate of WM Index (blue line) is more dispersed and more volatile, which is in line with their trends chart, as Figure </w:t>
      </w:r>
      <w:r w:rsidR="00AA0626">
        <w:rPr>
          <w:szCs w:val="22"/>
        </w:rPr>
        <w:t>3</w:t>
      </w:r>
      <w:r w:rsidR="00182990" w:rsidRPr="00FE23AC">
        <w:rPr>
          <w:szCs w:val="22"/>
        </w:rPr>
        <w:t xml:space="preserve"> shows. </w:t>
      </w:r>
    </w:p>
    <w:p w14:paraId="041E5AB0" w14:textId="77777777" w:rsidR="00182990" w:rsidRPr="00FE23AC" w:rsidRDefault="00182990" w:rsidP="00D3639B">
      <w:pPr>
        <w:rPr>
          <w:szCs w:val="22"/>
        </w:rPr>
      </w:pPr>
    </w:p>
    <w:p w14:paraId="5212A9CB" w14:textId="24A7E1DF" w:rsidR="0038231A" w:rsidRDefault="0038231A" w:rsidP="0038231A">
      <w:pPr>
        <w:pStyle w:val="Caption"/>
        <w:keepNext/>
      </w:pPr>
      <w:r>
        <w:lastRenderedPageBreak/>
        <w:t xml:space="preserve">Table </w:t>
      </w:r>
      <w:fldSimple w:instr=" SEQ Table \* ARABIC ">
        <w:r w:rsidR="00075F85">
          <w:rPr>
            <w:noProof/>
          </w:rPr>
          <w:t>3</w:t>
        </w:r>
      </w:fldSimple>
      <w:r>
        <w:t xml:space="preserve"> Summary of Investor Sentiment Proxies</w:t>
      </w:r>
    </w:p>
    <w:tbl>
      <w:tblPr>
        <w:tblW w:w="7517" w:type="dxa"/>
        <w:jc w:val="center"/>
        <w:tblLook w:val="04A0" w:firstRow="1" w:lastRow="0" w:firstColumn="1" w:lastColumn="0" w:noHBand="0" w:noVBand="1"/>
      </w:tblPr>
      <w:tblGrid>
        <w:gridCol w:w="1277"/>
        <w:gridCol w:w="1040"/>
        <w:gridCol w:w="1300"/>
        <w:gridCol w:w="1300"/>
        <w:gridCol w:w="1300"/>
        <w:gridCol w:w="1300"/>
      </w:tblGrid>
      <w:tr w:rsidR="005D7943" w:rsidRPr="005D7943" w14:paraId="78BC4FCA" w14:textId="77777777" w:rsidTr="00F4568A">
        <w:trPr>
          <w:trHeight w:val="260"/>
          <w:jc w:val="center"/>
        </w:trPr>
        <w:tc>
          <w:tcPr>
            <w:tcW w:w="1277" w:type="dxa"/>
            <w:tcBorders>
              <w:top w:val="single" w:sz="4" w:space="0" w:color="000000"/>
              <w:left w:val="nil"/>
              <w:bottom w:val="nil"/>
              <w:right w:val="nil"/>
            </w:tcBorders>
            <w:shd w:val="clear" w:color="auto" w:fill="auto"/>
            <w:noWrap/>
            <w:vAlign w:val="bottom"/>
            <w:hideMark/>
          </w:tcPr>
          <w:p w14:paraId="0E078E5A" w14:textId="77777777" w:rsidR="005D7943" w:rsidRPr="005D7943" w:rsidRDefault="005D7943" w:rsidP="005D7943">
            <w:pPr>
              <w:spacing w:before="0" w:after="0"/>
              <w:jc w:val="left"/>
              <w:rPr>
                <w:sz w:val="18"/>
                <w:szCs w:val="18"/>
                <w:lang w:eastAsia="zh-CN"/>
              </w:rPr>
            </w:pPr>
            <w:r w:rsidRPr="005D7943">
              <w:rPr>
                <w:sz w:val="18"/>
                <w:szCs w:val="18"/>
                <w:lang w:eastAsia="zh-CN"/>
              </w:rPr>
              <w:t>Variable</w:t>
            </w:r>
          </w:p>
        </w:tc>
        <w:tc>
          <w:tcPr>
            <w:tcW w:w="1040" w:type="dxa"/>
            <w:tcBorders>
              <w:top w:val="single" w:sz="4" w:space="0" w:color="000000"/>
              <w:left w:val="nil"/>
              <w:bottom w:val="nil"/>
              <w:right w:val="nil"/>
            </w:tcBorders>
            <w:shd w:val="clear" w:color="auto" w:fill="auto"/>
            <w:noWrap/>
            <w:vAlign w:val="bottom"/>
            <w:hideMark/>
          </w:tcPr>
          <w:p w14:paraId="52ECCEF0" w14:textId="77777777" w:rsidR="005D7943" w:rsidRPr="005D7943" w:rsidRDefault="005D7943" w:rsidP="005D7943">
            <w:pPr>
              <w:spacing w:before="0" w:after="0"/>
              <w:jc w:val="center"/>
              <w:rPr>
                <w:sz w:val="18"/>
                <w:szCs w:val="18"/>
                <w:lang w:eastAsia="zh-CN"/>
              </w:rPr>
            </w:pPr>
            <w:r w:rsidRPr="005D7943">
              <w:rPr>
                <w:sz w:val="18"/>
                <w:szCs w:val="18"/>
                <w:lang w:eastAsia="zh-CN"/>
              </w:rPr>
              <w:t>N</w:t>
            </w:r>
          </w:p>
        </w:tc>
        <w:tc>
          <w:tcPr>
            <w:tcW w:w="1300" w:type="dxa"/>
            <w:tcBorders>
              <w:top w:val="single" w:sz="4" w:space="0" w:color="000000"/>
              <w:left w:val="nil"/>
              <w:bottom w:val="nil"/>
              <w:right w:val="nil"/>
            </w:tcBorders>
            <w:shd w:val="clear" w:color="auto" w:fill="auto"/>
            <w:noWrap/>
            <w:vAlign w:val="bottom"/>
            <w:hideMark/>
          </w:tcPr>
          <w:p w14:paraId="61CBA886" w14:textId="77777777" w:rsidR="005D7943" w:rsidRPr="005D7943" w:rsidRDefault="005D7943" w:rsidP="005D7943">
            <w:pPr>
              <w:spacing w:before="0" w:after="0"/>
              <w:jc w:val="center"/>
              <w:rPr>
                <w:sz w:val="18"/>
                <w:szCs w:val="18"/>
                <w:lang w:eastAsia="zh-CN"/>
              </w:rPr>
            </w:pPr>
            <w:r w:rsidRPr="005D7943">
              <w:rPr>
                <w:sz w:val="18"/>
                <w:szCs w:val="18"/>
                <w:lang w:eastAsia="zh-CN"/>
              </w:rPr>
              <w:t>Mean</w:t>
            </w:r>
          </w:p>
        </w:tc>
        <w:tc>
          <w:tcPr>
            <w:tcW w:w="1300" w:type="dxa"/>
            <w:tcBorders>
              <w:top w:val="single" w:sz="4" w:space="0" w:color="000000"/>
              <w:left w:val="nil"/>
              <w:bottom w:val="nil"/>
              <w:right w:val="nil"/>
            </w:tcBorders>
            <w:shd w:val="clear" w:color="auto" w:fill="auto"/>
            <w:noWrap/>
            <w:vAlign w:val="bottom"/>
            <w:hideMark/>
          </w:tcPr>
          <w:p w14:paraId="5D0D06A0" w14:textId="77777777" w:rsidR="005D7943" w:rsidRPr="005D7943" w:rsidRDefault="005D7943" w:rsidP="005D7943">
            <w:pPr>
              <w:spacing w:before="0" w:after="0"/>
              <w:jc w:val="center"/>
              <w:rPr>
                <w:sz w:val="18"/>
                <w:szCs w:val="18"/>
                <w:lang w:eastAsia="zh-CN"/>
              </w:rPr>
            </w:pPr>
            <w:r w:rsidRPr="005D7943">
              <w:rPr>
                <w:sz w:val="18"/>
                <w:szCs w:val="18"/>
                <w:lang w:eastAsia="zh-CN"/>
              </w:rPr>
              <w:t>SD</w:t>
            </w:r>
          </w:p>
        </w:tc>
        <w:tc>
          <w:tcPr>
            <w:tcW w:w="1300" w:type="dxa"/>
            <w:tcBorders>
              <w:top w:val="single" w:sz="4" w:space="0" w:color="000000"/>
              <w:left w:val="nil"/>
              <w:bottom w:val="nil"/>
              <w:right w:val="nil"/>
            </w:tcBorders>
            <w:shd w:val="clear" w:color="auto" w:fill="auto"/>
            <w:noWrap/>
            <w:vAlign w:val="bottom"/>
            <w:hideMark/>
          </w:tcPr>
          <w:p w14:paraId="57C4222F" w14:textId="77777777" w:rsidR="005D7943" w:rsidRPr="005D7943" w:rsidRDefault="005D7943" w:rsidP="005D7943">
            <w:pPr>
              <w:spacing w:before="0" w:after="0"/>
              <w:jc w:val="center"/>
              <w:rPr>
                <w:sz w:val="18"/>
                <w:szCs w:val="18"/>
                <w:lang w:eastAsia="zh-CN"/>
              </w:rPr>
            </w:pPr>
            <w:r w:rsidRPr="005D7943">
              <w:rPr>
                <w:sz w:val="18"/>
                <w:szCs w:val="18"/>
                <w:lang w:eastAsia="zh-CN"/>
              </w:rPr>
              <w:t>Min</w:t>
            </w:r>
          </w:p>
        </w:tc>
        <w:tc>
          <w:tcPr>
            <w:tcW w:w="1300" w:type="dxa"/>
            <w:tcBorders>
              <w:top w:val="single" w:sz="4" w:space="0" w:color="000000"/>
              <w:left w:val="nil"/>
              <w:bottom w:val="nil"/>
              <w:right w:val="nil"/>
            </w:tcBorders>
            <w:shd w:val="clear" w:color="auto" w:fill="auto"/>
            <w:noWrap/>
            <w:vAlign w:val="bottom"/>
            <w:hideMark/>
          </w:tcPr>
          <w:p w14:paraId="1A603ACB" w14:textId="77777777" w:rsidR="005D7943" w:rsidRPr="005D7943" w:rsidRDefault="005D7943" w:rsidP="005D7943">
            <w:pPr>
              <w:spacing w:before="0" w:after="0"/>
              <w:jc w:val="center"/>
              <w:rPr>
                <w:sz w:val="18"/>
                <w:szCs w:val="18"/>
                <w:lang w:eastAsia="zh-CN"/>
              </w:rPr>
            </w:pPr>
            <w:r w:rsidRPr="005D7943">
              <w:rPr>
                <w:sz w:val="18"/>
                <w:szCs w:val="18"/>
                <w:lang w:eastAsia="zh-CN"/>
              </w:rPr>
              <w:t>Max</w:t>
            </w:r>
          </w:p>
        </w:tc>
      </w:tr>
      <w:tr w:rsidR="005D7943" w:rsidRPr="005D7943" w14:paraId="39AD3E14" w14:textId="77777777" w:rsidTr="00F4568A">
        <w:trPr>
          <w:trHeight w:val="260"/>
          <w:jc w:val="center"/>
        </w:trPr>
        <w:tc>
          <w:tcPr>
            <w:tcW w:w="1277" w:type="dxa"/>
            <w:tcBorders>
              <w:top w:val="single" w:sz="4" w:space="0" w:color="000000"/>
              <w:left w:val="nil"/>
              <w:bottom w:val="nil"/>
              <w:right w:val="nil"/>
            </w:tcBorders>
            <w:shd w:val="clear" w:color="auto" w:fill="auto"/>
            <w:noWrap/>
            <w:vAlign w:val="bottom"/>
            <w:hideMark/>
          </w:tcPr>
          <w:p w14:paraId="6B4DF49D" w14:textId="77777777" w:rsidR="005D7943" w:rsidRPr="005D7943" w:rsidRDefault="005D7943" w:rsidP="005D7943">
            <w:pPr>
              <w:spacing w:before="0" w:after="0"/>
              <w:jc w:val="left"/>
              <w:rPr>
                <w:sz w:val="18"/>
                <w:szCs w:val="18"/>
                <w:lang w:eastAsia="zh-CN"/>
              </w:rPr>
            </w:pPr>
            <w:r w:rsidRPr="005D7943">
              <w:rPr>
                <w:sz w:val="18"/>
                <w:szCs w:val="18"/>
                <w:lang w:eastAsia="zh-CN"/>
              </w:rPr>
              <w:t>WM Index</w:t>
            </w:r>
          </w:p>
        </w:tc>
        <w:tc>
          <w:tcPr>
            <w:tcW w:w="1040" w:type="dxa"/>
            <w:tcBorders>
              <w:top w:val="single" w:sz="4" w:space="0" w:color="000000"/>
              <w:left w:val="nil"/>
              <w:bottom w:val="nil"/>
              <w:right w:val="nil"/>
            </w:tcBorders>
            <w:shd w:val="clear" w:color="auto" w:fill="auto"/>
            <w:noWrap/>
            <w:vAlign w:val="bottom"/>
            <w:hideMark/>
          </w:tcPr>
          <w:p w14:paraId="28AE0B05" w14:textId="77777777" w:rsidR="005D7943" w:rsidRPr="005D7943" w:rsidRDefault="005D7943" w:rsidP="005D7943">
            <w:pPr>
              <w:spacing w:before="0" w:after="0"/>
              <w:jc w:val="center"/>
              <w:rPr>
                <w:sz w:val="18"/>
                <w:szCs w:val="18"/>
                <w:lang w:eastAsia="zh-CN"/>
              </w:rPr>
            </w:pPr>
            <w:r w:rsidRPr="005D7943">
              <w:rPr>
                <w:sz w:val="18"/>
                <w:szCs w:val="18"/>
                <w:lang w:eastAsia="zh-CN"/>
              </w:rPr>
              <w:t>192</w:t>
            </w:r>
          </w:p>
        </w:tc>
        <w:tc>
          <w:tcPr>
            <w:tcW w:w="1300" w:type="dxa"/>
            <w:tcBorders>
              <w:top w:val="single" w:sz="4" w:space="0" w:color="000000"/>
              <w:left w:val="nil"/>
              <w:bottom w:val="nil"/>
              <w:right w:val="nil"/>
            </w:tcBorders>
            <w:shd w:val="clear" w:color="auto" w:fill="auto"/>
            <w:noWrap/>
            <w:vAlign w:val="bottom"/>
            <w:hideMark/>
          </w:tcPr>
          <w:p w14:paraId="37E98C85" w14:textId="77777777" w:rsidR="005D7943" w:rsidRPr="005D7943" w:rsidRDefault="005D7943" w:rsidP="005D7943">
            <w:pPr>
              <w:spacing w:before="0" w:after="0"/>
              <w:jc w:val="center"/>
              <w:rPr>
                <w:sz w:val="18"/>
                <w:szCs w:val="18"/>
                <w:lang w:eastAsia="zh-CN"/>
              </w:rPr>
            </w:pPr>
            <w:r w:rsidRPr="005D7943">
              <w:rPr>
                <w:sz w:val="18"/>
                <w:szCs w:val="18"/>
                <w:lang w:eastAsia="zh-CN"/>
              </w:rPr>
              <w:t>0.1440</w:t>
            </w:r>
          </w:p>
        </w:tc>
        <w:tc>
          <w:tcPr>
            <w:tcW w:w="1300" w:type="dxa"/>
            <w:tcBorders>
              <w:top w:val="single" w:sz="4" w:space="0" w:color="000000"/>
              <w:left w:val="nil"/>
              <w:bottom w:val="nil"/>
              <w:right w:val="nil"/>
            </w:tcBorders>
            <w:shd w:val="clear" w:color="auto" w:fill="auto"/>
            <w:noWrap/>
            <w:vAlign w:val="bottom"/>
            <w:hideMark/>
          </w:tcPr>
          <w:p w14:paraId="15C08BA8" w14:textId="77777777" w:rsidR="005D7943" w:rsidRPr="005D7943" w:rsidRDefault="005D7943" w:rsidP="005D7943">
            <w:pPr>
              <w:spacing w:before="0" w:after="0"/>
              <w:jc w:val="center"/>
              <w:rPr>
                <w:sz w:val="18"/>
                <w:szCs w:val="18"/>
                <w:lang w:eastAsia="zh-CN"/>
              </w:rPr>
            </w:pPr>
            <w:r w:rsidRPr="005D7943">
              <w:rPr>
                <w:sz w:val="18"/>
                <w:szCs w:val="18"/>
                <w:lang w:eastAsia="zh-CN"/>
              </w:rPr>
              <w:t>5.2170</w:t>
            </w:r>
          </w:p>
        </w:tc>
        <w:tc>
          <w:tcPr>
            <w:tcW w:w="1300" w:type="dxa"/>
            <w:tcBorders>
              <w:top w:val="single" w:sz="4" w:space="0" w:color="000000"/>
              <w:left w:val="nil"/>
              <w:bottom w:val="nil"/>
              <w:right w:val="nil"/>
            </w:tcBorders>
            <w:shd w:val="clear" w:color="auto" w:fill="auto"/>
            <w:noWrap/>
            <w:vAlign w:val="bottom"/>
            <w:hideMark/>
          </w:tcPr>
          <w:p w14:paraId="16BA6E7F" w14:textId="77777777" w:rsidR="005D7943" w:rsidRPr="005D7943" w:rsidRDefault="005D7943" w:rsidP="005D7943">
            <w:pPr>
              <w:spacing w:before="0" w:after="0"/>
              <w:jc w:val="center"/>
              <w:rPr>
                <w:sz w:val="18"/>
                <w:szCs w:val="18"/>
                <w:lang w:eastAsia="zh-CN"/>
              </w:rPr>
            </w:pPr>
            <w:r w:rsidRPr="005D7943">
              <w:rPr>
                <w:sz w:val="18"/>
                <w:szCs w:val="18"/>
                <w:lang w:eastAsia="zh-CN"/>
              </w:rPr>
              <w:t>-17.7300</w:t>
            </w:r>
          </w:p>
        </w:tc>
        <w:tc>
          <w:tcPr>
            <w:tcW w:w="1300" w:type="dxa"/>
            <w:tcBorders>
              <w:top w:val="single" w:sz="4" w:space="0" w:color="000000"/>
              <w:left w:val="nil"/>
              <w:bottom w:val="nil"/>
              <w:right w:val="nil"/>
            </w:tcBorders>
            <w:shd w:val="clear" w:color="auto" w:fill="auto"/>
            <w:noWrap/>
            <w:vAlign w:val="bottom"/>
            <w:hideMark/>
          </w:tcPr>
          <w:p w14:paraId="092DB609" w14:textId="77777777" w:rsidR="005D7943" w:rsidRPr="005D7943" w:rsidRDefault="005D7943" w:rsidP="005D7943">
            <w:pPr>
              <w:spacing w:before="0" w:after="0"/>
              <w:jc w:val="center"/>
              <w:rPr>
                <w:sz w:val="18"/>
                <w:szCs w:val="18"/>
                <w:lang w:eastAsia="zh-CN"/>
              </w:rPr>
            </w:pPr>
            <w:r w:rsidRPr="005D7943">
              <w:rPr>
                <w:sz w:val="18"/>
                <w:szCs w:val="18"/>
                <w:lang w:eastAsia="zh-CN"/>
              </w:rPr>
              <w:t>18.0000</w:t>
            </w:r>
          </w:p>
        </w:tc>
      </w:tr>
      <w:tr w:rsidR="005D7943" w:rsidRPr="005D7943" w14:paraId="21A1E650" w14:textId="77777777" w:rsidTr="00F4568A">
        <w:trPr>
          <w:trHeight w:val="260"/>
          <w:jc w:val="center"/>
        </w:trPr>
        <w:tc>
          <w:tcPr>
            <w:tcW w:w="1277" w:type="dxa"/>
            <w:tcBorders>
              <w:top w:val="nil"/>
              <w:left w:val="nil"/>
              <w:bottom w:val="single" w:sz="4" w:space="0" w:color="000000"/>
              <w:right w:val="nil"/>
            </w:tcBorders>
            <w:shd w:val="clear" w:color="auto" w:fill="auto"/>
            <w:noWrap/>
            <w:vAlign w:val="bottom"/>
            <w:hideMark/>
          </w:tcPr>
          <w:p w14:paraId="463351B1" w14:textId="77777777" w:rsidR="005D7943" w:rsidRPr="005D7943" w:rsidRDefault="005D7943" w:rsidP="005D7943">
            <w:pPr>
              <w:spacing w:before="0" w:after="0"/>
              <w:jc w:val="left"/>
              <w:rPr>
                <w:sz w:val="18"/>
                <w:szCs w:val="18"/>
                <w:lang w:eastAsia="zh-CN"/>
              </w:rPr>
            </w:pPr>
            <w:r w:rsidRPr="005D7943">
              <w:rPr>
                <w:sz w:val="18"/>
                <w:szCs w:val="18"/>
                <w:lang w:eastAsia="zh-CN"/>
              </w:rPr>
              <w:t>AR Index</w:t>
            </w:r>
          </w:p>
        </w:tc>
        <w:tc>
          <w:tcPr>
            <w:tcW w:w="1040" w:type="dxa"/>
            <w:tcBorders>
              <w:top w:val="nil"/>
              <w:left w:val="nil"/>
              <w:bottom w:val="single" w:sz="4" w:space="0" w:color="000000"/>
              <w:right w:val="nil"/>
            </w:tcBorders>
            <w:shd w:val="clear" w:color="auto" w:fill="auto"/>
            <w:noWrap/>
            <w:vAlign w:val="bottom"/>
            <w:hideMark/>
          </w:tcPr>
          <w:p w14:paraId="39D1D7A1" w14:textId="77777777" w:rsidR="005D7943" w:rsidRPr="005D7943" w:rsidRDefault="005D7943" w:rsidP="005D7943">
            <w:pPr>
              <w:spacing w:before="0" w:after="0"/>
              <w:jc w:val="center"/>
              <w:rPr>
                <w:sz w:val="18"/>
                <w:szCs w:val="18"/>
                <w:lang w:eastAsia="zh-CN"/>
              </w:rPr>
            </w:pPr>
            <w:r w:rsidRPr="005D7943">
              <w:rPr>
                <w:sz w:val="18"/>
                <w:szCs w:val="18"/>
                <w:lang w:eastAsia="zh-CN"/>
              </w:rPr>
              <w:t>192</w:t>
            </w:r>
          </w:p>
        </w:tc>
        <w:tc>
          <w:tcPr>
            <w:tcW w:w="1300" w:type="dxa"/>
            <w:tcBorders>
              <w:top w:val="nil"/>
              <w:left w:val="nil"/>
              <w:bottom w:val="single" w:sz="4" w:space="0" w:color="000000"/>
              <w:right w:val="nil"/>
            </w:tcBorders>
            <w:shd w:val="clear" w:color="auto" w:fill="auto"/>
            <w:noWrap/>
            <w:vAlign w:val="bottom"/>
            <w:hideMark/>
          </w:tcPr>
          <w:p w14:paraId="424A1DA5" w14:textId="77777777" w:rsidR="005D7943" w:rsidRPr="005D7943" w:rsidRDefault="005D7943" w:rsidP="005D7943">
            <w:pPr>
              <w:spacing w:before="0" w:after="0"/>
              <w:jc w:val="center"/>
              <w:rPr>
                <w:sz w:val="18"/>
                <w:szCs w:val="18"/>
                <w:lang w:eastAsia="zh-CN"/>
              </w:rPr>
            </w:pPr>
            <w:r w:rsidRPr="005D7943">
              <w:rPr>
                <w:sz w:val="18"/>
                <w:szCs w:val="18"/>
                <w:lang w:eastAsia="zh-CN"/>
              </w:rPr>
              <w:t>0.0298</w:t>
            </w:r>
          </w:p>
        </w:tc>
        <w:tc>
          <w:tcPr>
            <w:tcW w:w="1300" w:type="dxa"/>
            <w:tcBorders>
              <w:top w:val="nil"/>
              <w:left w:val="nil"/>
              <w:bottom w:val="single" w:sz="4" w:space="0" w:color="000000"/>
              <w:right w:val="nil"/>
            </w:tcBorders>
            <w:shd w:val="clear" w:color="auto" w:fill="auto"/>
            <w:noWrap/>
            <w:vAlign w:val="bottom"/>
            <w:hideMark/>
          </w:tcPr>
          <w:p w14:paraId="30601AD5" w14:textId="77777777" w:rsidR="005D7943" w:rsidRPr="005D7943" w:rsidRDefault="005D7943" w:rsidP="005D7943">
            <w:pPr>
              <w:spacing w:before="0" w:after="0"/>
              <w:jc w:val="center"/>
              <w:rPr>
                <w:sz w:val="18"/>
                <w:szCs w:val="18"/>
                <w:lang w:eastAsia="zh-CN"/>
              </w:rPr>
            </w:pPr>
            <w:r w:rsidRPr="005D7943">
              <w:rPr>
                <w:sz w:val="18"/>
                <w:szCs w:val="18"/>
                <w:lang w:eastAsia="zh-CN"/>
              </w:rPr>
              <w:t>3.8990</w:t>
            </w:r>
          </w:p>
        </w:tc>
        <w:tc>
          <w:tcPr>
            <w:tcW w:w="1300" w:type="dxa"/>
            <w:tcBorders>
              <w:top w:val="nil"/>
              <w:left w:val="nil"/>
              <w:bottom w:val="single" w:sz="4" w:space="0" w:color="000000"/>
              <w:right w:val="nil"/>
            </w:tcBorders>
            <w:shd w:val="clear" w:color="auto" w:fill="auto"/>
            <w:noWrap/>
            <w:vAlign w:val="bottom"/>
            <w:hideMark/>
          </w:tcPr>
          <w:p w14:paraId="71F239B0" w14:textId="77777777" w:rsidR="005D7943" w:rsidRPr="005D7943" w:rsidRDefault="005D7943" w:rsidP="005D7943">
            <w:pPr>
              <w:spacing w:before="0" w:after="0"/>
              <w:jc w:val="center"/>
              <w:rPr>
                <w:sz w:val="18"/>
                <w:szCs w:val="18"/>
                <w:lang w:eastAsia="zh-CN"/>
              </w:rPr>
            </w:pPr>
            <w:r w:rsidRPr="005D7943">
              <w:rPr>
                <w:sz w:val="18"/>
                <w:szCs w:val="18"/>
                <w:lang w:eastAsia="zh-CN"/>
              </w:rPr>
              <w:t>-18.3600</w:t>
            </w:r>
          </w:p>
        </w:tc>
        <w:tc>
          <w:tcPr>
            <w:tcW w:w="1300" w:type="dxa"/>
            <w:tcBorders>
              <w:top w:val="nil"/>
              <w:left w:val="nil"/>
              <w:bottom w:val="single" w:sz="4" w:space="0" w:color="000000"/>
              <w:right w:val="nil"/>
            </w:tcBorders>
            <w:shd w:val="clear" w:color="auto" w:fill="auto"/>
            <w:noWrap/>
            <w:vAlign w:val="bottom"/>
            <w:hideMark/>
          </w:tcPr>
          <w:p w14:paraId="749C0CBF" w14:textId="77777777" w:rsidR="005D7943" w:rsidRPr="005D7943" w:rsidRDefault="005D7943" w:rsidP="005D7943">
            <w:pPr>
              <w:spacing w:before="0" w:after="0"/>
              <w:jc w:val="center"/>
              <w:rPr>
                <w:sz w:val="18"/>
                <w:szCs w:val="18"/>
                <w:lang w:eastAsia="zh-CN"/>
              </w:rPr>
            </w:pPr>
            <w:r w:rsidRPr="005D7943">
              <w:rPr>
                <w:sz w:val="18"/>
                <w:szCs w:val="18"/>
                <w:lang w:eastAsia="zh-CN"/>
              </w:rPr>
              <w:t>16.0400</w:t>
            </w:r>
          </w:p>
        </w:tc>
      </w:tr>
    </w:tbl>
    <w:p w14:paraId="4A0743A1" w14:textId="77777777" w:rsidR="00182990" w:rsidRPr="00B9212D" w:rsidRDefault="00182990" w:rsidP="00E52D0C">
      <w:pPr>
        <w:pStyle w:val="BalloonText"/>
        <w:rPr>
          <w:rStyle w:val="SubtleReference"/>
        </w:rPr>
      </w:pPr>
      <w:r w:rsidRPr="00B9212D">
        <w:rPr>
          <w:rStyle w:val="SubtleReference"/>
        </w:rPr>
        <w:t>Source: Author (2023)</w:t>
      </w:r>
    </w:p>
    <w:p w14:paraId="13BA4FC2" w14:textId="77777777" w:rsidR="00182990" w:rsidRPr="00AD7FE9" w:rsidRDefault="00182990" w:rsidP="00D3639B">
      <w:pPr>
        <w:rPr>
          <w:szCs w:val="22"/>
        </w:rPr>
      </w:pPr>
    </w:p>
    <w:p w14:paraId="333D8ED6" w14:textId="77777777" w:rsidR="00A85FFC" w:rsidRDefault="00182990" w:rsidP="00335323">
      <w:pPr>
        <w:keepNext/>
        <w:jc w:val="center"/>
      </w:pPr>
      <w:r>
        <w:rPr>
          <w:noProof/>
        </w:rPr>
        <w:drawing>
          <wp:inline distT="0" distB="0" distL="0" distR="0" wp14:anchorId="059B5834" wp14:editId="0EB0F838">
            <wp:extent cx="5094654" cy="1993241"/>
            <wp:effectExtent l="0" t="0" r="10795" b="13970"/>
            <wp:docPr id="1162157112" name="Chart 1">
              <a:extLst xmlns:a="http://schemas.openxmlformats.org/drawingml/2006/main">
                <a:ext uri="{FF2B5EF4-FFF2-40B4-BE49-F238E27FC236}">
                  <a16:creationId xmlns:a16="http://schemas.microsoft.com/office/drawing/2014/main" id="{12C82ACC-4F13-C15F-DBA6-92F427F809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9277E7" w14:textId="7059C1DF" w:rsidR="00182990" w:rsidRDefault="00A85FFC" w:rsidP="00A85FFC">
      <w:pPr>
        <w:pStyle w:val="Caption"/>
      </w:pPr>
      <w:r>
        <w:t xml:space="preserve">Figure </w:t>
      </w:r>
      <w:fldSimple w:instr=" SEQ Figure \* ARABIC ">
        <w:r w:rsidR="004C2795">
          <w:rPr>
            <w:noProof/>
          </w:rPr>
          <w:t>3</w:t>
        </w:r>
      </w:fldSimple>
      <w:r>
        <w:t xml:space="preserve"> Trends of Investor Sentiment Proxies</w:t>
      </w:r>
    </w:p>
    <w:p w14:paraId="7B53DDFB" w14:textId="77777777" w:rsidR="00182990" w:rsidRPr="00320CC7" w:rsidRDefault="00182990" w:rsidP="00E52D0C">
      <w:pPr>
        <w:pStyle w:val="BalloonText"/>
        <w:rPr>
          <w:rStyle w:val="SubtleReference"/>
        </w:rPr>
      </w:pPr>
      <w:r w:rsidRPr="00320CC7">
        <w:rPr>
          <w:rStyle w:val="SubtleReference"/>
        </w:rPr>
        <w:t>Source: Author (2023)</w:t>
      </w:r>
    </w:p>
    <w:p w14:paraId="5B77D587" w14:textId="77777777" w:rsidR="00182990" w:rsidRPr="0079684F" w:rsidRDefault="00182990" w:rsidP="00D3639B">
      <w:pPr>
        <w:rPr>
          <w:szCs w:val="22"/>
        </w:rPr>
      </w:pPr>
    </w:p>
    <w:p w14:paraId="13097635" w14:textId="6897D780" w:rsidR="00182990" w:rsidRDefault="00182990" w:rsidP="00D3639B">
      <w:pPr>
        <w:rPr>
          <w:szCs w:val="22"/>
        </w:rPr>
      </w:pPr>
      <w:r w:rsidRPr="0079684F">
        <w:rPr>
          <w:szCs w:val="22"/>
        </w:rPr>
        <w:t>To understand the relationship between A-REITs returns and the constructed sentiment proxies, this study conducts the correlation analysis. There are two variables used for measuring A-REITs returns in the correlation analysis:</w:t>
      </w:r>
    </w:p>
    <w:p w14:paraId="0422A2DB" w14:textId="77777777" w:rsidR="00FF45D5" w:rsidRPr="0079684F" w:rsidRDefault="00FF45D5" w:rsidP="00D3639B">
      <w:pPr>
        <w:rPr>
          <w:szCs w:val="22"/>
        </w:rPr>
      </w:pPr>
    </w:p>
    <w:p w14:paraId="6D0895E9" w14:textId="77777777" w:rsidR="00182990" w:rsidRPr="0011709C" w:rsidRDefault="00000000" w:rsidP="00D3639B">
      <w:pPr>
        <w:rPr>
          <w:szCs w:val="22"/>
        </w:rPr>
      </w:pPr>
      <m:oMathPara>
        <m:oMathParaPr>
          <m:jc m:val="center"/>
        </m:oMathParaPr>
        <m:oMath>
          <m:sSub>
            <m:sSubPr>
              <m:ctrlPr>
                <w:rPr>
                  <w:rFonts w:ascii="Cambria Math" w:hAnsi="Cambria Math"/>
                  <w:szCs w:val="22"/>
                </w:rPr>
              </m:ctrlPr>
            </m:sSubPr>
            <m:e>
              <m:r>
                <m:rPr>
                  <m:sty m:val="p"/>
                </m:rPr>
                <w:rPr>
                  <w:rFonts w:ascii="Cambria Math" w:hAnsi="Cambria Math"/>
                  <w:szCs w:val="22"/>
                </w:rPr>
                <m:t>RRf</m:t>
              </m:r>
            </m:e>
            <m:sub>
              <m:r>
                <m:rPr>
                  <m:sty m:val="p"/>
                </m:rPr>
                <w:rPr>
                  <w:rFonts w:ascii="Cambria Math" w:hAnsi="Cambria Math"/>
                  <w:szCs w:val="22"/>
                </w:rPr>
                <m:t>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Rf</m:t>
              </m:r>
            </m:e>
            <m:sub>
              <m:r>
                <m:rPr>
                  <m:sty m:val="p"/>
                </m:rPr>
                <w:rPr>
                  <w:rFonts w:ascii="Cambria Math" w:hAnsi="Cambria Math"/>
                  <w:szCs w:val="22"/>
                </w:rPr>
                <m:t>t</m:t>
              </m:r>
            </m:sub>
          </m:sSub>
        </m:oMath>
      </m:oMathPara>
    </w:p>
    <w:p w14:paraId="7D6BF07F" w14:textId="77777777" w:rsidR="00182990" w:rsidRPr="0079684F" w:rsidRDefault="00182990" w:rsidP="00D3639B">
      <w:pPr>
        <w:rPr>
          <w:szCs w:val="22"/>
        </w:rPr>
      </w:pPr>
    </w:p>
    <w:p w14:paraId="6DEB153C" w14:textId="220F3729" w:rsidR="00182990" w:rsidRPr="0079684F" w:rsidRDefault="00000000" w:rsidP="00D3639B">
      <w:pPr>
        <w:rPr>
          <w:szCs w:val="22"/>
        </w:rPr>
      </w:pPr>
      <m:oMathPara>
        <m:oMath>
          <m:sSub>
            <m:sSubPr>
              <m:ctrlPr>
                <w:rPr>
                  <w:rFonts w:ascii="Cambria Math" w:hAnsi="Cambria Math"/>
                  <w:szCs w:val="22"/>
                </w:rPr>
              </m:ctrlPr>
            </m:sSubPr>
            <m:e>
              <m:r>
                <m:rPr>
                  <m:sty m:val="p"/>
                </m:rPr>
                <w:rPr>
                  <w:rFonts w:ascii="Cambria Math" w:hAnsi="Cambria Math"/>
                  <w:szCs w:val="22"/>
                </w:rPr>
                <m:t>RmRf</m:t>
              </m:r>
            </m:e>
            <m:sub>
              <m:r>
                <m:rPr>
                  <m:sty m:val="p"/>
                </m:rPr>
                <w:rPr>
                  <w:rFonts w:ascii="Cambria Math" w:hAnsi="Cambria Math"/>
                  <w:szCs w:val="22"/>
                </w:rPr>
                <m:t>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Rm</m:t>
              </m:r>
            </m:e>
            <m:sub>
              <m:r>
                <m:rPr>
                  <m:sty m:val="p"/>
                </m:rPr>
                <w:rPr>
                  <w:rFonts w:ascii="Cambria Math" w:hAnsi="Cambria Math"/>
                  <w:szCs w:val="22"/>
                </w:rPr>
                <m:t>t</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Rf</m:t>
              </m:r>
            </m:e>
            <m:sub>
              <m:r>
                <m:rPr>
                  <m:sty m:val="p"/>
                </m:rPr>
                <w:rPr>
                  <w:rFonts w:ascii="Cambria Math" w:hAnsi="Cambria Math"/>
                  <w:szCs w:val="22"/>
                </w:rPr>
                <m:t>t</m:t>
              </m:r>
            </m:sub>
          </m:sSub>
        </m:oMath>
      </m:oMathPara>
    </w:p>
    <w:p w14:paraId="6E9A84B2" w14:textId="77777777" w:rsidR="00182990" w:rsidRPr="0079684F" w:rsidRDefault="00182990" w:rsidP="00D3639B">
      <w:pPr>
        <w:rPr>
          <w:szCs w:val="22"/>
        </w:rPr>
      </w:pPr>
      <w:r w:rsidRPr="0079684F">
        <w:rPr>
          <w:szCs w:val="22"/>
        </w:rPr>
        <w:t xml:space="preserve">where: </w:t>
      </w:r>
    </w:p>
    <w:p w14:paraId="38E1A211" w14:textId="77777777" w:rsidR="00182990" w:rsidRPr="0079684F"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RRf</m:t>
            </m:r>
          </m:e>
          <m:sub>
            <m:r>
              <m:rPr>
                <m:sty m:val="p"/>
              </m:rPr>
              <w:rPr>
                <w:rFonts w:ascii="Cambria Math" w:hAnsi="Cambria Math"/>
                <w:szCs w:val="22"/>
              </w:rPr>
              <m:t>t</m:t>
            </m:r>
          </m:sub>
        </m:sSub>
      </m:oMath>
      <w:r w:rsidR="00182990" w:rsidRPr="0079684F">
        <w:rPr>
          <w:szCs w:val="22"/>
        </w:rPr>
        <w:t xml:space="preserve"> is the monthly excess return of individual A-REIT in month </w:t>
      </w:r>
      <m:oMath>
        <m:r>
          <m:rPr>
            <m:sty m:val="p"/>
          </m:rPr>
          <w:rPr>
            <w:rFonts w:ascii="Cambria Math" w:hAnsi="Cambria Math"/>
            <w:szCs w:val="22"/>
          </w:rPr>
          <m:t>t</m:t>
        </m:r>
      </m:oMath>
      <w:r w:rsidR="00182990" w:rsidRPr="0079684F">
        <w:rPr>
          <w:szCs w:val="22"/>
        </w:rPr>
        <w:t>;</w:t>
      </w:r>
    </w:p>
    <w:p w14:paraId="43133453" w14:textId="77777777" w:rsidR="00182990" w:rsidRPr="0079684F"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t</m:t>
            </m:r>
          </m:sub>
        </m:sSub>
      </m:oMath>
      <w:r w:rsidR="00182990" w:rsidRPr="0079684F">
        <w:rPr>
          <w:szCs w:val="22"/>
        </w:rPr>
        <w:t xml:space="preserve"> is the monthly return of individual A-REIT in month </w:t>
      </w:r>
      <m:oMath>
        <m:r>
          <m:rPr>
            <m:sty m:val="p"/>
          </m:rPr>
          <w:rPr>
            <w:rFonts w:ascii="Cambria Math" w:hAnsi="Cambria Math"/>
            <w:szCs w:val="22"/>
          </w:rPr>
          <m:t>t</m:t>
        </m:r>
      </m:oMath>
      <w:r w:rsidR="00182990" w:rsidRPr="0079684F">
        <w:rPr>
          <w:szCs w:val="22"/>
        </w:rPr>
        <w:t>;</w:t>
      </w:r>
    </w:p>
    <w:p w14:paraId="52CB3F4D" w14:textId="77777777" w:rsidR="00182990" w:rsidRPr="0079684F"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Rf</m:t>
            </m:r>
          </m:e>
          <m:sub>
            <m:r>
              <m:rPr>
                <m:sty m:val="p"/>
              </m:rPr>
              <w:rPr>
                <w:rFonts w:ascii="Cambria Math" w:hAnsi="Cambria Math"/>
                <w:szCs w:val="22"/>
              </w:rPr>
              <m:t>t</m:t>
            </m:r>
          </m:sub>
        </m:sSub>
      </m:oMath>
      <w:r w:rsidR="00182990" w:rsidRPr="0079684F">
        <w:rPr>
          <w:szCs w:val="22"/>
        </w:rPr>
        <w:t xml:space="preserve"> is the monthly return on Commonwealth government bonds (10 years maturity) as the risk-free rate in month </w:t>
      </w:r>
      <m:oMath>
        <m:r>
          <m:rPr>
            <m:sty m:val="p"/>
          </m:rPr>
          <w:rPr>
            <w:rFonts w:ascii="Cambria Math" w:hAnsi="Cambria Math"/>
            <w:szCs w:val="22"/>
          </w:rPr>
          <m:t>t</m:t>
        </m:r>
      </m:oMath>
      <w:r w:rsidR="00182990" w:rsidRPr="0079684F">
        <w:rPr>
          <w:szCs w:val="22"/>
        </w:rPr>
        <w:t>;</w:t>
      </w:r>
    </w:p>
    <w:p w14:paraId="5A483D12" w14:textId="2FE5622F" w:rsidR="00182990" w:rsidRPr="00B14590" w:rsidRDefault="00000000" w:rsidP="00D3639B">
      <w:pPr>
        <w:rPr>
          <w:szCs w:val="22"/>
          <w:lang w:eastAsia="zh-CN"/>
        </w:rPr>
      </w:pPr>
      <m:oMath>
        <m:sSub>
          <m:sSubPr>
            <m:ctrlPr>
              <w:rPr>
                <w:rFonts w:ascii="Cambria Math" w:hAnsi="Cambria Math"/>
                <w:szCs w:val="22"/>
              </w:rPr>
            </m:ctrlPr>
          </m:sSubPr>
          <m:e>
            <m:r>
              <m:rPr>
                <m:sty m:val="p"/>
              </m:rPr>
              <w:rPr>
                <w:rFonts w:ascii="Cambria Math" w:hAnsi="Cambria Math"/>
                <w:szCs w:val="22"/>
              </w:rPr>
              <m:t>RmRf</m:t>
            </m:r>
          </m:e>
          <m:sub>
            <m:r>
              <m:rPr>
                <m:sty m:val="p"/>
              </m:rPr>
              <w:rPr>
                <w:rFonts w:ascii="Cambria Math" w:hAnsi="Cambria Math"/>
                <w:szCs w:val="22"/>
              </w:rPr>
              <m:t>t</m:t>
            </m:r>
          </m:sub>
        </m:sSub>
      </m:oMath>
      <w:r w:rsidR="00182990" w:rsidRPr="00B14590">
        <w:rPr>
          <w:szCs w:val="22"/>
        </w:rPr>
        <w:t xml:space="preserve"> is the monthly excess return </w:t>
      </w:r>
      <w:r w:rsidR="00C257D3" w:rsidRPr="00B14590">
        <w:rPr>
          <w:szCs w:val="22"/>
        </w:rPr>
        <w:t>of A-REIT market</w:t>
      </w:r>
      <w:r w:rsidR="00182990" w:rsidRPr="00B14590">
        <w:rPr>
          <w:szCs w:val="22"/>
        </w:rPr>
        <w:t xml:space="preserve"> </w:t>
      </w:r>
      <w:r w:rsidR="00C257D3" w:rsidRPr="00B14590">
        <w:rPr>
          <w:szCs w:val="22"/>
        </w:rPr>
        <w:t>(</w:t>
      </w:r>
      <w:r w:rsidR="00182990" w:rsidRPr="00B14590">
        <w:rPr>
          <w:szCs w:val="22"/>
        </w:rPr>
        <w:t>S&amp;P/ASX 200 A-REITs Index</w:t>
      </w:r>
      <w:r w:rsidR="00C257D3" w:rsidRPr="00B14590">
        <w:rPr>
          <w:szCs w:val="22"/>
        </w:rPr>
        <w:t>)</w:t>
      </w:r>
      <w:r w:rsidR="00182990" w:rsidRPr="00B14590">
        <w:rPr>
          <w:szCs w:val="22"/>
        </w:rPr>
        <w:t xml:space="preserve"> in month </w:t>
      </w:r>
      <m:oMath>
        <m:r>
          <m:rPr>
            <m:sty m:val="p"/>
          </m:rPr>
          <w:rPr>
            <w:rFonts w:ascii="Cambria Math" w:hAnsi="Cambria Math"/>
            <w:szCs w:val="22"/>
          </w:rPr>
          <m:t>t</m:t>
        </m:r>
      </m:oMath>
      <w:r w:rsidR="00182990" w:rsidRPr="00B14590">
        <w:rPr>
          <w:szCs w:val="22"/>
        </w:rPr>
        <w:t>;</w:t>
      </w:r>
    </w:p>
    <w:p w14:paraId="205BBC0D" w14:textId="1008B63D" w:rsidR="00182990" w:rsidRPr="0079684F" w:rsidRDefault="00000000" w:rsidP="00D3639B">
      <w:pPr>
        <w:rPr>
          <w:szCs w:val="22"/>
        </w:rPr>
      </w:pPr>
      <m:oMath>
        <m:sSub>
          <m:sSubPr>
            <m:ctrlPr>
              <w:rPr>
                <w:rFonts w:ascii="Cambria Math" w:hAnsi="Cambria Math"/>
                <w:szCs w:val="22"/>
              </w:rPr>
            </m:ctrlPr>
          </m:sSubPr>
          <m:e>
            <m:r>
              <m:rPr>
                <m:sty m:val="p"/>
              </m:rPr>
              <w:rPr>
                <w:rFonts w:ascii="Cambria Math" w:hAnsi="Cambria Math"/>
                <w:szCs w:val="22"/>
              </w:rPr>
              <m:t>Rm</m:t>
            </m:r>
          </m:e>
          <m:sub>
            <m:r>
              <m:rPr>
                <m:sty m:val="p"/>
              </m:rPr>
              <w:rPr>
                <w:rFonts w:ascii="Cambria Math" w:hAnsi="Cambria Math"/>
                <w:szCs w:val="22"/>
              </w:rPr>
              <m:t>t</m:t>
            </m:r>
          </m:sub>
        </m:sSub>
      </m:oMath>
      <w:r w:rsidR="00182990" w:rsidRPr="00B14590">
        <w:rPr>
          <w:szCs w:val="22"/>
        </w:rPr>
        <w:t xml:space="preserve"> is the monthly return of A-REIT market (S&amp;P/ASX 200</w:t>
      </w:r>
      <w:r w:rsidR="00182990" w:rsidRPr="0079684F">
        <w:rPr>
          <w:szCs w:val="22"/>
        </w:rPr>
        <w:t xml:space="preserve"> A-REITs Index) in month </w:t>
      </w:r>
      <m:oMath>
        <m:r>
          <m:rPr>
            <m:sty m:val="p"/>
          </m:rPr>
          <w:rPr>
            <w:rFonts w:ascii="Cambria Math" w:hAnsi="Cambria Math"/>
            <w:szCs w:val="22"/>
          </w:rPr>
          <m:t>t</m:t>
        </m:r>
      </m:oMath>
      <w:r w:rsidR="00182990" w:rsidRPr="0079684F">
        <w:rPr>
          <w:szCs w:val="22"/>
        </w:rPr>
        <w:t>.</w:t>
      </w:r>
    </w:p>
    <w:p w14:paraId="7A49F066" w14:textId="77777777" w:rsidR="00182990" w:rsidRPr="0079684F" w:rsidRDefault="00182990" w:rsidP="00D3639B">
      <w:pPr>
        <w:rPr>
          <w:szCs w:val="22"/>
        </w:rPr>
      </w:pPr>
    </w:p>
    <w:p w14:paraId="229EBFE1" w14:textId="643A2937" w:rsidR="000408BF" w:rsidRDefault="00182990" w:rsidP="00D3639B">
      <w:pPr>
        <w:rPr>
          <w:szCs w:val="22"/>
        </w:rPr>
      </w:pPr>
      <w:r w:rsidRPr="0079684F">
        <w:rPr>
          <w:szCs w:val="22"/>
        </w:rPr>
        <w:t xml:space="preserve">Table </w:t>
      </w:r>
      <w:r w:rsidR="001B4101">
        <w:rPr>
          <w:szCs w:val="22"/>
        </w:rPr>
        <w:t>4</w:t>
      </w:r>
      <w:r w:rsidRPr="0079684F">
        <w:rPr>
          <w:szCs w:val="22"/>
        </w:rPr>
        <w:t xml:space="preserve"> shows the correlation between A-REITs returns and sentiment proxies of A-REITs investors. Both WM Index and AR Index show </w:t>
      </w:r>
      <w:r w:rsidR="00E40BE3">
        <w:rPr>
          <w:szCs w:val="22"/>
        </w:rPr>
        <w:t xml:space="preserve">a </w:t>
      </w:r>
      <w:r w:rsidRPr="0079684F">
        <w:rPr>
          <w:szCs w:val="22"/>
        </w:rPr>
        <w:t xml:space="preserve">significant relationship with A-REITs return when using </w:t>
      </w:r>
      <m:oMath>
        <m:sSub>
          <m:sSubPr>
            <m:ctrlPr>
              <w:rPr>
                <w:rFonts w:ascii="Cambria Math" w:hAnsi="Cambria Math"/>
                <w:szCs w:val="22"/>
              </w:rPr>
            </m:ctrlPr>
          </m:sSubPr>
          <m:e>
            <m:r>
              <m:rPr>
                <m:sty m:val="p"/>
              </m:rPr>
              <w:rPr>
                <w:rFonts w:ascii="Cambria Math" w:hAnsi="Cambria Math"/>
                <w:szCs w:val="22"/>
              </w:rPr>
              <m:t>RmRf</m:t>
            </m:r>
          </m:e>
          <m:sub>
            <m:r>
              <m:rPr>
                <m:sty m:val="p"/>
              </m:rPr>
              <w:rPr>
                <w:rFonts w:ascii="Cambria Math" w:hAnsi="Cambria Math"/>
                <w:szCs w:val="22"/>
              </w:rPr>
              <m:t>t</m:t>
            </m:r>
          </m:sub>
        </m:sSub>
      </m:oMath>
      <w:r w:rsidRPr="0079684F">
        <w:rPr>
          <w:szCs w:val="22"/>
        </w:rPr>
        <w:t xml:space="preserve"> as the return indic</w:t>
      </w:r>
      <w:r w:rsidR="00D14E08">
        <w:rPr>
          <w:szCs w:val="22"/>
        </w:rPr>
        <w:t>a</w:t>
      </w:r>
      <w:r w:rsidRPr="0079684F">
        <w:rPr>
          <w:szCs w:val="22"/>
        </w:rPr>
        <w:t>tor.</w:t>
      </w:r>
    </w:p>
    <w:p w14:paraId="05D20E2B" w14:textId="77777777" w:rsidR="00A31B9B" w:rsidRPr="0079684F" w:rsidRDefault="00A31B9B" w:rsidP="00D3639B">
      <w:pPr>
        <w:rPr>
          <w:szCs w:val="22"/>
        </w:rPr>
      </w:pPr>
    </w:p>
    <w:p w14:paraId="3C8BFA93" w14:textId="7E030CBF" w:rsidR="0030278C" w:rsidRDefault="0030278C" w:rsidP="0030278C">
      <w:pPr>
        <w:pStyle w:val="Caption"/>
        <w:keepNext/>
      </w:pPr>
      <w:r>
        <w:t xml:space="preserve">Table </w:t>
      </w:r>
      <w:fldSimple w:instr=" SEQ Table \* ARABIC ">
        <w:r w:rsidR="00075F85">
          <w:rPr>
            <w:noProof/>
          </w:rPr>
          <w:t>4</w:t>
        </w:r>
      </w:fldSimple>
      <w:r>
        <w:t xml:space="preserve"> Correlation Matrix</w:t>
      </w:r>
    </w:p>
    <w:tbl>
      <w:tblPr>
        <w:tblW w:w="9100" w:type="dxa"/>
        <w:jc w:val="center"/>
        <w:tblLook w:val="04A0" w:firstRow="1" w:lastRow="0" w:firstColumn="1" w:lastColumn="0" w:noHBand="0" w:noVBand="1"/>
      </w:tblPr>
      <w:tblGrid>
        <w:gridCol w:w="1300"/>
        <w:gridCol w:w="1300"/>
        <w:gridCol w:w="1300"/>
        <w:gridCol w:w="1300"/>
        <w:gridCol w:w="1300"/>
        <w:gridCol w:w="1300"/>
        <w:gridCol w:w="1300"/>
      </w:tblGrid>
      <w:tr w:rsidR="001177F7" w:rsidRPr="001B7E09" w14:paraId="17446906" w14:textId="77777777" w:rsidTr="00B77EA5">
        <w:trPr>
          <w:trHeight w:val="260"/>
          <w:jc w:val="center"/>
        </w:trPr>
        <w:tc>
          <w:tcPr>
            <w:tcW w:w="1300" w:type="dxa"/>
            <w:tcBorders>
              <w:top w:val="single" w:sz="4" w:space="0" w:color="000000"/>
              <w:left w:val="nil"/>
              <w:bottom w:val="nil"/>
              <w:right w:val="nil"/>
            </w:tcBorders>
            <w:shd w:val="clear" w:color="auto" w:fill="auto"/>
            <w:noWrap/>
            <w:vAlign w:val="center"/>
            <w:hideMark/>
          </w:tcPr>
          <w:p w14:paraId="3CB669C4"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c>
          <w:tcPr>
            <w:tcW w:w="1300" w:type="dxa"/>
            <w:tcBorders>
              <w:top w:val="single" w:sz="4" w:space="0" w:color="000000"/>
              <w:left w:val="nil"/>
              <w:bottom w:val="nil"/>
              <w:right w:val="nil"/>
            </w:tcBorders>
            <w:shd w:val="clear" w:color="auto" w:fill="auto"/>
            <w:noWrap/>
            <w:vAlign w:val="center"/>
            <w:hideMark/>
          </w:tcPr>
          <w:p w14:paraId="3D045EDE" w14:textId="77777777" w:rsidR="001177F7" w:rsidRPr="001B7E09" w:rsidRDefault="001177F7" w:rsidP="001177F7">
            <w:pPr>
              <w:spacing w:before="0" w:after="0"/>
              <w:jc w:val="center"/>
              <w:rPr>
                <w:sz w:val="18"/>
                <w:szCs w:val="18"/>
                <w:lang w:eastAsia="zh-CN"/>
              </w:rPr>
            </w:pPr>
            <w:r w:rsidRPr="001B7E09">
              <w:rPr>
                <w:sz w:val="18"/>
                <w:szCs w:val="18"/>
                <w:lang w:eastAsia="zh-CN"/>
              </w:rPr>
              <w:t>RRf</w:t>
            </w:r>
          </w:p>
        </w:tc>
        <w:tc>
          <w:tcPr>
            <w:tcW w:w="1300" w:type="dxa"/>
            <w:tcBorders>
              <w:top w:val="single" w:sz="4" w:space="0" w:color="000000"/>
              <w:left w:val="nil"/>
              <w:bottom w:val="nil"/>
              <w:right w:val="nil"/>
            </w:tcBorders>
            <w:shd w:val="clear" w:color="auto" w:fill="auto"/>
            <w:noWrap/>
            <w:vAlign w:val="center"/>
            <w:hideMark/>
          </w:tcPr>
          <w:p w14:paraId="6BB83C3E" w14:textId="77777777" w:rsidR="001177F7" w:rsidRPr="001B7E09" w:rsidRDefault="001177F7" w:rsidP="001177F7">
            <w:pPr>
              <w:spacing w:before="0" w:after="0"/>
              <w:jc w:val="center"/>
              <w:rPr>
                <w:sz w:val="18"/>
                <w:szCs w:val="18"/>
                <w:lang w:eastAsia="zh-CN"/>
              </w:rPr>
            </w:pPr>
            <w:r w:rsidRPr="001B7E09">
              <w:rPr>
                <w:sz w:val="18"/>
                <w:szCs w:val="18"/>
                <w:lang w:eastAsia="zh-CN"/>
              </w:rPr>
              <w:t>WM Index</w:t>
            </w:r>
          </w:p>
        </w:tc>
        <w:tc>
          <w:tcPr>
            <w:tcW w:w="1300" w:type="dxa"/>
            <w:tcBorders>
              <w:top w:val="single" w:sz="4" w:space="0" w:color="000000"/>
              <w:left w:val="nil"/>
              <w:bottom w:val="nil"/>
              <w:right w:val="nil"/>
            </w:tcBorders>
            <w:shd w:val="clear" w:color="auto" w:fill="auto"/>
            <w:noWrap/>
            <w:vAlign w:val="center"/>
            <w:hideMark/>
          </w:tcPr>
          <w:p w14:paraId="15EC0F50" w14:textId="77777777" w:rsidR="001177F7" w:rsidRPr="001B7E09" w:rsidRDefault="001177F7" w:rsidP="001177F7">
            <w:pPr>
              <w:spacing w:before="0" w:after="0"/>
              <w:jc w:val="center"/>
              <w:rPr>
                <w:sz w:val="18"/>
                <w:szCs w:val="18"/>
                <w:lang w:eastAsia="zh-CN"/>
              </w:rPr>
            </w:pPr>
            <w:r w:rsidRPr="001B7E09">
              <w:rPr>
                <w:sz w:val="18"/>
                <w:szCs w:val="18"/>
                <w:lang w:eastAsia="zh-CN"/>
              </w:rPr>
              <w:t>AR Index</w:t>
            </w:r>
          </w:p>
        </w:tc>
        <w:tc>
          <w:tcPr>
            <w:tcW w:w="1300" w:type="dxa"/>
            <w:tcBorders>
              <w:top w:val="single" w:sz="4" w:space="0" w:color="000000"/>
              <w:left w:val="nil"/>
              <w:bottom w:val="nil"/>
              <w:right w:val="nil"/>
            </w:tcBorders>
            <w:shd w:val="clear" w:color="auto" w:fill="auto"/>
            <w:noWrap/>
            <w:vAlign w:val="center"/>
            <w:hideMark/>
          </w:tcPr>
          <w:p w14:paraId="1C141C0C" w14:textId="77777777" w:rsidR="001177F7" w:rsidRPr="001B7E09" w:rsidRDefault="001177F7" w:rsidP="001177F7">
            <w:pPr>
              <w:spacing w:before="0" w:after="0"/>
              <w:jc w:val="center"/>
              <w:rPr>
                <w:sz w:val="18"/>
                <w:szCs w:val="18"/>
                <w:lang w:eastAsia="zh-CN"/>
              </w:rPr>
            </w:pPr>
            <w:r w:rsidRPr="001B7E09">
              <w:rPr>
                <w:sz w:val="18"/>
                <w:szCs w:val="18"/>
                <w:lang w:eastAsia="zh-CN"/>
              </w:rPr>
              <w:t>RmRf</w:t>
            </w:r>
          </w:p>
        </w:tc>
        <w:tc>
          <w:tcPr>
            <w:tcW w:w="1300" w:type="dxa"/>
            <w:tcBorders>
              <w:top w:val="single" w:sz="4" w:space="0" w:color="000000"/>
              <w:left w:val="nil"/>
              <w:bottom w:val="nil"/>
              <w:right w:val="nil"/>
            </w:tcBorders>
            <w:shd w:val="clear" w:color="auto" w:fill="auto"/>
            <w:noWrap/>
            <w:vAlign w:val="center"/>
            <w:hideMark/>
          </w:tcPr>
          <w:p w14:paraId="4A84C3BD" w14:textId="77777777" w:rsidR="001177F7" w:rsidRPr="001B7E09" w:rsidRDefault="001177F7" w:rsidP="001177F7">
            <w:pPr>
              <w:spacing w:before="0" w:after="0"/>
              <w:jc w:val="center"/>
              <w:rPr>
                <w:sz w:val="18"/>
                <w:szCs w:val="18"/>
                <w:lang w:eastAsia="zh-CN"/>
              </w:rPr>
            </w:pPr>
            <w:r w:rsidRPr="001B7E09">
              <w:rPr>
                <w:sz w:val="18"/>
                <w:szCs w:val="18"/>
                <w:lang w:eastAsia="zh-CN"/>
              </w:rPr>
              <w:t>SMB</w:t>
            </w:r>
          </w:p>
        </w:tc>
        <w:tc>
          <w:tcPr>
            <w:tcW w:w="1300" w:type="dxa"/>
            <w:tcBorders>
              <w:top w:val="single" w:sz="4" w:space="0" w:color="000000"/>
              <w:left w:val="nil"/>
              <w:bottom w:val="nil"/>
              <w:right w:val="nil"/>
            </w:tcBorders>
            <w:shd w:val="clear" w:color="auto" w:fill="auto"/>
            <w:noWrap/>
            <w:vAlign w:val="center"/>
            <w:hideMark/>
          </w:tcPr>
          <w:p w14:paraId="6255F928" w14:textId="77777777" w:rsidR="001177F7" w:rsidRPr="001B7E09" w:rsidRDefault="001177F7" w:rsidP="001177F7">
            <w:pPr>
              <w:spacing w:before="0" w:after="0"/>
              <w:jc w:val="center"/>
              <w:rPr>
                <w:sz w:val="18"/>
                <w:szCs w:val="18"/>
                <w:lang w:eastAsia="zh-CN"/>
              </w:rPr>
            </w:pPr>
            <w:r w:rsidRPr="001B7E09">
              <w:rPr>
                <w:sz w:val="18"/>
                <w:szCs w:val="18"/>
                <w:lang w:eastAsia="zh-CN"/>
              </w:rPr>
              <w:t>HML</w:t>
            </w:r>
          </w:p>
        </w:tc>
      </w:tr>
      <w:tr w:rsidR="001177F7" w:rsidRPr="001B7E09" w14:paraId="247C3A76" w14:textId="77777777" w:rsidTr="00B77EA5">
        <w:trPr>
          <w:trHeight w:val="260"/>
          <w:jc w:val="center"/>
        </w:trPr>
        <w:tc>
          <w:tcPr>
            <w:tcW w:w="1300" w:type="dxa"/>
            <w:tcBorders>
              <w:top w:val="single" w:sz="4" w:space="0" w:color="000000"/>
              <w:left w:val="nil"/>
              <w:bottom w:val="nil"/>
              <w:right w:val="nil"/>
            </w:tcBorders>
            <w:shd w:val="clear" w:color="auto" w:fill="auto"/>
            <w:noWrap/>
            <w:vAlign w:val="center"/>
            <w:hideMark/>
          </w:tcPr>
          <w:p w14:paraId="367DB777" w14:textId="77777777" w:rsidR="001177F7" w:rsidRPr="001B7E09" w:rsidRDefault="001177F7" w:rsidP="001177F7">
            <w:pPr>
              <w:spacing w:before="0" w:after="0"/>
              <w:jc w:val="center"/>
              <w:rPr>
                <w:sz w:val="18"/>
                <w:szCs w:val="18"/>
                <w:lang w:eastAsia="zh-CN"/>
              </w:rPr>
            </w:pPr>
            <w:r w:rsidRPr="001B7E09">
              <w:rPr>
                <w:sz w:val="18"/>
                <w:szCs w:val="18"/>
                <w:lang w:eastAsia="zh-CN"/>
              </w:rPr>
              <w:t>RRf</w:t>
            </w:r>
          </w:p>
        </w:tc>
        <w:tc>
          <w:tcPr>
            <w:tcW w:w="1300" w:type="dxa"/>
            <w:tcBorders>
              <w:top w:val="single" w:sz="4" w:space="0" w:color="000000"/>
              <w:left w:val="nil"/>
              <w:bottom w:val="nil"/>
              <w:right w:val="nil"/>
            </w:tcBorders>
            <w:shd w:val="clear" w:color="auto" w:fill="auto"/>
            <w:noWrap/>
            <w:vAlign w:val="center"/>
            <w:hideMark/>
          </w:tcPr>
          <w:p w14:paraId="0FF4111F"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c>
          <w:tcPr>
            <w:tcW w:w="1300" w:type="dxa"/>
            <w:tcBorders>
              <w:top w:val="single" w:sz="4" w:space="0" w:color="000000"/>
              <w:left w:val="nil"/>
              <w:bottom w:val="nil"/>
              <w:right w:val="nil"/>
            </w:tcBorders>
            <w:shd w:val="clear" w:color="auto" w:fill="auto"/>
            <w:noWrap/>
            <w:vAlign w:val="center"/>
            <w:hideMark/>
          </w:tcPr>
          <w:p w14:paraId="21419147"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c>
          <w:tcPr>
            <w:tcW w:w="1300" w:type="dxa"/>
            <w:tcBorders>
              <w:top w:val="single" w:sz="4" w:space="0" w:color="000000"/>
              <w:left w:val="nil"/>
              <w:bottom w:val="nil"/>
              <w:right w:val="nil"/>
            </w:tcBorders>
            <w:shd w:val="clear" w:color="auto" w:fill="auto"/>
            <w:noWrap/>
            <w:vAlign w:val="center"/>
            <w:hideMark/>
          </w:tcPr>
          <w:p w14:paraId="6B6F216A"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c>
          <w:tcPr>
            <w:tcW w:w="1300" w:type="dxa"/>
            <w:tcBorders>
              <w:top w:val="single" w:sz="4" w:space="0" w:color="000000"/>
              <w:left w:val="nil"/>
              <w:bottom w:val="nil"/>
              <w:right w:val="nil"/>
            </w:tcBorders>
            <w:shd w:val="clear" w:color="auto" w:fill="auto"/>
            <w:noWrap/>
            <w:vAlign w:val="center"/>
            <w:hideMark/>
          </w:tcPr>
          <w:p w14:paraId="2161CA6F"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c>
          <w:tcPr>
            <w:tcW w:w="1300" w:type="dxa"/>
            <w:tcBorders>
              <w:top w:val="single" w:sz="4" w:space="0" w:color="000000"/>
              <w:left w:val="nil"/>
              <w:bottom w:val="nil"/>
              <w:right w:val="nil"/>
            </w:tcBorders>
            <w:shd w:val="clear" w:color="auto" w:fill="auto"/>
            <w:noWrap/>
            <w:vAlign w:val="center"/>
            <w:hideMark/>
          </w:tcPr>
          <w:p w14:paraId="3F9FBF98"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c>
          <w:tcPr>
            <w:tcW w:w="1300" w:type="dxa"/>
            <w:tcBorders>
              <w:top w:val="single" w:sz="4" w:space="0" w:color="000000"/>
              <w:left w:val="nil"/>
              <w:bottom w:val="nil"/>
              <w:right w:val="nil"/>
            </w:tcBorders>
            <w:shd w:val="clear" w:color="auto" w:fill="auto"/>
            <w:noWrap/>
            <w:vAlign w:val="center"/>
            <w:hideMark/>
          </w:tcPr>
          <w:p w14:paraId="6E85F7B1" w14:textId="77777777" w:rsidR="001177F7" w:rsidRPr="001B7E09" w:rsidRDefault="001177F7" w:rsidP="001177F7">
            <w:pPr>
              <w:spacing w:before="0" w:after="0"/>
              <w:jc w:val="center"/>
              <w:rPr>
                <w:sz w:val="18"/>
                <w:szCs w:val="18"/>
                <w:lang w:eastAsia="zh-CN"/>
              </w:rPr>
            </w:pPr>
            <w:r w:rsidRPr="001B7E09">
              <w:rPr>
                <w:sz w:val="18"/>
                <w:szCs w:val="18"/>
                <w:lang w:eastAsia="zh-CN"/>
              </w:rPr>
              <w:t> </w:t>
            </w:r>
          </w:p>
        </w:tc>
      </w:tr>
      <w:tr w:rsidR="001177F7" w:rsidRPr="001B7E09" w14:paraId="75411A7A" w14:textId="77777777" w:rsidTr="00B77EA5">
        <w:trPr>
          <w:trHeight w:val="260"/>
          <w:jc w:val="center"/>
        </w:trPr>
        <w:tc>
          <w:tcPr>
            <w:tcW w:w="1300" w:type="dxa"/>
            <w:tcBorders>
              <w:top w:val="nil"/>
              <w:left w:val="nil"/>
              <w:bottom w:val="nil"/>
              <w:right w:val="nil"/>
            </w:tcBorders>
            <w:shd w:val="clear" w:color="auto" w:fill="auto"/>
            <w:noWrap/>
            <w:vAlign w:val="center"/>
            <w:hideMark/>
          </w:tcPr>
          <w:p w14:paraId="4CDB8FC4" w14:textId="77777777" w:rsidR="001177F7" w:rsidRPr="001B7E09" w:rsidRDefault="001177F7" w:rsidP="001177F7">
            <w:pPr>
              <w:spacing w:before="0" w:after="0"/>
              <w:jc w:val="center"/>
              <w:rPr>
                <w:sz w:val="18"/>
                <w:szCs w:val="18"/>
                <w:lang w:eastAsia="zh-CN"/>
              </w:rPr>
            </w:pPr>
            <w:r w:rsidRPr="001B7E09">
              <w:rPr>
                <w:sz w:val="18"/>
                <w:szCs w:val="18"/>
                <w:lang w:eastAsia="zh-CN"/>
              </w:rPr>
              <w:t>WM Index</w:t>
            </w:r>
          </w:p>
        </w:tc>
        <w:tc>
          <w:tcPr>
            <w:tcW w:w="1300" w:type="dxa"/>
            <w:tcBorders>
              <w:top w:val="nil"/>
              <w:left w:val="nil"/>
              <w:bottom w:val="nil"/>
              <w:right w:val="nil"/>
            </w:tcBorders>
            <w:shd w:val="clear" w:color="auto" w:fill="auto"/>
            <w:noWrap/>
            <w:vAlign w:val="center"/>
            <w:hideMark/>
          </w:tcPr>
          <w:p w14:paraId="1E27364F" w14:textId="77777777" w:rsidR="001177F7" w:rsidRPr="001B7E09" w:rsidRDefault="001177F7" w:rsidP="001177F7">
            <w:pPr>
              <w:spacing w:before="0" w:after="0"/>
              <w:jc w:val="center"/>
              <w:rPr>
                <w:sz w:val="18"/>
                <w:szCs w:val="18"/>
                <w:lang w:eastAsia="zh-CN"/>
              </w:rPr>
            </w:pPr>
            <w:r w:rsidRPr="001B7E09">
              <w:rPr>
                <w:sz w:val="18"/>
                <w:szCs w:val="18"/>
                <w:lang w:eastAsia="zh-CN"/>
              </w:rPr>
              <w:t>0.115***</w:t>
            </w:r>
          </w:p>
        </w:tc>
        <w:tc>
          <w:tcPr>
            <w:tcW w:w="1300" w:type="dxa"/>
            <w:tcBorders>
              <w:top w:val="nil"/>
              <w:left w:val="nil"/>
              <w:bottom w:val="nil"/>
              <w:right w:val="nil"/>
            </w:tcBorders>
            <w:shd w:val="clear" w:color="auto" w:fill="auto"/>
            <w:noWrap/>
            <w:vAlign w:val="center"/>
            <w:hideMark/>
          </w:tcPr>
          <w:p w14:paraId="615B41F3"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c>
          <w:tcPr>
            <w:tcW w:w="1300" w:type="dxa"/>
            <w:tcBorders>
              <w:top w:val="nil"/>
              <w:left w:val="nil"/>
              <w:bottom w:val="nil"/>
              <w:right w:val="nil"/>
            </w:tcBorders>
            <w:shd w:val="clear" w:color="auto" w:fill="auto"/>
            <w:noWrap/>
            <w:vAlign w:val="center"/>
            <w:hideMark/>
          </w:tcPr>
          <w:p w14:paraId="04FDEB89"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1C419B99"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1BFAF23C"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052B9D60" w14:textId="77777777" w:rsidR="001177F7" w:rsidRPr="001B7E09" w:rsidRDefault="001177F7" w:rsidP="001177F7">
            <w:pPr>
              <w:spacing w:before="0" w:after="0"/>
              <w:jc w:val="center"/>
              <w:rPr>
                <w:sz w:val="18"/>
                <w:szCs w:val="18"/>
                <w:lang w:eastAsia="zh-CN"/>
              </w:rPr>
            </w:pPr>
          </w:p>
        </w:tc>
      </w:tr>
      <w:tr w:rsidR="001177F7" w:rsidRPr="001B7E09" w14:paraId="363BD353" w14:textId="77777777" w:rsidTr="00B77EA5">
        <w:trPr>
          <w:trHeight w:val="260"/>
          <w:jc w:val="center"/>
        </w:trPr>
        <w:tc>
          <w:tcPr>
            <w:tcW w:w="1300" w:type="dxa"/>
            <w:tcBorders>
              <w:top w:val="nil"/>
              <w:left w:val="nil"/>
              <w:bottom w:val="nil"/>
              <w:right w:val="nil"/>
            </w:tcBorders>
            <w:shd w:val="clear" w:color="auto" w:fill="auto"/>
            <w:noWrap/>
            <w:vAlign w:val="center"/>
            <w:hideMark/>
          </w:tcPr>
          <w:p w14:paraId="5DA1B9C6" w14:textId="77777777" w:rsidR="001177F7" w:rsidRPr="001B7E09" w:rsidRDefault="001177F7" w:rsidP="001177F7">
            <w:pPr>
              <w:spacing w:before="0" w:after="0"/>
              <w:jc w:val="center"/>
              <w:rPr>
                <w:sz w:val="18"/>
                <w:szCs w:val="18"/>
                <w:lang w:eastAsia="zh-CN"/>
              </w:rPr>
            </w:pPr>
            <w:r w:rsidRPr="001B7E09">
              <w:rPr>
                <w:sz w:val="18"/>
                <w:szCs w:val="18"/>
                <w:lang w:eastAsia="zh-CN"/>
              </w:rPr>
              <w:t>AR Index</w:t>
            </w:r>
          </w:p>
        </w:tc>
        <w:tc>
          <w:tcPr>
            <w:tcW w:w="1300" w:type="dxa"/>
            <w:tcBorders>
              <w:top w:val="nil"/>
              <w:left w:val="nil"/>
              <w:bottom w:val="nil"/>
              <w:right w:val="nil"/>
            </w:tcBorders>
            <w:shd w:val="clear" w:color="auto" w:fill="auto"/>
            <w:noWrap/>
            <w:vAlign w:val="center"/>
            <w:hideMark/>
          </w:tcPr>
          <w:p w14:paraId="2060B9B9" w14:textId="77777777" w:rsidR="001177F7" w:rsidRPr="001B7E09" w:rsidRDefault="001177F7" w:rsidP="001177F7">
            <w:pPr>
              <w:spacing w:before="0" w:after="0"/>
              <w:jc w:val="center"/>
              <w:rPr>
                <w:sz w:val="18"/>
                <w:szCs w:val="18"/>
                <w:lang w:eastAsia="zh-CN"/>
              </w:rPr>
            </w:pPr>
            <w:r w:rsidRPr="001B7E09">
              <w:rPr>
                <w:sz w:val="18"/>
                <w:szCs w:val="18"/>
                <w:lang w:eastAsia="zh-CN"/>
              </w:rPr>
              <w:t>0.217***</w:t>
            </w:r>
          </w:p>
        </w:tc>
        <w:tc>
          <w:tcPr>
            <w:tcW w:w="1300" w:type="dxa"/>
            <w:tcBorders>
              <w:top w:val="nil"/>
              <w:left w:val="nil"/>
              <w:bottom w:val="nil"/>
              <w:right w:val="nil"/>
            </w:tcBorders>
            <w:shd w:val="clear" w:color="auto" w:fill="auto"/>
            <w:noWrap/>
            <w:vAlign w:val="center"/>
            <w:hideMark/>
          </w:tcPr>
          <w:p w14:paraId="39C1AB0D" w14:textId="77777777" w:rsidR="001177F7" w:rsidRPr="001B7E09" w:rsidRDefault="001177F7" w:rsidP="001177F7">
            <w:pPr>
              <w:spacing w:before="0" w:after="0"/>
              <w:jc w:val="center"/>
              <w:rPr>
                <w:sz w:val="18"/>
                <w:szCs w:val="18"/>
                <w:lang w:eastAsia="zh-CN"/>
              </w:rPr>
            </w:pPr>
            <w:r w:rsidRPr="001B7E09">
              <w:rPr>
                <w:sz w:val="18"/>
                <w:szCs w:val="18"/>
                <w:lang w:eastAsia="zh-CN"/>
              </w:rPr>
              <w:t>0.627***</w:t>
            </w:r>
          </w:p>
        </w:tc>
        <w:tc>
          <w:tcPr>
            <w:tcW w:w="1300" w:type="dxa"/>
            <w:tcBorders>
              <w:top w:val="nil"/>
              <w:left w:val="nil"/>
              <w:bottom w:val="nil"/>
              <w:right w:val="nil"/>
            </w:tcBorders>
            <w:shd w:val="clear" w:color="auto" w:fill="auto"/>
            <w:noWrap/>
            <w:vAlign w:val="center"/>
            <w:hideMark/>
          </w:tcPr>
          <w:p w14:paraId="55CBD814"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c>
          <w:tcPr>
            <w:tcW w:w="1300" w:type="dxa"/>
            <w:tcBorders>
              <w:top w:val="nil"/>
              <w:left w:val="nil"/>
              <w:bottom w:val="nil"/>
              <w:right w:val="nil"/>
            </w:tcBorders>
            <w:shd w:val="clear" w:color="auto" w:fill="auto"/>
            <w:noWrap/>
            <w:vAlign w:val="center"/>
            <w:hideMark/>
          </w:tcPr>
          <w:p w14:paraId="082D669D"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50C6455D"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615FE0B1" w14:textId="77777777" w:rsidR="001177F7" w:rsidRPr="001B7E09" w:rsidRDefault="001177F7" w:rsidP="001177F7">
            <w:pPr>
              <w:spacing w:before="0" w:after="0"/>
              <w:jc w:val="center"/>
              <w:rPr>
                <w:sz w:val="18"/>
                <w:szCs w:val="18"/>
                <w:lang w:eastAsia="zh-CN"/>
              </w:rPr>
            </w:pPr>
          </w:p>
        </w:tc>
      </w:tr>
      <w:tr w:rsidR="001177F7" w:rsidRPr="001B7E09" w14:paraId="7C731782" w14:textId="77777777" w:rsidTr="00B77EA5">
        <w:trPr>
          <w:trHeight w:val="260"/>
          <w:jc w:val="center"/>
        </w:trPr>
        <w:tc>
          <w:tcPr>
            <w:tcW w:w="1300" w:type="dxa"/>
            <w:tcBorders>
              <w:top w:val="nil"/>
              <w:left w:val="nil"/>
              <w:bottom w:val="nil"/>
              <w:right w:val="nil"/>
            </w:tcBorders>
            <w:shd w:val="clear" w:color="auto" w:fill="auto"/>
            <w:noWrap/>
            <w:vAlign w:val="center"/>
            <w:hideMark/>
          </w:tcPr>
          <w:p w14:paraId="3026D5A5" w14:textId="77777777" w:rsidR="001177F7" w:rsidRPr="001B7E09" w:rsidRDefault="001177F7" w:rsidP="001177F7">
            <w:pPr>
              <w:spacing w:before="0" w:after="0"/>
              <w:jc w:val="center"/>
              <w:rPr>
                <w:sz w:val="18"/>
                <w:szCs w:val="18"/>
                <w:lang w:eastAsia="zh-CN"/>
              </w:rPr>
            </w:pPr>
            <w:r w:rsidRPr="001B7E09">
              <w:rPr>
                <w:sz w:val="18"/>
                <w:szCs w:val="18"/>
                <w:lang w:eastAsia="zh-CN"/>
              </w:rPr>
              <w:lastRenderedPageBreak/>
              <w:t>RmRf</w:t>
            </w:r>
          </w:p>
        </w:tc>
        <w:tc>
          <w:tcPr>
            <w:tcW w:w="1300" w:type="dxa"/>
            <w:tcBorders>
              <w:top w:val="nil"/>
              <w:left w:val="nil"/>
              <w:bottom w:val="nil"/>
              <w:right w:val="nil"/>
            </w:tcBorders>
            <w:shd w:val="clear" w:color="auto" w:fill="auto"/>
            <w:noWrap/>
            <w:vAlign w:val="center"/>
            <w:hideMark/>
          </w:tcPr>
          <w:p w14:paraId="5CDEE126" w14:textId="77777777" w:rsidR="001177F7" w:rsidRPr="001B7E09" w:rsidRDefault="001177F7" w:rsidP="001177F7">
            <w:pPr>
              <w:spacing w:before="0" w:after="0"/>
              <w:jc w:val="center"/>
              <w:rPr>
                <w:sz w:val="18"/>
                <w:szCs w:val="18"/>
                <w:lang w:eastAsia="zh-CN"/>
              </w:rPr>
            </w:pPr>
            <w:r w:rsidRPr="001B7E09">
              <w:rPr>
                <w:sz w:val="18"/>
                <w:szCs w:val="18"/>
                <w:lang w:eastAsia="zh-CN"/>
              </w:rPr>
              <w:t>0.621***</w:t>
            </w:r>
          </w:p>
        </w:tc>
        <w:tc>
          <w:tcPr>
            <w:tcW w:w="1300" w:type="dxa"/>
            <w:tcBorders>
              <w:top w:val="nil"/>
              <w:left w:val="nil"/>
              <w:bottom w:val="nil"/>
              <w:right w:val="nil"/>
            </w:tcBorders>
            <w:shd w:val="clear" w:color="auto" w:fill="auto"/>
            <w:noWrap/>
            <w:vAlign w:val="center"/>
            <w:hideMark/>
          </w:tcPr>
          <w:p w14:paraId="6D705036" w14:textId="77777777" w:rsidR="001177F7" w:rsidRPr="001B7E09" w:rsidRDefault="001177F7" w:rsidP="001177F7">
            <w:pPr>
              <w:spacing w:before="0" w:after="0"/>
              <w:jc w:val="center"/>
              <w:rPr>
                <w:sz w:val="18"/>
                <w:szCs w:val="18"/>
                <w:lang w:eastAsia="zh-CN"/>
              </w:rPr>
            </w:pPr>
            <w:r w:rsidRPr="001B7E09">
              <w:rPr>
                <w:sz w:val="18"/>
                <w:szCs w:val="18"/>
                <w:lang w:eastAsia="zh-CN"/>
              </w:rPr>
              <w:t>0.100***</w:t>
            </w:r>
          </w:p>
        </w:tc>
        <w:tc>
          <w:tcPr>
            <w:tcW w:w="1300" w:type="dxa"/>
            <w:tcBorders>
              <w:top w:val="nil"/>
              <w:left w:val="nil"/>
              <w:bottom w:val="nil"/>
              <w:right w:val="nil"/>
            </w:tcBorders>
            <w:shd w:val="clear" w:color="auto" w:fill="auto"/>
            <w:noWrap/>
            <w:vAlign w:val="center"/>
            <w:hideMark/>
          </w:tcPr>
          <w:p w14:paraId="08C2068E" w14:textId="77777777" w:rsidR="001177F7" w:rsidRPr="001B7E09" w:rsidRDefault="001177F7" w:rsidP="001177F7">
            <w:pPr>
              <w:spacing w:before="0" w:after="0"/>
              <w:jc w:val="center"/>
              <w:rPr>
                <w:sz w:val="18"/>
                <w:szCs w:val="18"/>
                <w:lang w:eastAsia="zh-CN"/>
              </w:rPr>
            </w:pPr>
            <w:r w:rsidRPr="001B7E09">
              <w:rPr>
                <w:sz w:val="18"/>
                <w:szCs w:val="18"/>
                <w:lang w:eastAsia="zh-CN"/>
              </w:rPr>
              <w:t>0.285***</w:t>
            </w:r>
          </w:p>
        </w:tc>
        <w:tc>
          <w:tcPr>
            <w:tcW w:w="1300" w:type="dxa"/>
            <w:tcBorders>
              <w:top w:val="nil"/>
              <w:left w:val="nil"/>
              <w:bottom w:val="nil"/>
              <w:right w:val="nil"/>
            </w:tcBorders>
            <w:shd w:val="clear" w:color="auto" w:fill="auto"/>
            <w:noWrap/>
            <w:vAlign w:val="center"/>
            <w:hideMark/>
          </w:tcPr>
          <w:p w14:paraId="16822E76"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c>
          <w:tcPr>
            <w:tcW w:w="1300" w:type="dxa"/>
            <w:tcBorders>
              <w:top w:val="nil"/>
              <w:left w:val="nil"/>
              <w:bottom w:val="nil"/>
              <w:right w:val="nil"/>
            </w:tcBorders>
            <w:shd w:val="clear" w:color="auto" w:fill="auto"/>
            <w:noWrap/>
            <w:vAlign w:val="center"/>
            <w:hideMark/>
          </w:tcPr>
          <w:p w14:paraId="1B3D132D" w14:textId="77777777" w:rsidR="001177F7" w:rsidRPr="001B7E09" w:rsidRDefault="001177F7" w:rsidP="001177F7">
            <w:pPr>
              <w:spacing w:before="0" w:after="0"/>
              <w:jc w:val="center"/>
              <w:rPr>
                <w:sz w:val="18"/>
                <w:szCs w:val="18"/>
                <w:lang w:eastAsia="zh-CN"/>
              </w:rPr>
            </w:pPr>
          </w:p>
        </w:tc>
        <w:tc>
          <w:tcPr>
            <w:tcW w:w="1300" w:type="dxa"/>
            <w:tcBorders>
              <w:top w:val="nil"/>
              <w:left w:val="nil"/>
              <w:bottom w:val="nil"/>
              <w:right w:val="nil"/>
            </w:tcBorders>
            <w:shd w:val="clear" w:color="auto" w:fill="auto"/>
            <w:noWrap/>
            <w:vAlign w:val="center"/>
            <w:hideMark/>
          </w:tcPr>
          <w:p w14:paraId="11156291" w14:textId="77777777" w:rsidR="001177F7" w:rsidRPr="001B7E09" w:rsidRDefault="001177F7" w:rsidP="001177F7">
            <w:pPr>
              <w:spacing w:before="0" w:after="0"/>
              <w:jc w:val="center"/>
              <w:rPr>
                <w:sz w:val="18"/>
                <w:szCs w:val="18"/>
                <w:lang w:eastAsia="zh-CN"/>
              </w:rPr>
            </w:pPr>
          </w:p>
        </w:tc>
      </w:tr>
      <w:tr w:rsidR="001177F7" w:rsidRPr="001B7E09" w14:paraId="4D4E7188" w14:textId="77777777" w:rsidTr="00B77EA5">
        <w:trPr>
          <w:trHeight w:val="260"/>
          <w:jc w:val="center"/>
        </w:trPr>
        <w:tc>
          <w:tcPr>
            <w:tcW w:w="1300" w:type="dxa"/>
            <w:tcBorders>
              <w:top w:val="nil"/>
              <w:left w:val="nil"/>
              <w:bottom w:val="nil"/>
              <w:right w:val="nil"/>
            </w:tcBorders>
            <w:shd w:val="clear" w:color="auto" w:fill="auto"/>
            <w:noWrap/>
            <w:vAlign w:val="center"/>
            <w:hideMark/>
          </w:tcPr>
          <w:p w14:paraId="6659D753" w14:textId="77777777" w:rsidR="001177F7" w:rsidRPr="001B7E09" w:rsidRDefault="001177F7" w:rsidP="001177F7">
            <w:pPr>
              <w:spacing w:before="0" w:after="0"/>
              <w:jc w:val="center"/>
              <w:rPr>
                <w:sz w:val="18"/>
                <w:szCs w:val="18"/>
                <w:lang w:eastAsia="zh-CN"/>
              </w:rPr>
            </w:pPr>
            <w:r w:rsidRPr="001B7E09">
              <w:rPr>
                <w:sz w:val="18"/>
                <w:szCs w:val="18"/>
                <w:lang w:eastAsia="zh-CN"/>
              </w:rPr>
              <w:t>SMB</w:t>
            </w:r>
          </w:p>
        </w:tc>
        <w:tc>
          <w:tcPr>
            <w:tcW w:w="1300" w:type="dxa"/>
            <w:tcBorders>
              <w:top w:val="nil"/>
              <w:left w:val="nil"/>
              <w:bottom w:val="nil"/>
              <w:right w:val="nil"/>
            </w:tcBorders>
            <w:shd w:val="clear" w:color="auto" w:fill="auto"/>
            <w:noWrap/>
            <w:vAlign w:val="center"/>
            <w:hideMark/>
          </w:tcPr>
          <w:p w14:paraId="1FA68A28" w14:textId="77777777" w:rsidR="001177F7" w:rsidRPr="001B7E09" w:rsidRDefault="001177F7" w:rsidP="001177F7">
            <w:pPr>
              <w:spacing w:before="0" w:after="0"/>
              <w:jc w:val="center"/>
              <w:rPr>
                <w:sz w:val="18"/>
                <w:szCs w:val="18"/>
                <w:lang w:eastAsia="zh-CN"/>
              </w:rPr>
            </w:pPr>
            <w:r w:rsidRPr="001B7E09">
              <w:rPr>
                <w:sz w:val="18"/>
                <w:szCs w:val="18"/>
                <w:lang w:eastAsia="zh-CN"/>
              </w:rPr>
              <w:t>-0.139***</w:t>
            </w:r>
          </w:p>
        </w:tc>
        <w:tc>
          <w:tcPr>
            <w:tcW w:w="1300" w:type="dxa"/>
            <w:tcBorders>
              <w:top w:val="nil"/>
              <w:left w:val="nil"/>
              <w:bottom w:val="nil"/>
              <w:right w:val="nil"/>
            </w:tcBorders>
            <w:shd w:val="clear" w:color="auto" w:fill="auto"/>
            <w:noWrap/>
            <w:vAlign w:val="center"/>
            <w:hideMark/>
          </w:tcPr>
          <w:p w14:paraId="530EF5CC" w14:textId="77777777" w:rsidR="001177F7" w:rsidRPr="001B7E09" w:rsidRDefault="001177F7" w:rsidP="001177F7">
            <w:pPr>
              <w:spacing w:before="0" w:after="0"/>
              <w:jc w:val="center"/>
              <w:rPr>
                <w:sz w:val="18"/>
                <w:szCs w:val="18"/>
                <w:lang w:eastAsia="zh-CN"/>
              </w:rPr>
            </w:pPr>
            <w:r w:rsidRPr="001B7E09">
              <w:rPr>
                <w:sz w:val="18"/>
                <w:szCs w:val="18"/>
                <w:lang w:eastAsia="zh-CN"/>
              </w:rPr>
              <w:t>0.051***</w:t>
            </w:r>
          </w:p>
        </w:tc>
        <w:tc>
          <w:tcPr>
            <w:tcW w:w="1300" w:type="dxa"/>
            <w:tcBorders>
              <w:top w:val="nil"/>
              <w:left w:val="nil"/>
              <w:bottom w:val="nil"/>
              <w:right w:val="nil"/>
            </w:tcBorders>
            <w:shd w:val="clear" w:color="auto" w:fill="auto"/>
            <w:noWrap/>
            <w:vAlign w:val="center"/>
            <w:hideMark/>
          </w:tcPr>
          <w:p w14:paraId="7FF88812" w14:textId="77777777" w:rsidR="001177F7" w:rsidRPr="001B7E09" w:rsidRDefault="001177F7" w:rsidP="001177F7">
            <w:pPr>
              <w:spacing w:before="0" w:after="0"/>
              <w:jc w:val="center"/>
              <w:rPr>
                <w:sz w:val="18"/>
                <w:szCs w:val="18"/>
                <w:lang w:eastAsia="zh-CN"/>
              </w:rPr>
            </w:pPr>
            <w:r w:rsidRPr="001B7E09">
              <w:rPr>
                <w:sz w:val="18"/>
                <w:szCs w:val="18"/>
                <w:lang w:eastAsia="zh-CN"/>
              </w:rPr>
              <w:t>-0.066***</w:t>
            </w:r>
          </w:p>
        </w:tc>
        <w:tc>
          <w:tcPr>
            <w:tcW w:w="1300" w:type="dxa"/>
            <w:tcBorders>
              <w:top w:val="nil"/>
              <w:left w:val="nil"/>
              <w:bottom w:val="nil"/>
              <w:right w:val="nil"/>
            </w:tcBorders>
            <w:shd w:val="clear" w:color="auto" w:fill="auto"/>
            <w:noWrap/>
            <w:vAlign w:val="center"/>
            <w:hideMark/>
          </w:tcPr>
          <w:p w14:paraId="7C890921" w14:textId="77777777" w:rsidR="001177F7" w:rsidRPr="001B7E09" w:rsidRDefault="001177F7" w:rsidP="001177F7">
            <w:pPr>
              <w:spacing w:before="0" w:after="0"/>
              <w:jc w:val="center"/>
              <w:rPr>
                <w:sz w:val="18"/>
                <w:szCs w:val="18"/>
                <w:lang w:eastAsia="zh-CN"/>
              </w:rPr>
            </w:pPr>
            <w:r w:rsidRPr="001B7E09">
              <w:rPr>
                <w:sz w:val="18"/>
                <w:szCs w:val="18"/>
                <w:lang w:eastAsia="zh-CN"/>
              </w:rPr>
              <w:t>-0.379***</w:t>
            </w:r>
          </w:p>
        </w:tc>
        <w:tc>
          <w:tcPr>
            <w:tcW w:w="1300" w:type="dxa"/>
            <w:tcBorders>
              <w:top w:val="nil"/>
              <w:left w:val="nil"/>
              <w:bottom w:val="nil"/>
              <w:right w:val="nil"/>
            </w:tcBorders>
            <w:shd w:val="clear" w:color="auto" w:fill="auto"/>
            <w:noWrap/>
            <w:vAlign w:val="center"/>
            <w:hideMark/>
          </w:tcPr>
          <w:p w14:paraId="30303B17"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c>
          <w:tcPr>
            <w:tcW w:w="1300" w:type="dxa"/>
            <w:tcBorders>
              <w:top w:val="nil"/>
              <w:left w:val="nil"/>
              <w:bottom w:val="nil"/>
              <w:right w:val="nil"/>
            </w:tcBorders>
            <w:shd w:val="clear" w:color="auto" w:fill="auto"/>
            <w:noWrap/>
            <w:vAlign w:val="center"/>
            <w:hideMark/>
          </w:tcPr>
          <w:p w14:paraId="45579DD3" w14:textId="77777777" w:rsidR="001177F7" w:rsidRPr="001B7E09" w:rsidRDefault="001177F7" w:rsidP="001177F7">
            <w:pPr>
              <w:spacing w:before="0" w:after="0"/>
              <w:jc w:val="center"/>
              <w:rPr>
                <w:sz w:val="18"/>
                <w:szCs w:val="18"/>
                <w:lang w:eastAsia="zh-CN"/>
              </w:rPr>
            </w:pPr>
          </w:p>
        </w:tc>
      </w:tr>
      <w:tr w:rsidR="001177F7" w:rsidRPr="001B7E09" w14:paraId="4B2F51BB" w14:textId="77777777" w:rsidTr="00B77EA5">
        <w:trPr>
          <w:trHeight w:val="260"/>
          <w:jc w:val="center"/>
        </w:trPr>
        <w:tc>
          <w:tcPr>
            <w:tcW w:w="1300" w:type="dxa"/>
            <w:tcBorders>
              <w:top w:val="nil"/>
              <w:left w:val="nil"/>
              <w:bottom w:val="single" w:sz="4" w:space="0" w:color="000000"/>
              <w:right w:val="nil"/>
            </w:tcBorders>
            <w:shd w:val="clear" w:color="auto" w:fill="auto"/>
            <w:noWrap/>
            <w:vAlign w:val="center"/>
            <w:hideMark/>
          </w:tcPr>
          <w:p w14:paraId="55664BFE" w14:textId="77777777" w:rsidR="001177F7" w:rsidRPr="001B7E09" w:rsidRDefault="001177F7" w:rsidP="001177F7">
            <w:pPr>
              <w:spacing w:before="0" w:after="0"/>
              <w:jc w:val="center"/>
              <w:rPr>
                <w:sz w:val="18"/>
                <w:szCs w:val="18"/>
                <w:lang w:eastAsia="zh-CN"/>
              </w:rPr>
            </w:pPr>
            <w:r w:rsidRPr="001B7E09">
              <w:rPr>
                <w:sz w:val="18"/>
                <w:szCs w:val="18"/>
                <w:lang w:eastAsia="zh-CN"/>
              </w:rPr>
              <w:t>HML</w:t>
            </w:r>
          </w:p>
        </w:tc>
        <w:tc>
          <w:tcPr>
            <w:tcW w:w="1300" w:type="dxa"/>
            <w:tcBorders>
              <w:top w:val="nil"/>
              <w:left w:val="nil"/>
              <w:bottom w:val="single" w:sz="4" w:space="0" w:color="000000"/>
              <w:right w:val="nil"/>
            </w:tcBorders>
            <w:shd w:val="clear" w:color="auto" w:fill="auto"/>
            <w:noWrap/>
            <w:vAlign w:val="center"/>
            <w:hideMark/>
          </w:tcPr>
          <w:p w14:paraId="507E2417" w14:textId="77777777" w:rsidR="001177F7" w:rsidRPr="001B7E09" w:rsidRDefault="001177F7" w:rsidP="001177F7">
            <w:pPr>
              <w:spacing w:before="0" w:after="0"/>
              <w:jc w:val="center"/>
              <w:rPr>
                <w:sz w:val="18"/>
                <w:szCs w:val="18"/>
                <w:lang w:eastAsia="zh-CN"/>
              </w:rPr>
            </w:pPr>
            <w:r w:rsidRPr="001B7E09">
              <w:rPr>
                <w:sz w:val="18"/>
                <w:szCs w:val="18"/>
                <w:lang w:eastAsia="zh-CN"/>
              </w:rPr>
              <w:t>0.320***</w:t>
            </w:r>
          </w:p>
        </w:tc>
        <w:tc>
          <w:tcPr>
            <w:tcW w:w="1300" w:type="dxa"/>
            <w:tcBorders>
              <w:top w:val="nil"/>
              <w:left w:val="nil"/>
              <w:bottom w:val="single" w:sz="4" w:space="0" w:color="000000"/>
              <w:right w:val="nil"/>
            </w:tcBorders>
            <w:shd w:val="clear" w:color="auto" w:fill="auto"/>
            <w:noWrap/>
            <w:vAlign w:val="center"/>
            <w:hideMark/>
          </w:tcPr>
          <w:p w14:paraId="123B77E0" w14:textId="77777777" w:rsidR="001177F7" w:rsidRPr="001B7E09" w:rsidRDefault="001177F7" w:rsidP="001177F7">
            <w:pPr>
              <w:spacing w:before="0" w:after="0"/>
              <w:jc w:val="center"/>
              <w:rPr>
                <w:sz w:val="18"/>
                <w:szCs w:val="18"/>
                <w:lang w:eastAsia="zh-CN"/>
              </w:rPr>
            </w:pPr>
            <w:r w:rsidRPr="001B7E09">
              <w:rPr>
                <w:sz w:val="18"/>
                <w:szCs w:val="18"/>
                <w:lang w:eastAsia="zh-CN"/>
              </w:rPr>
              <w:t>0.118***</w:t>
            </w:r>
          </w:p>
        </w:tc>
        <w:tc>
          <w:tcPr>
            <w:tcW w:w="1300" w:type="dxa"/>
            <w:tcBorders>
              <w:top w:val="nil"/>
              <w:left w:val="nil"/>
              <w:bottom w:val="single" w:sz="4" w:space="0" w:color="000000"/>
              <w:right w:val="nil"/>
            </w:tcBorders>
            <w:shd w:val="clear" w:color="auto" w:fill="auto"/>
            <w:noWrap/>
            <w:vAlign w:val="center"/>
            <w:hideMark/>
          </w:tcPr>
          <w:p w14:paraId="0E7286F9" w14:textId="77777777" w:rsidR="001177F7" w:rsidRPr="001B7E09" w:rsidRDefault="001177F7" w:rsidP="001177F7">
            <w:pPr>
              <w:spacing w:before="0" w:after="0"/>
              <w:jc w:val="center"/>
              <w:rPr>
                <w:sz w:val="18"/>
                <w:szCs w:val="18"/>
                <w:lang w:eastAsia="zh-CN"/>
              </w:rPr>
            </w:pPr>
            <w:r w:rsidRPr="001B7E09">
              <w:rPr>
                <w:sz w:val="18"/>
                <w:szCs w:val="18"/>
                <w:lang w:eastAsia="zh-CN"/>
              </w:rPr>
              <w:t>0.238***</w:t>
            </w:r>
          </w:p>
        </w:tc>
        <w:tc>
          <w:tcPr>
            <w:tcW w:w="1300" w:type="dxa"/>
            <w:tcBorders>
              <w:top w:val="nil"/>
              <w:left w:val="nil"/>
              <w:bottom w:val="single" w:sz="4" w:space="0" w:color="000000"/>
              <w:right w:val="nil"/>
            </w:tcBorders>
            <w:shd w:val="clear" w:color="auto" w:fill="auto"/>
            <w:noWrap/>
            <w:vAlign w:val="center"/>
            <w:hideMark/>
          </w:tcPr>
          <w:p w14:paraId="5AB0B394" w14:textId="77777777" w:rsidR="001177F7" w:rsidRPr="001B7E09" w:rsidRDefault="001177F7" w:rsidP="001177F7">
            <w:pPr>
              <w:spacing w:before="0" w:after="0"/>
              <w:jc w:val="center"/>
              <w:rPr>
                <w:sz w:val="18"/>
                <w:szCs w:val="18"/>
                <w:lang w:eastAsia="zh-CN"/>
              </w:rPr>
            </w:pPr>
            <w:r w:rsidRPr="001B7E09">
              <w:rPr>
                <w:sz w:val="18"/>
                <w:szCs w:val="18"/>
                <w:lang w:eastAsia="zh-CN"/>
              </w:rPr>
              <w:t>0.376***</w:t>
            </w:r>
          </w:p>
        </w:tc>
        <w:tc>
          <w:tcPr>
            <w:tcW w:w="1300" w:type="dxa"/>
            <w:tcBorders>
              <w:top w:val="nil"/>
              <w:left w:val="nil"/>
              <w:bottom w:val="single" w:sz="4" w:space="0" w:color="000000"/>
              <w:right w:val="nil"/>
            </w:tcBorders>
            <w:shd w:val="clear" w:color="auto" w:fill="auto"/>
            <w:noWrap/>
            <w:vAlign w:val="center"/>
            <w:hideMark/>
          </w:tcPr>
          <w:p w14:paraId="47E62CA7" w14:textId="77777777" w:rsidR="001177F7" w:rsidRPr="001B7E09" w:rsidRDefault="001177F7" w:rsidP="001177F7">
            <w:pPr>
              <w:spacing w:before="0" w:after="0"/>
              <w:jc w:val="center"/>
              <w:rPr>
                <w:sz w:val="18"/>
                <w:szCs w:val="18"/>
                <w:lang w:eastAsia="zh-CN"/>
              </w:rPr>
            </w:pPr>
            <w:r w:rsidRPr="001B7E09">
              <w:rPr>
                <w:sz w:val="18"/>
                <w:szCs w:val="18"/>
                <w:lang w:eastAsia="zh-CN"/>
              </w:rPr>
              <w:t>-0.214***</w:t>
            </w:r>
          </w:p>
        </w:tc>
        <w:tc>
          <w:tcPr>
            <w:tcW w:w="1300" w:type="dxa"/>
            <w:tcBorders>
              <w:top w:val="nil"/>
              <w:left w:val="nil"/>
              <w:bottom w:val="single" w:sz="4" w:space="0" w:color="000000"/>
              <w:right w:val="nil"/>
            </w:tcBorders>
            <w:shd w:val="clear" w:color="auto" w:fill="auto"/>
            <w:noWrap/>
            <w:vAlign w:val="center"/>
            <w:hideMark/>
          </w:tcPr>
          <w:p w14:paraId="644BCE1E" w14:textId="77777777" w:rsidR="001177F7" w:rsidRPr="001B7E09" w:rsidRDefault="001177F7" w:rsidP="001177F7">
            <w:pPr>
              <w:spacing w:before="0" w:after="0"/>
              <w:jc w:val="center"/>
              <w:rPr>
                <w:sz w:val="18"/>
                <w:szCs w:val="18"/>
                <w:lang w:eastAsia="zh-CN"/>
              </w:rPr>
            </w:pPr>
            <w:r w:rsidRPr="001B7E09">
              <w:rPr>
                <w:sz w:val="18"/>
                <w:szCs w:val="18"/>
                <w:lang w:eastAsia="zh-CN"/>
              </w:rPr>
              <w:t>1</w:t>
            </w:r>
          </w:p>
        </w:tc>
      </w:tr>
    </w:tbl>
    <w:p w14:paraId="3AD5F807" w14:textId="2D2FAE4B" w:rsidR="00182990" w:rsidRPr="00063700" w:rsidRDefault="00182990" w:rsidP="00E52D0C">
      <w:pPr>
        <w:pStyle w:val="BalloonText"/>
        <w:rPr>
          <w:rStyle w:val="SubtleReference"/>
          <w:smallCaps w:val="0"/>
          <w:color w:val="auto"/>
          <w:sz w:val="18"/>
        </w:rPr>
      </w:pPr>
      <w:r w:rsidRPr="00063700">
        <w:t>*** p&lt;0.01, ** p&lt;0.05, * p&lt;0.1</w:t>
      </w:r>
      <w:r w:rsidR="00063700">
        <w:rPr>
          <w:rStyle w:val="SubtleReference"/>
          <w:smallCaps w:val="0"/>
          <w:color w:val="auto"/>
          <w:sz w:val="18"/>
        </w:rPr>
        <w:t xml:space="preserve">                                                                                                              </w:t>
      </w:r>
      <w:r w:rsidRPr="00A83F4D">
        <w:rPr>
          <w:rStyle w:val="SubtleReference"/>
        </w:rPr>
        <w:t>Source: Author (2023)</w:t>
      </w:r>
    </w:p>
    <w:p w14:paraId="2DEB8F3D" w14:textId="77777777" w:rsidR="00182990" w:rsidRPr="004B6B02" w:rsidRDefault="00182990" w:rsidP="00D3639B">
      <w:pPr>
        <w:rPr>
          <w:szCs w:val="22"/>
        </w:rPr>
      </w:pPr>
    </w:p>
    <w:p w14:paraId="40E2D19B" w14:textId="77777777" w:rsidR="00182990" w:rsidRPr="008B5BAD" w:rsidRDefault="00182990" w:rsidP="00D3639B">
      <w:pPr>
        <w:pStyle w:val="Heading1"/>
      </w:pPr>
      <w:r w:rsidRPr="008B5BAD">
        <w:t>5 RESULTS</w:t>
      </w:r>
    </w:p>
    <w:p w14:paraId="25B175B0" w14:textId="0DF47CD2" w:rsidR="00182990" w:rsidRDefault="00182990" w:rsidP="00D3639B">
      <w:pPr>
        <w:rPr>
          <w:szCs w:val="22"/>
        </w:rPr>
      </w:pPr>
      <w:r w:rsidRPr="004B6B02">
        <w:rPr>
          <w:szCs w:val="22"/>
        </w:rPr>
        <w:t xml:space="preserve">Estimation results of </w:t>
      </w:r>
      <w:r>
        <w:rPr>
          <w:szCs w:val="22"/>
        </w:rPr>
        <w:t>r</w:t>
      </w:r>
      <w:r w:rsidRPr="004B6B02">
        <w:rPr>
          <w:szCs w:val="22"/>
        </w:rPr>
        <w:t xml:space="preserve">egression models </w:t>
      </w:r>
      <w:r>
        <w:rPr>
          <w:szCs w:val="22"/>
        </w:rPr>
        <w:t xml:space="preserve">(1) to (5) for the full sample period from January 2006 to December 2021 </w:t>
      </w:r>
      <w:r w:rsidRPr="004B6B02">
        <w:rPr>
          <w:szCs w:val="22"/>
        </w:rPr>
        <w:t xml:space="preserve">are summarised in Table 5 (WM Index) and Table </w:t>
      </w:r>
      <w:r w:rsidR="00324DEE">
        <w:rPr>
          <w:szCs w:val="22"/>
        </w:rPr>
        <w:t>6</w:t>
      </w:r>
      <w:r w:rsidRPr="004B6B02">
        <w:rPr>
          <w:szCs w:val="22"/>
        </w:rPr>
        <w:t xml:space="preserve"> (</w:t>
      </w:r>
      <w:r>
        <w:rPr>
          <w:szCs w:val="22"/>
        </w:rPr>
        <w:t>AR</w:t>
      </w:r>
      <w:r w:rsidRPr="004B6B02">
        <w:rPr>
          <w:szCs w:val="22"/>
        </w:rPr>
        <w:t xml:space="preserve"> Index). </w:t>
      </w:r>
      <w:r w:rsidR="00A72410">
        <w:rPr>
          <w:szCs w:val="22"/>
        </w:rPr>
        <w:t xml:space="preserve">When using WM Index as the sentiment proxy of A-REITs investors, all the coefficients of the change rate of WM Index are positive and significant at the 5% level. This result is in line with previous studies, such as </w:t>
      </w:r>
      <w:r w:rsidR="00A72410">
        <w:rPr>
          <w:szCs w:val="22"/>
        </w:rPr>
        <w:fldChar w:fldCharType="begin"/>
      </w:r>
      <w:r w:rsidR="00A72410">
        <w:rPr>
          <w:szCs w:val="22"/>
        </w:rPr>
        <w:instrText xml:space="preserve"> ADDIN EN.CITE &lt;EndNote&gt;&lt;Cite AuthorYear="1"&gt;&lt;Author&gt;Huerta&lt;/Author&gt;&lt;Year&gt;2015&lt;/Year&gt;&lt;RecNum&gt;32&lt;/RecNum&gt;&lt;DisplayText&gt;Huerta, Jackson and Ngo (2015); Huerta-Sanchez and Escobari (2018)&lt;/DisplayText&gt;&lt;record&gt;&lt;rec-number&gt;32&lt;/rec-number&gt;&lt;foreign-keys&gt;&lt;key app="EN" db-id="e9xrw0ppjrxazme9sdavssd69wf90saf5s09" timestamp="1638857160" guid="881bbc9a-df29-4f6e-be11-8e436884a533"&gt;32&lt;/key&gt;&lt;/foreign-keys&gt;&lt;ref-type name="Journal Article"&gt;17&lt;/ref-type&gt;&lt;contributors&gt;&lt;authors&gt;&lt;author&gt;Huerta, Daniel&lt;/author&gt;&lt;author&gt;Jackson, Dave O.&lt;/author&gt;&lt;author&gt;Ngo, Thanh&lt;/author&gt;&lt;/authors&gt;&lt;/contributors&gt;&lt;titles&gt;&lt;title&gt;Categorizing sentiment and its impact on REIT returns&lt;/title&gt;&lt;secondary-title&gt;Managerial Finance&lt;/secondary-title&gt;&lt;/titles&gt;&lt;periodical&gt;&lt;full-title&gt;Managerial Finance&lt;/full-title&gt;&lt;/periodical&gt;&lt;pages&gt;958-973&lt;/pages&gt;&lt;volume&gt;41&lt;/volume&gt;&lt;number&gt;9&lt;/number&gt;&lt;dates&gt;&lt;year&gt;2015&lt;/year&gt;&lt;/dates&gt;&lt;publisher&gt;Emerald Group Publishing Limited&lt;/publisher&gt;&lt;isbn&gt;0307-4358&lt;/isbn&gt;&lt;urls&gt;&lt;related-urls&gt;&lt;url&gt;https://doi.org/10.1108/MF-06-2014-0164&lt;/url&gt;&lt;/related-urls&gt;&lt;/urls&gt;&lt;electronic-resource-num&gt;10.1108/MF-06-2014-0164&lt;/electronic-resource-num&gt;&lt;access-date&gt;2021/12/07&lt;/access-date&gt;&lt;/record&gt;&lt;/Cite&gt;&lt;Cite AuthorYear="1"&gt;&lt;Author&gt;Huerta-Sanchez&lt;/Author&gt;&lt;Year&gt;2018&lt;/Year&gt;&lt;RecNum&gt;44&lt;/RecNum&gt;&lt;record&gt;&lt;rec-number&gt;44&lt;/rec-number&gt;&lt;foreign-keys&gt;&lt;key app="EN" db-id="e9xrw0ppjrxazme9sdavssd69wf90saf5s09" timestamp="1638890527" guid="fff9fdbf-95a1-4e58-a59c-ed7d0563f406"&gt;44&lt;/key&gt;&lt;/foreign-keys&gt;&lt;ref-type name="Journal Article"&gt;17&lt;/ref-type&gt;&lt;contributors&gt;&lt;authors&gt;&lt;author&gt;Huerta-Sanchez, Daniel&lt;/author&gt;&lt;author&gt;Escobari, Diego&lt;/author&gt;&lt;/authors&gt;&lt;/contributors&gt;&lt;titles&gt;&lt;title&gt;Changes in sentiment on REIT industry excess returns and volatility&lt;/title&gt;&lt;secondary-title&gt;Financial Markets and Portfolio Management&lt;/secondary-title&gt;&lt;/titles&gt;&lt;periodical&gt;&lt;full-title&gt;Financial Markets and Portfolio Management&lt;/full-title&gt;&lt;/periodical&gt;&lt;pages&gt;239-274&lt;/pages&gt;&lt;volume&gt;32&lt;/volume&gt;&lt;number&gt;3&lt;/number&gt;&lt;dates&gt;&lt;year&gt;2018&lt;/year&gt;&lt;/dates&gt;&lt;isbn&gt;2373-8529&lt;/isbn&gt;&lt;urls&gt;&lt;/urls&gt;&lt;/record&gt;&lt;/Cite&gt;&lt;/EndNote&gt;</w:instrText>
      </w:r>
      <w:r w:rsidR="00A72410">
        <w:rPr>
          <w:szCs w:val="22"/>
        </w:rPr>
        <w:fldChar w:fldCharType="separate"/>
      </w:r>
      <w:r w:rsidR="00A72410">
        <w:rPr>
          <w:noProof/>
          <w:szCs w:val="22"/>
        </w:rPr>
        <w:t>Huerta, Jackson and Ngo (2015); Huerta-Sanchez and Escobari (2018)</w:t>
      </w:r>
      <w:r w:rsidR="00A72410">
        <w:rPr>
          <w:szCs w:val="22"/>
        </w:rPr>
        <w:fldChar w:fldCharType="end"/>
      </w:r>
      <w:r w:rsidR="00A72410">
        <w:rPr>
          <w:szCs w:val="22"/>
        </w:rPr>
        <w:t xml:space="preserve"> and </w:t>
      </w:r>
      <w:r w:rsidR="00A72410">
        <w:rPr>
          <w:szCs w:val="22"/>
        </w:rPr>
        <w:fldChar w:fldCharType="begin"/>
      </w:r>
      <w:r w:rsidR="00A72410">
        <w:rPr>
          <w:szCs w:val="22"/>
        </w:rPr>
        <w:instrText xml:space="preserve"> ADDIN EN.CITE &lt;EndNote&gt;&lt;Cite AuthorYear="1"&gt;&lt;Author&gt;Lin&lt;/Author&gt;&lt;Year&gt;2008&lt;/Year&gt;&lt;RecNum&gt;1&lt;/RecNum&gt;&lt;DisplayText&gt;Lin, Rahman and Yung (2008)&lt;/DisplayText&gt;&lt;record&gt;&lt;rec-number&gt;1&lt;/rec-number&gt;&lt;foreign-keys&gt;&lt;key app="EN" db-id="e9xrw0ppjrxazme9sdavssd69wf90saf5s09" timestamp="1638694753" guid="a383aec7-d447-4945-b6e2-393379b564a8"&gt;1&lt;/key&gt;&lt;/foreign-keys&gt;&lt;ref-type name="Journal Article"&gt;17&lt;/ref-type&gt;&lt;contributors&gt;&lt;authors&gt;&lt;author&gt;Lin, Crystal Yan&lt;/author&gt;&lt;author&gt;Rahman, Hamid&lt;/author&gt;&lt;author&gt;Yung, Kenneth&lt;/author&gt;&lt;/authors&gt;&lt;/contributors&gt;&lt;titles&gt;&lt;title&gt;Investor Sentiment and REIT Returns&lt;/title&gt;&lt;secondary-title&gt;The Journal of Real Estate Finance and Economics&lt;/secondary-title&gt;&lt;/titles&gt;&lt;periodical&gt;&lt;full-title&gt;The Journal of Real Estate Finance and Economics&lt;/full-title&gt;&lt;/periodical&gt;&lt;pages&gt;450&lt;/pages&gt;&lt;volume&gt;39&lt;/volume&gt;&lt;number&gt;4&lt;/number&gt;&lt;dates&gt;&lt;year&gt;2008&lt;/year&gt;&lt;pub-dates&gt;&lt;date&gt;2008/06/03&lt;/date&gt;&lt;/pub-dates&gt;&lt;/dates&gt;&lt;isbn&gt;1573-045X&lt;/isbn&gt;&lt;urls&gt;&lt;related-urls&gt;&lt;url&gt;https://doi.org/10.1007/s11146-008-9115-5&lt;/url&gt;&lt;/related-urls&gt;&lt;/urls&gt;&lt;electronic-resource-num&gt;10.1007/s11146-008-9115-5&lt;/electronic-resource-num&gt;&lt;/record&gt;&lt;/Cite&gt;&lt;/EndNote&gt;</w:instrText>
      </w:r>
      <w:r w:rsidR="00A72410">
        <w:rPr>
          <w:szCs w:val="22"/>
        </w:rPr>
        <w:fldChar w:fldCharType="separate"/>
      </w:r>
      <w:r w:rsidR="00A72410">
        <w:rPr>
          <w:noProof/>
          <w:szCs w:val="22"/>
        </w:rPr>
        <w:t>Lin, Rahman and Yung (2008)</w:t>
      </w:r>
      <w:r w:rsidR="00A72410">
        <w:rPr>
          <w:szCs w:val="22"/>
        </w:rPr>
        <w:fldChar w:fldCharType="end"/>
      </w:r>
      <w:r w:rsidR="00A72410">
        <w:rPr>
          <w:szCs w:val="22"/>
        </w:rPr>
        <w:t>. The p</w:t>
      </w:r>
      <w:r w:rsidR="00A72410" w:rsidRPr="003C3233">
        <w:rPr>
          <w:szCs w:val="22"/>
        </w:rPr>
        <w:t>ositive correlation implies that when investor sentiment becomes optimistic (WM Index's rate of change is positive), the returns of A-REITs increase, and conversely, when investor sentiment becomes pessimistic (WM Index's rate of change is negative), the returns of A-REITs decrease.</w:t>
      </w:r>
      <w:r w:rsidR="00A72410">
        <w:rPr>
          <w:szCs w:val="22"/>
        </w:rPr>
        <w:t xml:space="preserve"> In addition, all the coefficients of the three Fama-French factors (RmRf, SMB and </w:t>
      </w:r>
      <w:r w:rsidR="00A72410" w:rsidRPr="00B14590">
        <w:rPr>
          <w:szCs w:val="22"/>
        </w:rPr>
        <w:t>HML) are positive and significant at the 1% level. This affirms the validity of the Fama-French Three Factor Model in the A-REIT market. In model</w:t>
      </w:r>
      <w:r w:rsidR="00A72410">
        <w:rPr>
          <w:szCs w:val="22"/>
        </w:rPr>
        <w:t xml:space="preserve"> (5), the WM Index still be significant when Fama-French three factors have been included, which suggests that the investor sentiment has an independent effect. The explanatory power of this series </w:t>
      </w:r>
      <w:r w:rsidR="007A2C7A">
        <w:rPr>
          <w:szCs w:val="22"/>
        </w:rPr>
        <w:t xml:space="preserve">of </w:t>
      </w:r>
      <w:r w:rsidR="00A72410">
        <w:rPr>
          <w:szCs w:val="22"/>
        </w:rPr>
        <w:t xml:space="preserve">models, which </w:t>
      </w:r>
      <w:r w:rsidR="00AC2DE4">
        <w:rPr>
          <w:szCs w:val="22"/>
        </w:rPr>
        <w:t xml:space="preserve">is </w:t>
      </w:r>
      <w:r w:rsidR="00A72410">
        <w:rPr>
          <w:szCs w:val="22"/>
        </w:rPr>
        <w:t>explain</w:t>
      </w:r>
      <w:r w:rsidR="00AC2DE4">
        <w:rPr>
          <w:szCs w:val="22"/>
        </w:rPr>
        <w:t>ed</w:t>
      </w:r>
      <w:r w:rsidR="00A72410">
        <w:rPr>
          <w:szCs w:val="22"/>
        </w:rPr>
        <w:t xml:space="preserve"> by Adjusted R-Square, is significantly increased. The highest Adjusted R-Square is 0.408 in </w:t>
      </w:r>
      <w:r w:rsidR="007D1F68">
        <w:rPr>
          <w:szCs w:val="22"/>
        </w:rPr>
        <w:t xml:space="preserve">the </w:t>
      </w:r>
      <w:r w:rsidR="00A72410">
        <w:rPr>
          <w:szCs w:val="22"/>
        </w:rPr>
        <w:t xml:space="preserve">model (5), which includes investor sentiment proxy and Fama-French three factors. </w:t>
      </w:r>
    </w:p>
    <w:p w14:paraId="60F83A26" w14:textId="77777777" w:rsidR="00943AAA" w:rsidRDefault="00943AAA" w:rsidP="00D3639B">
      <w:pPr>
        <w:rPr>
          <w:szCs w:val="22"/>
        </w:rPr>
      </w:pPr>
    </w:p>
    <w:p w14:paraId="389AF813" w14:textId="35CEB321" w:rsidR="00910D8B" w:rsidRDefault="00910D8B" w:rsidP="00910D8B">
      <w:pPr>
        <w:pStyle w:val="Caption"/>
        <w:keepNext/>
      </w:pPr>
      <w:r>
        <w:t xml:space="preserve">Table </w:t>
      </w:r>
      <w:fldSimple w:instr=" SEQ Table \* ARABIC ">
        <w:r w:rsidR="00075F85">
          <w:rPr>
            <w:noProof/>
          </w:rPr>
          <w:t>5</w:t>
        </w:r>
      </w:fldSimple>
      <w:r>
        <w:t xml:space="preserve"> Regression Results (WM Index)</w:t>
      </w:r>
    </w:p>
    <w:tbl>
      <w:tblPr>
        <w:tblW w:w="9147" w:type="dxa"/>
        <w:jc w:val="center"/>
        <w:tblLayout w:type="fixed"/>
        <w:tblCellMar>
          <w:left w:w="75" w:type="dxa"/>
          <w:right w:w="75" w:type="dxa"/>
        </w:tblCellMar>
        <w:tblLook w:val="0000" w:firstRow="0" w:lastRow="0" w:firstColumn="0" w:lastColumn="0" w:noHBand="0" w:noVBand="0"/>
      </w:tblPr>
      <w:tblGrid>
        <w:gridCol w:w="1947"/>
        <w:gridCol w:w="1440"/>
        <w:gridCol w:w="1440"/>
        <w:gridCol w:w="1440"/>
        <w:gridCol w:w="1440"/>
        <w:gridCol w:w="1440"/>
      </w:tblGrid>
      <w:tr w:rsidR="00544B2B" w:rsidRPr="001B7E09" w14:paraId="58E42594" w14:textId="77777777" w:rsidTr="009B5F1C">
        <w:trPr>
          <w:jc w:val="center"/>
        </w:trPr>
        <w:tc>
          <w:tcPr>
            <w:tcW w:w="1947" w:type="dxa"/>
            <w:vMerge w:val="restart"/>
            <w:tcBorders>
              <w:top w:val="single" w:sz="6" w:space="0" w:color="auto"/>
              <w:left w:val="nil"/>
              <w:right w:val="nil"/>
            </w:tcBorders>
            <w:vAlign w:val="center"/>
          </w:tcPr>
          <w:p w14:paraId="053A847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VARIABLES</w:t>
            </w:r>
          </w:p>
        </w:tc>
        <w:tc>
          <w:tcPr>
            <w:tcW w:w="1440" w:type="dxa"/>
            <w:tcBorders>
              <w:top w:val="single" w:sz="6" w:space="0" w:color="auto"/>
              <w:left w:val="nil"/>
              <w:bottom w:val="nil"/>
              <w:right w:val="nil"/>
            </w:tcBorders>
            <w:vAlign w:val="center"/>
          </w:tcPr>
          <w:p w14:paraId="30F7E70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w:t>
            </w:r>
          </w:p>
        </w:tc>
        <w:tc>
          <w:tcPr>
            <w:tcW w:w="1440" w:type="dxa"/>
            <w:tcBorders>
              <w:top w:val="single" w:sz="6" w:space="0" w:color="auto"/>
              <w:left w:val="nil"/>
              <w:bottom w:val="nil"/>
              <w:right w:val="nil"/>
            </w:tcBorders>
            <w:vAlign w:val="center"/>
          </w:tcPr>
          <w:p w14:paraId="3165BFD2"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w:t>
            </w:r>
          </w:p>
        </w:tc>
        <w:tc>
          <w:tcPr>
            <w:tcW w:w="1440" w:type="dxa"/>
            <w:tcBorders>
              <w:top w:val="single" w:sz="6" w:space="0" w:color="auto"/>
              <w:left w:val="nil"/>
              <w:bottom w:val="nil"/>
              <w:right w:val="nil"/>
            </w:tcBorders>
            <w:vAlign w:val="center"/>
          </w:tcPr>
          <w:p w14:paraId="277CA672"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w:t>
            </w:r>
          </w:p>
        </w:tc>
        <w:tc>
          <w:tcPr>
            <w:tcW w:w="1440" w:type="dxa"/>
            <w:tcBorders>
              <w:top w:val="single" w:sz="6" w:space="0" w:color="auto"/>
              <w:left w:val="nil"/>
              <w:bottom w:val="nil"/>
              <w:right w:val="nil"/>
            </w:tcBorders>
            <w:vAlign w:val="center"/>
          </w:tcPr>
          <w:p w14:paraId="740A1E0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w:t>
            </w:r>
          </w:p>
        </w:tc>
        <w:tc>
          <w:tcPr>
            <w:tcW w:w="1440" w:type="dxa"/>
            <w:tcBorders>
              <w:top w:val="single" w:sz="6" w:space="0" w:color="auto"/>
              <w:left w:val="nil"/>
              <w:bottom w:val="nil"/>
              <w:right w:val="nil"/>
            </w:tcBorders>
            <w:vAlign w:val="center"/>
          </w:tcPr>
          <w:p w14:paraId="432E0E3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(5)</w:t>
            </w:r>
          </w:p>
        </w:tc>
      </w:tr>
      <w:tr w:rsidR="00544B2B" w:rsidRPr="001B7E09" w14:paraId="590F7017" w14:textId="77777777" w:rsidTr="009B5F1C">
        <w:trPr>
          <w:jc w:val="center"/>
        </w:trPr>
        <w:tc>
          <w:tcPr>
            <w:tcW w:w="1947" w:type="dxa"/>
            <w:vMerge/>
            <w:tcBorders>
              <w:left w:val="nil"/>
              <w:bottom w:val="single" w:sz="6" w:space="0" w:color="auto"/>
              <w:right w:val="nil"/>
            </w:tcBorders>
            <w:vAlign w:val="center"/>
          </w:tcPr>
          <w:p w14:paraId="4382713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6" w:space="0" w:color="auto"/>
              <w:right w:val="nil"/>
            </w:tcBorders>
            <w:vAlign w:val="center"/>
          </w:tcPr>
          <w:p w14:paraId="7E3D10C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07B9BA6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7B30AA8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150BD8B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028590C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r>
      <w:tr w:rsidR="00544B2B" w:rsidRPr="001B7E09" w14:paraId="6B3F1D44" w14:textId="77777777" w:rsidTr="009B5F1C">
        <w:trPr>
          <w:jc w:val="center"/>
        </w:trPr>
        <w:tc>
          <w:tcPr>
            <w:tcW w:w="1947" w:type="dxa"/>
            <w:vMerge w:val="restart"/>
            <w:tcBorders>
              <w:top w:val="nil"/>
              <w:left w:val="nil"/>
              <w:right w:val="nil"/>
            </w:tcBorders>
            <w:vAlign w:val="center"/>
          </w:tcPr>
          <w:p w14:paraId="404C07B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Constant</w:t>
            </w:r>
          </w:p>
        </w:tc>
        <w:tc>
          <w:tcPr>
            <w:tcW w:w="1440" w:type="dxa"/>
            <w:tcBorders>
              <w:top w:val="nil"/>
              <w:left w:val="nil"/>
              <w:right w:val="nil"/>
            </w:tcBorders>
            <w:vAlign w:val="center"/>
          </w:tcPr>
          <w:p w14:paraId="3FD19EE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-3.106***</w:t>
            </w:r>
          </w:p>
        </w:tc>
        <w:tc>
          <w:tcPr>
            <w:tcW w:w="1440" w:type="dxa"/>
            <w:tcBorders>
              <w:top w:val="nil"/>
              <w:left w:val="nil"/>
              <w:right w:val="nil"/>
            </w:tcBorders>
            <w:vAlign w:val="center"/>
          </w:tcPr>
          <w:p w14:paraId="67CAA59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-0.672***</w:t>
            </w:r>
          </w:p>
        </w:tc>
        <w:tc>
          <w:tcPr>
            <w:tcW w:w="1440" w:type="dxa"/>
            <w:tcBorders>
              <w:top w:val="nil"/>
              <w:left w:val="nil"/>
              <w:right w:val="nil"/>
            </w:tcBorders>
            <w:vAlign w:val="center"/>
          </w:tcPr>
          <w:p w14:paraId="643F743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-0.713***</w:t>
            </w:r>
          </w:p>
        </w:tc>
        <w:tc>
          <w:tcPr>
            <w:tcW w:w="1440" w:type="dxa"/>
            <w:tcBorders>
              <w:top w:val="nil"/>
              <w:left w:val="nil"/>
              <w:right w:val="nil"/>
            </w:tcBorders>
            <w:vAlign w:val="center"/>
          </w:tcPr>
          <w:p w14:paraId="715B0E9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-0.516***</w:t>
            </w:r>
          </w:p>
        </w:tc>
        <w:tc>
          <w:tcPr>
            <w:tcW w:w="1440" w:type="dxa"/>
            <w:tcBorders>
              <w:top w:val="nil"/>
              <w:left w:val="nil"/>
              <w:right w:val="nil"/>
            </w:tcBorders>
            <w:vAlign w:val="center"/>
          </w:tcPr>
          <w:p w14:paraId="4D4BAD2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-0.546***</w:t>
            </w:r>
          </w:p>
        </w:tc>
      </w:tr>
      <w:tr w:rsidR="00544B2B" w:rsidRPr="001B7E09" w14:paraId="242173B6" w14:textId="77777777" w:rsidTr="009B5F1C">
        <w:trPr>
          <w:jc w:val="center"/>
        </w:trPr>
        <w:tc>
          <w:tcPr>
            <w:tcW w:w="1947" w:type="dxa"/>
            <w:vMerge/>
            <w:tcBorders>
              <w:left w:val="nil"/>
              <w:bottom w:val="single" w:sz="4" w:space="0" w:color="auto"/>
              <w:right w:val="nil"/>
            </w:tcBorders>
            <w:vAlign w:val="center"/>
          </w:tcPr>
          <w:p w14:paraId="6F52A0F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4FF59605"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(-17.96)</w:t>
            </w:r>
          </w:p>
        </w:tc>
        <w:tc>
          <w:tcPr>
            <w:tcW w:w="1440" w:type="dxa"/>
            <w:tcBorders>
              <w:top w:val="nil"/>
              <w:left w:val="nil"/>
              <w:bottom w:val="single" w:sz="4" w:space="0" w:color="auto"/>
              <w:right w:val="nil"/>
            </w:tcBorders>
            <w:vAlign w:val="center"/>
          </w:tcPr>
          <w:p w14:paraId="1B890E8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(-4.56)</w:t>
            </w:r>
          </w:p>
        </w:tc>
        <w:tc>
          <w:tcPr>
            <w:tcW w:w="1440" w:type="dxa"/>
            <w:tcBorders>
              <w:top w:val="nil"/>
              <w:left w:val="nil"/>
              <w:bottom w:val="single" w:sz="4" w:space="0" w:color="auto"/>
              <w:right w:val="nil"/>
            </w:tcBorders>
            <w:vAlign w:val="center"/>
          </w:tcPr>
          <w:p w14:paraId="73FEA97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(-4.84)</w:t>
            </w:r>
          </w:p>
        </w:tc>
        <w:tc>
          <w:tcPr>
            <w:tcW w:w="1440" w:type="dxa"/>
            <w:tcBorders>
              <w:top w:val="nil"/>
              <w:left w:val="nil"/>
              <w:bottom w:val="single" w:sz="4" w:space="0" w:color="auto"/>
              <w:right w:val="nil"/>
            </w:tcBorders>
            <w:vAlign w:val="center"/>
          </w:tcPr>
          <w:p w14:paraId="0BB8B11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(-3.40)</w:t>
            </w:r>
          </w:p>
        </w:tc>
        <w:tc>
          <w:tcPr>
            <w:tcW w:w="1440" w:type="dxa"/>
            <w:tcBorders>
              <w:top w:val="nil"/>
              <w:left w:val="nil"/>
              <w:bottom w:val="single" w:sz="4" w:space="0" w:color="auto"/>
              <w:right w:val="nil"/>
            </w:tcBorders>
            <w:vAlign w:val="center"/>
          </w:tcPr>
          <w:p w14:paraId="476FB93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(-3.59)</w:t>
            </w:r>
          </w:p>
        </w:tc>
      </w:tr>
      <w:tr w:rsidR="00544B2B" w:rsidRPr="001B7E09" w14:paraId="4F27DBB9" w14:textId="77777777" w:rsidTr="009B5F1C">
        <w:trPr>
          <w:jc w:val="center"/>
        </w:trPr>
        <w:tc>
          <w:tcPr>
            <w:tcW w:w="1947" w:type="dxa"/>
            <w:vMerge w:val="restart"/>
            <w:tcBorders>
              <w:top w:val="single" w:sz="4" w:space="0" w:color="auto"/>
              <w:left w:val="nil"/>
              <w:right w:val="nil"/>
            </w:tcBorders>
            <w:vAlign w:val="center"/>
          </w:tcPr>
          <w:p w14:paraId="3260C2D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WM_Index</w:t>
            </w:r>
          </w:p>
        </w:tc>
        <w:tc>
          <w:tcPr>
            <w:tcW w:w="1440" w:type="dxa"/>
            <w:tcBorders>
              <w:top w:val="single" w:sz="4" w:space="0" w:color="auto"/>
              <w:left w:val="nil"/>
              <w:right w:val="nil"/>
            </w:tcBorders>
            <w:vAlign w:val="center"/>
          </w:tcPr>
          <w:p w14:paraId="451F950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0.207***</w:t>
            </w:r>
          </w:p>
        </w:tc>
        <w:tc>
          <w:tcPr>
            <w:tcW w:w="1440" w:type="dxa"/>
            <w:tcBorders>
              <w:top w:val="single" w:sz="4" w:space="0" w:color="auto"/>
              <w:left w:val="nil"/>
              <w:right w:val="nil"/>
            </w:tcBorders>
            <w:vAlign w:val="center"/>
          </w:tcPr>
          <w:p w14:paraId="67A464E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28C124A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0.095***</w:t>
            </w:r>
          </w:p>
        </w:tc>
        <w:tc>
          <w:tcPr>
            <w:tcW w:w="1440" w:type="dxa"/>
            <w:tcBorders>
              <w:top w:val="single" w:sz="4" w:space="0" w:color="auto"/>
              <w:left w:val="nil"/>
              <w:right w:val="nil"/>
            </w:tcBorders>
            <w:vAlign w:val="center"/>
          </w:tcPr>
          <w:p w14:paraId="14A7EFD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09A9B8E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0.060**</w:t>
            </w:r>
          </w:p>
        </w:tc>
      </w:tr>
      <w:tr w:rsidR="00544B2B" w:rsidRPr="001B7E09" w14:paraId="1171AC71" w14:textId="77777777" w:rsidTr="009B5F1C">
        <w:trPr>
          <w:jc w:val="center"/>
        </w:trPr>
        <w:tc>
          <w:tcPr>
            <w:tcW w:w="1947" w:type="dxa"/>
            <w:vMerge/>
            <w:tcBorders>
              <w:left w:val="nil"/>
              <w:bottom w:val="single" w:sz="4" w:space="0" w:color="auto"/>
              <w:right w:val="nil"/>
            </w:tcBorders>
            <w:vAlign w:val="center"/>
          </w:tcPr>
          <w:p w14:paraId="4725259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71F11F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(6.24)</w:t>
            </w:r>
          </w:p>
        </w:tc>
        <w:tc>
          <w:tcPr>
            <w:tcW w:w="1440" w:type="dxa"/>
            <w:tcBorders>
              <w:top w:val="nil"/>
              <w:left w:val="nil"/>
              <w:bottom w:val="single" w:sz="4" w:space="0" w:color="auto"/>
              <w:right w:val="nil"/>
            </w:tcBorders>
            <w:vAlign w:val="center"/>
          </w:tcPr>
          <w:p w14:paraId="7E00952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766FF5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(3.63)</w:t>
            </w:r>
          </w:p>
        </w:tc>
        <w:tc>
          <w:tcPr>
            <w:tcW w:w="1440" w:type="dxa"/>
            <w:tcBorders>
              <w:top w:val="nil"/>
              <w:left w:val="nil"/>
              <w:bottom w:val="single" w:sz="4" w:space="0" w:color="auto"/>
              <w:right w:val="nil"/>
            </w:tcBorders>
            <w:vAlign w:val="center"/>
          </w:tcPr>
          <w:p w14:paraId="455F78E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AAE72A9"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(2.31)</w:t>
            </w:r>
          </w:p>
        </w:tc>
      </w:tr>
      <w:tr w:rsidR="00544B2B" w:rsidRPr="001B7E09" w14:paraId="0A414292" w14:textId="77777777" w:rsidTr="009B5F1C">
        <w:trPr>
          <w:jc w:val="center"/>
        </w:trPr>
        <w:tc>
          <w:tcPr>
            <w:tcW w:w="1947" w:type="dxa"/>
            <w:vMerge w:val="restart"/>
            <w:tcBorders>
              <w:top w:val="single" w:sz="4" w:space="0" w:color="auto"/>
              <w:left w:val="nil"/>
              <w:right w:val="nil"/>
            </w:tcBorders>
            <w:vAlign w:val="center"/>
          </w:tcPr>
          <w:p w14:paraId="50F125D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RmRf</w:t>
            </w:r>
          </w:p>
        </w:tc>
        <w:tc>
          <w:tcPr>
            <w:tcW w:w="1440" w:type="dxa"/>
            <w:tcBorders>
              <w:top w:val="single" w:sz="4" w:space="0" w:color="auto"/>
              <w:left w:val="nil"/>
              <w:right w:val="nil"/>
            </w:tcBorders>
            <w:vAlign w:val="center"/>
          </w:tcPr>
          <w:p w14:paraId="4E46A60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075CB929"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0.936***</w:t>
            </w:r>
          </w:p>
        </w:tc>
        <w:tc>
          <w:tcPr>
            <w:tcW w:w="1440" w:type="dxa"/>
            <w:tcBorders>
              <w:top w:val="single" w:sz="4" w:space="0" w:color="auto"/>
              <w:left w:val="nil"/>
              <w:right w:val="nil"/>
            </w:tcBorders>
            <w:vAlign w:val="center"/>
          </w:tcPr>
          <w:p w14:paraId="0B38001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0.928***</w:t>
            </w:r>
          </w:p>
        </w:tc>
        <w:tc>
          <w:tcPr>
            <w:tcW w:w="1440" w:type="dxa"/>
            <w:tcBorders>
              <w:top w:val="single" w:sz="4" w:space="0" w:color="auto"/>
              <w:left w:val="nil"/>
              <w:right w:val="nil"/>
            </w:tcBorders>
            <w:vAlign w:val="center"/>
          </w:tcPr>
          <w:p w14:paraId="7E68FE12"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0.943***</w:t>
            </w:r>
          </w:p>
        </w:tc>
        <w:tc>
          <w:tcPr>
            <w:tcW w:w="1440" w:type="dxa"/>
            <w:tcBorders>
              <w:top w:val="single" w:sz="4" w:space="0" w:color="auto"/>
              <w:left w:val="nil"/>
              <w:right w:val="nil"/>
            </w:tcBorders>
            <w:vAlign w:val="center"/>
          </w:tcPr>
          <w:p w14:paraId="1CE7F8D2"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0.937***</w:t>
            </w:r>
          </w:p>
        </w:tc>
      </w:tr>
      <w:tr w:rsidR="00544B2B" w:rsidRPr="001B7E09" w14:paraId="6A3969B6" w14:textId="77777777" w:rsidTr="009B5F1C">
        <w:trPr>
          <w:jc w:val="center"/>
        </w:trPr>
        <w:tc>
          <w:tcPr>
            <w:tcW w:w="1947" w:type="dxa"/>
            <w:vMerge/>
            <w:tcBorders>
              <w:left w:val="nil"/>
              <w:bottom w:val="single" w:sz="4" w:space="0" w:color="auto"/>
              <w:right w:val="nil"/>
            </w:tcBorders>
            <w:vAlign w:val="center"/>
          </w:tcPr>
          <w:p w14:paraId="04A389F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10EFD78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5C2BAB2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(42.81)</w:t>
            </w:r>
          </w:p>
        </w:tc>
        <w:tc>
          <w:tcPr>
            <w:tcW w:w="1440" w:type="dxa"/>
            <w:tcBorders>
              <w:top w:val="nil"/>
              <w:left w:val="nil"/>
              <w:bottom w:val="single" w:sz="4" w:space="0" w:color="auto"/>
              <w:right w:val="nil"/>
            </w:tcBorders>
            <w:vAlign w:val="center"/>
          </w:tcPr>
          <w:p w14:paraId="125307D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(42.32)</w:t>
            </w:r>
          </w:p>
        </w:tc>
        <w:tc>
          <w:tcPr>
            <w:tcW w:w="1440" w:type="dxa"/>
            <w:tcBorders>
              <w:top w:val="nil"/>
              <w:left w:val="nil"/>
              <w:bottom w:val="single" w:sz="4" w:space="0" w:color="auto"/>
              <w:right w:val="nil"/>
            </w:tcBorders>
            <w:vAlign w:val="center"/>
          </w:tcPr>
          <w:p w14:paraId="165F72F5"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(38.38)</w:t>
            </w:r>
          </w:p>
        </w:tc>
        <w:tc>
          <w:tcPr>
            <w:tcW w:w="1440" w:type="dxa"/>
            <w:tcBorders>
              <w:top w:val="nil"/>
              <w:left w:val="nil"/>
              <w:bottom w:val="single" w:sz="4" w:space="0" w:color="auto"/>
              <w:right w:val="nil"/>
            </w:tcBorders>
            <w:vAlign w:val="center"/>
          </w:tcPr>
          <w:p w14:paraId="66C9E3E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(38.03)</w:t>
            </w:r>
          </w:p>
        </w:tc>
      </w:tr>
      <w:tr w:rsidR="00544B2B" w:rsidRPr="001B7E09" w14:paraId="3CC51822" w14:textId="77777777" w:rsidTr="009B5F1C">
        <w:trPr>
          <w:jc w:val="center"/>
        </w:trPr>
        <w:tc>
          <w:tcPr>
            <w:tcW w:w="1947" w:type="dxa"/>
            <w:vMerge w:val="restart"/>
            <w:tcBorders>
              <w:top w:val="single" w:sz="4" w:space="0" w:color="auto"/>
              <w:left w:val="nil"/>
              <w:right w:val="nil"/>
            </w:tcBorders>
            <w:vAlign w:val="center"/>
          </w:tcPr>
          <w:p w14:paraId="379965E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SMB</w:t>
            </w:r>
          </w:p>
        </w:tc>
        <w:tc>
          <w:tcPr>
            <w:tcW w:w="1440" w:type="dxa"/>
            <w:tcBorders>
              <w:top w:val="single" w:sz="4" w:space="0" w:color="auto"/>
              <w:left w:val="nil"/>
              <w:right w:val="nil"/>
            </w:tcBorders>
            <w:vAlign w:val="center"/>
          </w:tcPr>
          <w:p w14:paraId="12E803C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69E5922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2723D59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24C6581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0.263***</w:t>
            </w:r>
          </w:p>
        </w:tc>
        <w:tc>
          <w:tcPr>
            <w:tcW w:w="1440" w:type="dxa"/>
            <w:tcBorders>
              <w:top w:val="single" w:sz="4" w:space="0" w:color="auto"/>
              <w:left w:val="nil"/>
              <w:right w:val="nil"/>
            </w:tcBorders>
            <w:vAlign w:val="center"/>
          </w:tcPr>
          <w:p w14:paraId="682DB6A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0.255***</w:t>
            </w:r>
          </w:p>
        </w:tc>
      </w:tr>
      <w:tr w:rsidR="00544B2B" w:rsidRPr="001B7E09" w14:paraId="01350725" w14:textId="77777777" w:rsidTr="009B5F1C">
        <w:trPr>
          <w:jc w:val="center"/>
        </w:trPr>
        <w:tc>
          <w:tcPr>
            <w:tcW w:w="1947" w:type="dxa"/>
            <w:vMerge/>
            <w:tcBorders>
              <w:left w:val="nil"/>
              <w:bottom w:val="single" w:sz="4" w:space="0" w:color="auto"/>
              <w:right w:val="nil"/>
            </w:tcBorders>
            <w:vAlign w:val="center"/>
          </w:tcPr>
          <w:p w14:paraId="703BA6A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3B75D18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31F4E99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1BB0FCE6"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6FE2D73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(7.88)</w:t>
            </w:r>
          </w:p>
        </w:tc>
        <w:tc>
          <w:tcPr>
            <w:tcW w:w="1440" w:type="dxa"/>
            <w:tcBorders>
              <w:top w:val="nil"/>
              <w:left w:val="nil"/>
              <w:bottom w:val="single" w:sz="4" w:space="0" w:color="auto"/>
              <w:right w:val="nil"/>
            </w:tcBorders>
            <w:vAlign w:val="center"/>
          </w:tcPr>
          <w:p w14:paraId="6C6887F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(7.60)</w:t>
            </w:r>
          </w:p>
        </w:tc>
      </w:tr>
      <w:tr w:rsidR="00544B2B" w:rsidRPr="001B7E09" w14:paraId="043D5FA0" w14:textId="77777777" w:rsidTr="009B5F1C">
        <w:trPr>
          <w:jc w:val="center"/>
        </w:trPr>
        <w:tc>
          <w:tcPr>
            <w:tcW w:w="1947" w:type="dxa"/>
            <w:vMerge w:val="restart"/>
            <w:tcBorders>
              <w:top w:val="single" w:sz="4" w:space="0" w:color="auto"/>
              <w:left w:val="nil"/>
              <w:right w:val="nil"/>
            </w:tcBorders>
            <w:vAlign w:val="center"/>
          </w:tcPr>
          <w:p w14:paraId="6A5FC605"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HML</w:t>
            </w:r>
          </w:p>
        </w:tc>
        <w:tc>
          <w:tcPr>
            <w:tcW w:w="1440" w:type="dxa"/>
            <w:tcBorders>
              <w:top w:val="single" w:sz="4" w:space="0" w:color="auto"/>
              <w:left w:val="nil"/>
              <w:right w:val="nil"/>
            </w:tcBorders>
            <w:vAlign w:val="center"/>
          </w:tcPr>
          <w:p w14:paraId="773C94C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6A241E8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06B446D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4D0F3EA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0.144***</w:t>
            </w:r>
          </w:p>
        </w:tc>
        <w:tc>
          <w:tcPr>
            <w:tcW w:w="1440" w:type="dxa"/>
            <w:tcBorders>
              <w:top w:val="single" w:sz="4" w:space="0" w:color="auto"/>
              <w:left w:val="nil"/>
              <w:right w:val="nil"/>
            </w:tcBorders>
            <w:vAlign w:val="center"/>
          </w:tcPr>
          <w:p w14:paraId="5CE2CF73"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0.140***</w:t>
            </w:r>
          </w:p>
        </w:tc>
      </w:tr>
      <w:tr w:rsidR="00544B2B" w:rsidRPr="001B7E09" w14:paraId="43EB0C42" w14:textId="77777777" w:rsidTr="009B5F1C">
        <w:trPr>
          <w:jc w:val="center"/>
        </w:trPr>
        <w:tc>
          <w:tcPr>
            <w:tcW w:w="1947" w:type="dxa"/>
            <w:vMerge/>
            <w:tcBorders>
              <w:left w:val="nil"/>
              <w:bottom w:val="single" w:sz="4" w:space="0" w:color="auto"/>
              <w:right w:val="nil"/>
            </w:tcBorders>
            <w:vAlign w:val="center"/>
          </w:tcPr>
          <w:p w14:paraId="418A1F5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6AE2335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02D944F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6436700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1775536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(7.20)</w:t>
            </w:r>
          </w:p>
        </w:tc>
        <w:tc>
          <w:tcPr>
            <w:tcW w:w="1440" w:type="dxa"/>
            <w:tcBorders>
              <w:top w:val="nil"/>
              <w:left w:val="nil"/>
              <w:bottom w:val="single" w:sz="4" w:space="0" w:color="auto"/>
              <w:right w:val="nil"/>
            </w:tcBorders>
            <w:vAlign w:val="center"/>
          </w:tcPr>
          <w:p w14:paraId="0B0E6FF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(6.95)</w:t>
            </w:r>
          </w:p>
        </w:tc>
      </w:tr>
      <w:tr w:rsidR="00544B2B" w:rsidRPr="001B7E09" w14:paraId="0BABB9ED" w14:textId="77777777" w:rsidTr="009B5F1C">
        <w:trPr>
          <w:jc w:val="center"/>
        </w:trPr>
        <w:tc>
          <w:tcPr>
            <w:tcW w:w="1947" w:type="dxa"/>
            <w:tcBorders>
              <w:top w:val="nil"/>
              <w:left w:val="nil"/>
              <w:bottom w:val="nil"/>
              <w:right w:val="nil"/>
            </w:tcBorders>
            <w:vAlign w:val="center"/>
          </w:tcPr>
          <w:p w14:paraId="2B42278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Observations</w:t>
            </w:r>
          </w:p>
        </w:tc>
        <w:tc>
          <w:tcPr>
            <w:tcW w:w="1440" w:type="dxa"/>
            <w:tcBorders>
              <w:top w:val="nil"/>
              <w:left w:val="nil"/>
              <w:bottom w:val="nil"/>
              <w:right w:val="nil"/>
            </w:tcBorders>
            <w:vAlign w:val="center"/>
          </w:tcPr>
          <w:p w14:paraId="23F340E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460ED0F6"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417359C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01486DD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52AB2B5F"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r>
      <w:tr w:rsidR="00544B2B" w:rsidRPr="001B7E09" w14:paraId="551FDFBB" w14:textId="77777777" w:rsidTr="009B5F1C">
        <w:trPr>
          <w:jc w:val="center"/>
        </w:trPr>
        <w:tc>
          <w:tcPr>
            <w:tcW w:w="1947" w:type="dxa"/>
            <w:tcBorders>
              <w:top w:val="nil"/>
              <w:left w:val="nil"/>
              <w:bottom w:val="nil"/>
              <w:right w:val="nil"/>
            </w:tcBorders>
            <w:vAlign w:val="center"/>
          </w:tcPr>
          <w:p w14:paraId="560872F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R-squared</w:t>
            </w:r>
          </w:p>
        </w:tc>
        <w:tc>
          <w:tcPr>
            <w:tcW w:w="1440" w:type="dxa"/>
            <w:tcBorders>
              <w:top w:val="nil"/>
              <w:left w:val="nil"/>
              <w:bottom w:val="nil"/>
              <w:right w:val="nil"/>
            </w:tcBorders>
            <w:vAlign w:val="center"/>
          </w:tcPr>
          <w:p w14:paraId="1D2E6A15"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0.013</w:t>
            </w:r>
          </w:p>
        </w:tc>
        <w:tc>
          <w:tcPr>
            <w:tcW w:w="1440" w:type="dxa"/>
            <w:tcBorders>
              <w:top w:val="nil"/>
              <w:left w:val="nil"/>
              <w:bottom w:val="nil"/>
              <w:right w:val="nil"/>
            </w:tcBorders>
            <w:vAlign w:val="center"/>
          </w:tcPr>
          <w:p w14:paraId="18A87C0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0.385</w:t>
            </w:r>
          </w:p>
        </w:tc>
        <w:tc>
          <w:tcPr>
            <w:tcW w:w="1440" w:type="dxa"/>
            <w:tcBorders>
              <w:top w:val="nil"/>
              <w:left w:val="nil"/>
              <w:bottom w:val="nil"/>
              <w:right w:val="nil"/>
            </w:tcBorders>
            <w:vAlign w:val="center"/>
          </w:tcPr>
          <w:p w14:paraId="12A9D3B6"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0.388</w:t>
            </w:r>
          </w:p>
        </w:tc>
        <w:tc>
          <w:tcPr>
            <w:tcW w:w="1440" w:type="dxa"/>
            <w:tcBorders>
              <w:top w:val="nil"/>
              <w:left w:val="nil"/>
              <w:bottom w:val="nil"/>
              <w:right w:val="nil"/>
            </w:tcBorders>
            <w:vAlign w:val="center"/>
          </w:tcPr>
          <w:p w14:paraId="182B9A1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0.407</w:t>
            </w:r>
          </w:p>
        </w:tc>
        <w:tc>
          <w:tcPr>
            <w:tcW w:w="1440" w:type="dxa"/>
            <w:tcBorders>
              <w:top w:val="nil"/>
              <w:left w:val="nil"/>
              <w:bottom w:val="nil"/>
              <w:right w:val="nil"/>
            </w:tcBorders>
            <w:vAlign w:val="center"/>
          </w:tcPr>
          <w:p w14:paraId="5BC2A424"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0.408</w:t>
            </w:r>
          </w:p>
        </w:tc>
      </w:tr>
      <w:tr w:rsidR="00544B2B" w:rsidRPr="001B7E09" w14:paraId="639B8188" w14:textId="77777777" w:rsidTr="009B5F1C">
        <w:trPr>
          <w:jc w:val="center"/>
        </w:trPr>
        <w:tc>
          <w:tcPr>
            <w:tcW w:w="1947" w:type="dxa"/>
            <w:tcBorders>
              <w:top w:val="nil"/>
              <w:left w:val="nil"/>
              <w:bottom w:val="nil"/>
              <w:right w:val="nil"/>
            </w:tcBorders>
            <w:vAlign w:val="center"/>
          </w:tcPr>
          <w:p w14:paraId="42D6DCE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F test</w:t>
            </w:r>
          </w:p>
        </w:tc>
        <w:tc>
          <w:tcPr>
            <w:tcW w:w="1440" w:type="dxa"/>
            <w:tcBorders>
              <w:top w:val="nil"/>
              <w:left w:val="nil"/>
              <w:bottom w:val="nil"/>
              <w:right w:val="nil"/>
            </w:tcBorders>
            <w:vAlign w:val="center"/>
          </w:tcPr>
          <w:p w14:paraId="47E661B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5.03e-10</w:t>
            </w:r>
          </w:p>
        </w:tc>
        <w:tc>
          <w:tcPr>
            <w:tcW w:w="1440" w:type="dxa"/>
            <w:tcBorders>
              <w:top w:val="nil"/>
              <w:left w:val="nil"/>
              <w:bottom w:val="nil"/>
              <w:right w:val="nil"/>
            </w:tcBorders>
            <w:vAlign w:val="center"/>
          </w:tcPr>
          <w:p w14:paraId="6C3E84D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357BE9A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6DBF7D90"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6640EB9B"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r>
      <w:tr w:rsidR="00544B2B" w:rsidRPr="001B7E09" w14:paraId="72FB0AD5" w14:textId="77777777" w:rsidTr="009B5F1C">
        <w:trPr>
          <w:jc w:val="center"/>
        </w:trPr>
        <w:tc>
          <w:tcPr>
            <w:tcW w:w="1947" w:type="dxa"/>
            <w:tcBorders>
              <w:top w:val="nil"/>
              <w:left w:val="nil"/>
              <w:bottom w:val="nil"/>
              <w:right w:val="nil"/>
            </w:tcBorders>
            <w:vAlign w:val="center"/>
          </w:tcPr>
          <w:p w14:paraId="5FC531A5" w14:textId="4B5CF04F" w:rsidR="00544B2B" w:rsidRPr="001B7E09" w:rsidRDefault="00A66722"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Adj. R-squared</w:t>
            </w:r>
          </w:p>
        </w:tc>
        <w:tc>
          <w:tcPr>
            <w:tcW w:w="1440" w:type="dxa"/>
            <w:tcBorders>
              <w:top w:val="nil"/>
              <w:left w:val="nil"/>
              <w:bottom w:val="nil"/>
              <w:right w:val="nil"/>
            </w:tcBorders>
            <w:vAlign w:val="center"/>
          </w:tcPr>
          <w:p w14:paraId="2B0E6EB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0.0128</w:t>
            </w:r>
          </w:p>
        </w:tc>
        <w:tc>
          <w:tcPr>
            <w:tcW w:w="1440" w:type="dxa"/>
            <w:tcBorders>
              <w:top w:val="nil"/>
              <w:left w:val="nil"/>
              <w:bottom w:val="nil"/>
              <w:right w:val="nil"/>
            </w:tcBorders>
            <w:vAlign w:val="center"/>
          </w:tcPr>
          <w:p w14:paraId="63BA5246"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0.385</w:t>
            </w:r>
          </w:p>
        </w:tc>
        <w:tc>
          <w:tcPr>
            <w:tcW w:w="1440" w:type="dxa"/>
            <w:tcBorders>
              <w:top w:val="nil"/>
              <w:left w:val="nil"/>
              <w:bottom w:val="nil"/>
              <w:right w:val="nil"/>
            </w:tcBorders>
            <w:vAlign w:val="center"/>
          </w:tcPr>
          <w:p w14:paraId="7DF3219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0.388</w:t>
            </w:r>
          </w:p>
        </w:tc>
        <w:tc>
          <w:tcPr>
            <w:tcW w:w="1440" w:type="dxa"/>
            <w:tcBorders>
              <w:top w:val="nil"/>
              <w:left w:val="nil"/>
              <w:bottom w:val="nil"/>
              <w:right w:val="nil"/>
            </w:tcBorders>
            <w:vAlign w:val="center"/>
          </w:tcPr>
          <w:p w14:paraId="735BA538"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0.406</w:t>
            </w:r>
          </w:p>
        </w:tc>
        <w:tc>
          <w:tcPr>
            <w:tcW w:w="1440" w:type="dxa"/>
            <w:tcBorders>
              <w:top w:val="nil"/>
              <w:left w:val="nil"/>
              <w:bottom w:val="nil"/>
              <w:right w:val="nil"/>
            </w:tcBorders>
            <w:vAlign w:val="center"/>
          </w:tcPr>
          <w:p w14:paraId="1DDE449D"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0.407</w:t>
            </w:r>
          </w:p>
        </w:tc>
      </w:tr>
      <w:tr w:rsidR="00544B2B" w:rsidRPr="001B7E09" w14:paraId="49C58016" w14:textId="77777777" w:rsidTr="009B5F1C">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23DB786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F</w:t>
            </w:r>
          </w:p>
        </w:tc>
        <w:tc>
          <w:tcPr>
            <w:tcW w:w="1440" w:type="dxa"/>
            <w:tcBorders>
              <w:top w:val="nil"/>
              <w:left w:val="nil"/>
              <w:bottom w:val="single" w:sz="6" w:space="0" w:color="auto"/>
              <w:right w:val="nil"/>
            </w:tcBorders>
            <w:vAlign w:val="center"/>
          </w:tcPr>
          <w:p w14:paraId="35A5E367"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38.93</w:t>
            </w:r>
          </w:p>
        </w:tc>
        <w:tc>
          <w:tcPr>
            <w:tcW w:w="1440" w:type="dxa"/>
            <w:tcBorders>
              <w:top w:val="nil"/>
              <w:left w:val="nil"/>
              <w:bottom w:val="single" w:sz="6" w:space="0" w:color="auto"/>
              <w:right w:val="nil"/>
            </w:tcBorders>
            <w:vAlign w:val="center"/>
          </w:tcPr>
          <w:p w14:paraId="3811A8CE"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1833</w:t>
            </w:r>
          </w:p>
        </w:tc>
        <w:tc>
          <w:tcPr>
            <w:tcW w:w="1440" w:type="dxa"/>
            <w:tcBorders>
              <w:top w:val="nil"/>
              <w:left w:val="nil"/>
              <w:bottom w:val="single" w:sz="6" w:space="0" w:color="auto"/>
              <w:right w:val="nil"/>
            </w:tcBorders>
            <w:vAlign w:val="center"/>
          </w:tcPr>
          <w:p w14:paraId="1885BE21"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926.9</w:t>
            </w:r>
          </w:p>
        </w:tc>
        <w:tc>
          <w:tcPr>
            <w:tcW w:w="1440" w:type="dxa"/>
            <w:tcBorders>
              <w:top w:val="nil"/>
              <w:left w:val="nil"/>
              <w:bottom w:val="single" w:sz="6" w:space="0" w:color="auto"/>
              <w:right w:val="nil"/>
            </w:tcBorders>
            <w:vAlign w:val="center"/>
          </w:tcPr>
          <w:p w14:paraId="5DDBC2EA"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667.7</w:t>
            </w:r>
          </w:p>
        </w:tc>
        <w:tc>
          <w:tcPr>
            <w:tcW w:w="1440" w:type="dxa"/>
            <w:tcBorders>
              <w:top w:val="nil"/>
              <w:left w:val="nil"/>
              <w:bottom w:val="single" w:sz="6" w:space="0" w:color="auto"/>
              <w:right w:val="nil"/>
            </w:tcBorders>
            <w:vAlign w:val="center"/>
          </w:tcPr>
          <w:p w14:paraId="52D17D6C" w14:textId="77777777" w:rsidR="00544B2B" w:rsidRPr="001B7E09" w:rsidRDefault="00544B2B" w:rsidP="00544B2B">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502.9</w:t>
            </w:r>
          </w:p>
        </w:tc>
      </w:tr>
    </w:tbl>
    <w:p w14:paraId="10D397CD" w14:textId="7DBCC717" w:rsidR="00182990" w:rsidRPr="00BD5D64" w:rsidRDefault="00182990" w:rsidP="00107553">
      <w:pPr>
        <w:pStyle w:val="BalloonText"/>
        <w:rPr>
          <w:rStyle w:val="SubtleReference"/>
        </w:rPr>
      </w:pPr>
      <w:r w:rsidRPr="00107553">
        <w:t>t-statistics in parentheses, *** p&lt;0.01, ** p&lt;0.05, * p&lt;0.1</w:t>
      </w:r>
      <w:r w:rsidR="00107553">
        <w:rPr>
          <w:rStyle w:val="SubtleReference"/>
        </w:rPr>
        <w:t xml:space="preserve">                                                                          </w:t>
      </w:r>
      <w:r w:rsidRPr="00BD5D64">
        <w:rPr>
          <w:rStyle w:val="SubtleReference"/>
        </w:rPr>
        <w:t>Source: Author (2023)</w:t>
      </w:r>
    </w:p>
    <w:p w14:paraId="2A950CD7" w14:textId="77777777" w:rsidR="006B1B06" w:rsidRDefault="006B1B06" w:rsidP="00D3639B"/>
    <w:p w14:paraId="03BEEE76" w14:textId="77777777" w:rsidR="00D91D2C" w:rsidRDefault="00D91D2C">
      <w:pPr>
        <w:spacing w:before="0" w:after="0"/>
        <w:jc w:val="left"/>
        <w:rPr>
          <w:b/>
          <w:bCs/>
          <w:szCs w:val="20"/>
        </w:rPr>
      </w:pPr>
      <w:r>
        <w:br w:type="page"/>
      </w:r>
    </w:p>
    <w:p w14:paraId="1D8817E6" w14:textId="48446AB8" w:rsidR="007930B5" w:rsidRDefault="007930B5" w:rsidP="007930B5">
      <w:pPr>
        <w:pStyle w:val="Caption"/>
        <w:keepNext/>
      </w:pPr>
      <w:r>
        <w:lastRenderedPageBreak/>
        <w:t xml:space="preserve">Table </w:t>
      </w:r>
      <w:fldSimple w:instr=" SEQ Table \* ARABIC ">
        <w:r w:rsidR="00075F85">
          <w:rPr>
            <w:noProof/>
          </w:rPr>
          <w:t>6</w:t>
        </w:r>
      </w:fldSimple>
      <w:r>
        <w:t xml:space="preserve"> Regression Results (AR Index)</w:t>
      </w:r>
    </w:p>
    <w:tbl>
      <w:tblPr>
        <w:tblW w:w="9147" w:type="dxa"/>
        <w:jc w:val="center"/>
        <w:tblLayout w:type="fixed"/>
        <w:tblCellMar>
          <w:left w:w="75" w:type="dxa"/>
          <w:right w:w="75" w:type="dxa"/>
        </w:tblCellMar>
        <w:tblLook w:val="0000" w:firstRow="0" w:lastRow="0" w:firstColumn="0" w:lastColumn="0" w:noHBand="0" w:noVBand="0"/>
      </w:tblPr>
      <w:tblGrid>
        <w:gridCol w:w="1947"/>
        <w:gridCol w:w="1440"/>
        <w:gridCol w:w="1440"/>
        <w:gridCol w:w="1440"/>
        <w:gridCol w:w="1440"/>
        <w:gridCol w:w="1440"/>
      </w:tblGrid>
      <w:tr w:rsidR="00043555" w:rsidRPr="001B7E09" w14:paraId="267817E2" w14:textId="77777777" w:rsidTr="00F4568A">
        <w:trPr>
          <w:jc w:val="center"/>
        </w:trPr>
        <w:tc>
          <w:tcPr>
            <w:tcW w:w="1947" w:type="dxa"/>
            <w:vMerge w:val="restart"/>
            <w:tcBorders>
              <w:top w:val="single" w:sz="6" w:space="0" w:color="auto"/>
              <w:left w:val="nil"/>
              <w:right w:val="nil"/>
            </w:tcBorders>
            <w:vAlign w:val="center"/>
          </w:tcPr>
          <w:p w14:paraId="2315949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VARIABLES</w:t>
            </w:r>
          </w:p>
        </w:tc>
        <w:tc>
          <w:tcPr>
            <w:tcW w:w="1440" w:type="dxa"/>
            <w:tcBorders>
              <w:top w:val="single" w:sz="6" w:space="0" w:color="auto"/>
              <w:left w:val="nil"/>
              <w:bottom w:val="nil"/>
              <w:right w:val="nil"/>
            </w:tcBorders>
            <w:vAlign w:val="center"/>
          </w:tcPr>
          <w:p w14:paraId="0DF23C3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w:t>
            </w:r>
          </w:p>
        </w:tc>
        <w:tc>
          <w:tcPr>
            <w:tcW w:w="1440" w:type="dxa"/>
            <w:tcBorders>
              <w:top w:val="single" w:sz="6" w:space="0" w:color="auto"/>
              <w:left w:val="nil"/>
              <w:bottom w:val="nil"/>
              <w:right w:val="nil"/>
            </w:tcBorders>
            <w:vAlign w:val="center"/>
          </w:tcPr>
          <w:p w14:paraId="20FD289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w:t>
            </w:r>
          </w:p>
        </w:tc>
        <w:tc>
          <w:tcPr>
            <w:tcW w:w="1440" w:type="dxa"/>
            <w:tcBorders>
              <w:top w:val="single" w:sz="6" w:space="0" w:color="auto"/>
              <w:left w:val="nil"/>
              <w:bottom w:val="nil"/>
              <w:right w:val="nil"/>
            </w:tcBorders>
            <w:vAlign w:val="center"/>
          </w:tcPr>
          <w:p w14:paraId="2B0B8A3E"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w:t>
            </w:r>
          </w:p>
        </w:tc>
        <w:tc>
          <w:tcPr>
            <w:tcW w:w="1440" w:type="dxa"/>
            <w:tcBorders>
              <w:top w:val="single" w:sz="6" w:space="0" w:color="auto"/>
              <w:left w:val="nil"/>
              <w:bottom w:val="nil"/>
              <w:right w:val="nil"/>
            </w:tcBorders>
            <w:vAlign w:val="center"/>
          </w:tcPr>
          <w:p w14:paraId="74C32E6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w:t>
            </w:r>
          </w:p>
        </w:tc>
        <w:tc>
          <w:tcPr>
            <w:tcW w:w="1440" w:type="dxa"/>
            <w:tcBorders>
              <w:top w:val="single" w:sz="6" w:space="0" w:color="auto"/>
              <w:left w:val="nil"/>
              <w:bottom w:val="nil"/>
              <w:right w:val="nil"/>
            </w:tcBorders>
            <w:vAlign w:val="center"/>
          </w:tcPr>
          <w:p w14:paraId="7ED758D6"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(5)</w:t>
            </w:r>
          </w:p>
        </w:tc>
      </w:tr>
      <w:tr w:rsidR="00043555" w:rsidRPr="001B7E09" w14:paraId="4F9F6063" w14:textId="77777777" w:rsidTr="00F4568A">
        <w:trPr>
          <w:jc w:val="center"/>
        </w:trPr>
        <w:tc>
          <w:tcPr>
            <w:tcW w:w="1947" w:type="dxa"/>
            <w:vMerge/>
            <w:tcBorders>
              <w:left w:val="nil"/>
              <w:bottom w:val="single" w:sz="6" w:space="0" w:color="auto"/>
              <w:right w:val="nil"/>
            </w:tcBorders>
            <w:vAlign w:val="center"/>
          </w:tcPr>
          <w:p w14:paraId="6839029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6" w:space="0" w:color="auto"/>
              <w:right w:val="nil"/>
            </w:tcBorders>
            <w:vAlign w:val="center"/>
          </w:tcPr>
          <w:p w14:paraId="6E25D56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3C792CE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0FBD962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773735E1"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c>
          <w:tcPr>
            <w:tcW w:w="1440" w:type="dxa"/>
            <w:tcBorders>
              <w:top w:val="nil"/>
              <w:left w:val="nil"/>
              <w:bottom w:val="single" w:sz="6" w:space="0" w:color="auto"/>
              <w:right w:val="nil"/>
            </w:tcBorders>
            <w:vAlign w:val="center"/>
          </w:tcPr>
          <w:p w14:paraId="1C1AEA68"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RRf</w:t>
            </w:r>
          </w:p>
        </w:tc>
      </w:tr>
      <w:tr w:rsidR="00043555" w:rsidRPr="001B7E09" w14:paraId="6C7F3422" w14:textId="77777777" w:rsidTr="00F4568A">
        <w:trPr>
          <w:jc w:val="center"/>
        </w:trPr>
        <w:tc>
          <w:tcPr>
            <w:tcW w:w="1947" w:type="dxa"/>
            <w:vMerge w:val="restart"/>
            <w:tcBorders>
              <w:top w:val="nil"/>
              <w:left w:val="nil"/>
              <w:right w:val="nil"/>
            </w:tcBorders>
            <w:vAlign w:val="center"/>
          </w:tcPr>
          <w:p w14:paraId="3041902E"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Constant</w:t>
            </w:r>
          </w:p>
        </w:tc>
        <w:tc>
          <w:tcPr>
            <w:tcW w:w="1440" w:type="dxa"/>
            <w:tcBorders>
              <w:top w:val="nil"/>
              <w:left w:val="nil"/>
              <w:right w:val="nil"/>
            </w:tcBorders>
            <w:vAlign w:val="center"/>
          </w:tcPr>
          <w:p w14:paraId="5E4502D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-3.094***</w:t>
            </w:r>
          </w:p>
        </w:tc>
        <w:tc>
          <w:tcPr>
            <w:tcW w:w="1440" w:type="dxa"/>
            <w:tcBorders>
              <w:top w:val="nil"/>
              <w:left w:val="nil"/>
              <w:right w:val="nil"/>
            </w:tcBorders>
            <w:vAlign w:val="center"/>
          </w:tcPr>
          <w:p w14:paraId="188B9D1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-0.672***</w:t>
            </w:r>
          </w:p>
        </w:tc>
        <w:tc>
          <w:tcPr>
            <w:tcW w:w="1440" w:type="dxa"/>
            <w:tcBorders>
              <w:top w:val="nil"/>
              <w:left w:val="nil"/>
              <w:right w:val="nil"/>
            </w:tcBorders>
            <w:vAlign w:val="center"/>
          </w:tcPr>
          <w:p w14:paraId="3F158BA3"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-0.726***</w:t>
            </w:r>
          </w:p>
        </w:tc>
        <w:tc>
          <w:tcPr>
            <w:tcW w:w="1440" w:type="dxa"/>
            <w:tcBorders>
              <w:top w:val="nil"/>
              <w:left w:val="nil"/>
              <w:right w:val="nil"/>
            </w:tcBorders>
            <w:vAlign w:val="center"/>
          </w:tcPr>
          <w:p w14:paraId="389ACCB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-0.516***</w:t>
            </w:r>
          </w:p>
        </w:tc>
        <w:tc>
          <w:tcPr>
            <w:tcW w:w="1440" w:type="dxa"/>
            <w:tcBorders>
              <w:top w:val="nil"/>
              <w:left w:val="nil"/>
              <w:right w:val="nil"/>
            </w:tcBorders>
            <w:vAlign w:val="center"/>
          </w:tcPr>
          <w:p w14:paraId="25ACAD40"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-0.542***</w:t>
            </w:r>
          </w:p>
        </w:tc>
      </w:tr>
      <w:tr w:rsidR="00043555" w:rsidRPr="001B7E09" w14:paraId="60A4AF29" w14:textId="77777777" w:rsidTr="00F4568A">
        <w:trPr>
          <w:jc w:val="center"/>
        </w:trPr>
        <w:tc>
          <w:tcPr>
            <w:tcW w:w="1947" w:type="dxa"/>
            <w:vMerge/>
            <w:tcBorders>
              <w:left w:val="nil"/>
              <w:bottom w:val="single" w:sz="4" w:space="0" w:color="auto"/>
              <w:right w:val="nil"/>
            </w:tcBorders>
            <w:vAlign w:val="center"/>
          </w:tcPr>
          <w:p w14:paraId="66FFEBE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030A820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(-18.22)</w:t>
            </w:r>
          </w:p>
        </w:tc>
        <w:tc>
          <w:tcPr>
            <w:tcW w:w="1440" w:type="dxa"/>
            <w:tcBorders>
              <w:top w:val="nil"/>
              <w:left w:val="nil"/>
              <w:bottom w:val="single" w:sz="4" w:space="0" w:color="auto"/>
              <w:right w:val="nil"/>
            </w:tcBorders>
            <w:vAlign w:val="center"/>
          </w:tcPr>
          <w:p w14:paraId="452BBA8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(-4.56)</w:t>
            </w:r>
          </w:p>
        </w:tc>
        <w:tc>
          <w:tcPr>
            <w:tcW w:w="1440" w:type="dxa"/>
            <w:tcBorders>
              <w:top w:val="nil"/>
              <w:left w:val="nil"/>
              <w:bottom w:val="single" w:sz="4" w:space="0" w:color="auto"/>
              <w:right w:val="nil"/>
            </w:tcBorders>
            <w:vAlign w:val="center"/>
          </w:tcPr>
          <w:p w14:paraId="399EF741"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(-4.90)</w:t>
            </w:r>
          </w:p>
        </w:tc>
        <w:tc>
          <w:tcPr>
            <w:tcW w:w="1440" w:type="dxa"/>
            <w:tcBorders>
              <w:top w:val="nil"/>
              <w:left w:val="nil"/>
              <w:bottom w:val="single" w:sz="4" w:space="0" w:color="auto"/>
              <w:right w:val="nil"/>
            </w:tcBorders>
            <w:vAlign w:val="center"/>
          </w:tcPr>
          <w:p w14:paraId="228043E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(-3.40)</w:t>
            </w:r>
          </w:p>
        </w:tc>
        <w:tc>
          <w:tcPr>
            <w:tcW w:w="1440" w:type="dxa"/>
            <w:tcBorders>
              <w:top w:val="nil"/>
              <w:left w:val="nil"/>
              <w:bottom w:val="single" w:sz="4" w:space="0" w:color="auto"/>
              <w:right w:val="nil"/>
            </w:tcBorders>
            <w:vAlign w:val="center"/>
          </w:tcPr>
          <w:p w14:paraId="2DBA56E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(-3.56)</w:t>
            </w:r>
          </w:p>
        </w:tc>
      </w:tr>
      <w:tr w:rsidR="00043555" w:rsidRPr="001B7E09" w14:paraId="41268316" w14:textId="77777777" w:rsidTr="00F4568A">
        <w:trPr>
          <w:jc w:val="center"/>
        </w:trPr>
        <w:tc>
          <w:tcPr>
            <w:tcW w:w="1947" w:type="dxa"/>
            <w:vMerge w:val="restart"/>
            <w:tcBorders>
              <w:top w:val="single" w:sz="4" w:space="0" w:color="auto"/>
              <w:left w:val="nil"/>
              <w:right w:val="nil"/>
            </w:tcBorders>
            <w:vAlign w:val="center"/>
          </w:tcPr>
          <w:p w14:paraId="28E0B088"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AR_Index</w:t>
            </w:r>
          </w:p>
        </w:tc>
        <w:tc>
          <w:tcPr>
            <w:tcW w:w="1440" w:type="dxa"/>
            <w:tcBorders>
              <w:top w:val="single" w:sz="4" w:space="0" w:color="auto"/>
              <w:left w:val="nil"/>
              <w:right w:val="nil"/>
            </w:tcBorders>
            <w:vAlign w:val="center"/>
          </w:tcPr>
          <w:p w14:paraId="4EE115D1"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0.503***</w:t>
            </w:r>
          </w:p>
        </w:tc>
        <w:tc>
          <w:tcPr>
            <w:tcW w:w="1440" w:type="dxa"/>
            <w:tcBorders>
              <w:top w:val="single" w:sz="4" w:space="0" w:color="auto"/>
              <w:left w:val="nil"/>
              <w:right w:val="nil"/>
            </w:tcBorders>
            <w:vAlign w:val="center"/>
          </w:tcPr>
          <w:p w14:paraId="2C0EC68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4DE3B79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0.101***</w:t>
            </w:r>
          </w:p>
        </w:tc>
        <w:tc>
          <w:tcPr>
            <w:tcW w:w="1440" w:type="dxa"/>
            <w:tcBorders>
              <w:top w:val="single" w:sz="4" w:space="0" w:color="auto"/>
              <w:left w:val="nil"/>
              <w:right w:val="nil"/>
            </w:tcBorders>
            <w:vAlign w:val="center"/>
          </w:tcPr>
          <w:p w14:paraId="3407B1D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263E5A9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0.052</w:t>
            </w:r>
          </w:p>
        </w:tc>
      </w:tr>
      <w:tr w:rsidR="00043555" w:rsidRPr="001B7E09" w14:paraId="66769A58" w14:textId="77777777" w:rsidTr="00F4568A">
        <w:trPr>
          <w:jc w:val="center"/>
        </w:trPr>
        <w:tc>
          <w:tcPr>
            <w:tcW w:w="1947" w:type="dxa"/>
            <w:vMerge/>
            <w:tcBorders>
              <w:left w:val="nil"/>
              <w:bottom w:val="single" w:sz="4" w:space="0" w:color="auto"/>
              <w:right w:val="nil"/>
            </w:tcBorders>
            <w:vAlign w:val="center"/>
          </w:tcPr>
          <w:p w14:paraId="7D7FC538"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29BDFA91"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(12.00)</w:t>
            </w:r>
          </w:p>
        </w:tc>
        <w:tc>
          <w:tcPr>
            <w:tcW w:w="1440" w:type="dxa"/>
            <w:tcBorders>
              <w:top w:val="nil"/>
              <w:left w:val="nil"/>
              <w:bottom w:val="single" w:sz="4" w:space="0" w:color="auto"/>
              <w:right w:val="nil"/>
            </w:tcBorders>
            <w:vAlign w:val="center"/>
          </w:tcPr>
          <w:p w14:paraId="784264D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26246A7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(2.87)</w:t>
            </w:r>
          </w:p>
        </w:tc>
        <w:tc>
          <w:tcPr>
            <w:tcW w:w="1440" w:type="dxa"/>
            <w:tcBorders>
              <w:top w:val="nil"/>
              <w:left w:val="nil"/>
              <w:bottom w:val="single" w:sz="4" w:space="0" w:color="auto"/>
              <w:right w:val="nil"/>
            </w:tcBorders>
            <w:vAlign w:val="center"/>
          </w:tcPr>
          <w:p w14:paraId="5E1564E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5CD77B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(1.50)</w:t>
            </w:r>
          </w:p>
        </w:tc>
      </w:tr>
      <w:tr w:rsidR="00043555" w:rsidRPr="001B7E09" w14:paraId="0819739B" w14:textId="77777777" w:rsidTr="00F4568A">
        <w:trPr>
          <w:jc w:val="center"/>
        </w:trPr>
        <w:tc>
          <w:tcPr>
            <w:tcW w:w="1947" w:type="dxa"/>
            <w:vMerge w:val="restart"/>
            <w:tcBorders>
              <w:top w:val="single" w:sz="4" w:space="0" w:color="auto"/>
              <w:left w:val="nil"/>
              <w:right w:val="nil"/>
            </w:tcBorders>
            <w:vAlign w:val="center"/>
          </w:tcPr>
          <w:p w14:paraId="6F0C0D5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RmRf</w:t>
            </w:r>
          </w:p>
        </w:tc>
        <w:tc>
          <w:tcPr>
            <w:tcW w:w="1440" w:type="dxa"/>
            <w:tcBorders>
              <w:top w:val="single" w:sz="4" w:space="0" w:color="auto"/>
              <w:left w:val="nil"/>
              <w:right w:val="nil"/>
            </w:tcBorders>
            <w:vAlign w:val="center"/>
          </w:tcPr>
          <w:p w14:paraId="3C68A79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15F2DFD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0.936***</w:t>
            </w:r>
          </w:p>
        </w:tc>
        <w:tc>
          <w:tcPr>
            <w:tcW w:w="1440" w:type="dxa"/>
            <w:tcBorders>
              <w:top w:val="single" w:sz="4" w:space="0" w:color="auto"/>
              <w:left w:val="nil"/>
              <w:right w:val="nil"/>
            </w:tcBorders>
            <w:vAlign w:val="center"/>
          </w:tcPr>
          <w:p w14:paraId="21812E18"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0.917***</w:t>
            </w:r>
          </w:p>
        </w:tc>
        <w:tc>
          <w:tcPr>
            <w:tcW w:w="1440" w:type="dxa"/>
            <w:tcBorders>
              <w:top w:val="single" w:sz="4" w:space="0" w:color="auto"/>
              <w:left w:val="nil"/>
              <w:right w:val="nil"/>
            </w:tcBorders>
            <w:vAlign w:val="center"/>
          </w:tcPr>
          <w:p w14:paraId="73D2080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0.943***</w:t>
            </w:r>
          </w:p>
        </w:tc>
        <w:tc>
          <w:tcPr>
            <w:tcW w:w="1440" w:type="dxa"/>
            <w:tcBorders>
              <w:top w:val="single" w:sz="4" w:space="0" w:color="auto"/>
              <w:left w:val="nil"/>
              <w:right w:val="nil"/>
            </w:tcBorders>
            <w:vAlign w:val="center"/>
          </w:tcPr>
          <w:p w14:paraId="5B8B3FB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0.934***</w:t>
            </w:r>
          </w:p>
        </w:tc>
      </w:tr>
      <w:tr w:rsidR="00043555" w:rsidRPr="001B7E09" w14:paraId="3995642C" w14:textId="77777777" w:rsidTr="00F4568A">
        <w:trPr>
          <w:jc w:val="center"/>
        </w:trPr>
        <w:tc>
          <w:tcPr>
            <w:tcW w:w="1947" w:type="dxa"/>
            <w:vMerge/>
            <w:tcBorders>
              <w:left w:val="nil"/>
              <w:bottom w:val="single" w:sz="4" w:space="0" w:color="auto"/>
              <w:right w:val="nil"/>
            </w:tcBorders>
            <w:vAlign w:val="center"/>
          </w:tcPr>
          <w:p w14:paraId="5374C664"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41EBD64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0F891800"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(42.81)</w:t>
            </w:r>
          </w:p>
        </w:tc>
        <w:tc>
          <w:tcPr>
            <w:tcW w:w="1440" w:type="dxa"/>
            <w:tcBorders>
              <w:top w:val="nil"/>
              <w:left w:val="nil"/>
              <w:bottom w:val="single" w:sz="4" w:space="0" w:color="auto"/>
              <w:right w:val="nil"/>
            </w:tcBorders>
            <w:vAlign w:val="center"/>
          </w:tcPr>
          <w:p w14:paraId="196A6B2E"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(40.27)</w:t>
            </w:r>
          </w:p>
        </w:tc>
        <w:tc>
          <w:tcPr>
            <w:tcW w:w="1440" w:type="dxa"/>
            <w:tcBorders>
              <w:top w:val="nil"/>
              <w:left w:val="nil"/>
              <w:bottom w:val="single" w:sz="4" w:space="0" w:color="auto"/>
              <w:right w:val="nil"/>
            </w:tcBorders>
            <w:vAlign w:val="center"/>
          </w:tcPr>
          <w:p w14:paraId="229E7983"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(38.38)</w:t>
            </w:r>
          </w:p>
        </w:tc>
        <w:tc>
          <w:tcPr>
            <w:tcW w:w="1440" w:type="dxa"/>
            <w:tcBorders>
              <w:top w:val="nil"/>
              <w:left w:val="nil"/>
              <w:bottom w:val="single" w:sz="4" w:space="0" w:color="auto"/>
              <w:right w:val="nil"/>
            </w:tcBorders>
            <w:vAlign w:val="center"/>
          </w:tcPr>
          <w:p w14:paraId="34A85A1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(37.07)</w:t>
            </w:r>
          </w:p>
        </w:tc>
      </w:tr>
      <w:tr w:rsidR="00043555" w:rsidRPr="001B7E09" w14:paraId="3A3D1A21" w14:textId="77777777" w:rsidTr="00F4568A">
        <w:trPr>
          <w:jc w:val="center"/>
        </w:trPr>
        <w:tc>
          <w:tcPr>
            <w:tcW w:w="1947" w:type="dxa"/>
            <w:vMerge w:val="restart"/>
            <w:tcBorders>
              <w:top w:val="single" w:sz="4" w:space="0" w:color="auto"/>
              <w:left w:val="nil"/>
              <w:right w:val="nil"/>
            </w:tcBorders>
            <w:vAlign w:val="center"/>
          </w:tcPr>
          <w:p w14:paraId="3330C5D3"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SMB</w:t>
            </w:r>
          </w:p>
        </w:tc>
        <w:tc>
          <w:tcPr>
            <w:tcW w:w="1440" w:type="dxa"/>
            <w:tcBorders>
              <w:top w:val="single" w:sz="4" w:space="0" w:color="auto"/>
              <w:left w:val="nil"/>
              <w:right w:val="nil"/>
            </w:tcBorders>
            <w:vAlign w:val="center"/>
          </w:tcPr>
          <w:p w14:paraId="7122015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4099A68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6196F0C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76A094D4"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0.263***</w:t>
            </w:r>
          </w:p>
        </w:tc>
        <w:tc>
          <w:tcPr>
            <w:tcW w:w="1440" w:type="dxa"/>
            <w:tcBorders>
              <w:top w:val="single" w:sz="4" w:space="0" w:color="auto"/>
              <w:left w:val="nil"/>
              <w:right w:val="nil"/>
            </w:tcBorders>
            <w:vAlign w:val="center"/>
          </w:tcPr>
          <w:p w14:paraId="097A773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0.260***</w:t>
            </w:r>
          </w:p>
        </w:tc>
      </w:tr>
      <w:tr w:rsidR="00043555" w:rsidRPr="001B7E09" w14:paraId="2698F7FB" w14:textId="77777777" w:rsidTr="00F4568A">
        <w:trPr>
          <w:jc w:val="center"/>
        </w:trPr>
        <w:tc>
          <w:tcPr>
            <w:tcW w:w="1947" w:type="dxa"/>
            <w:vMerge/>
            <w:tcBorders>
              <w:left w:val="nil"/>
              <w:bottom w:val="single" w:sz="4" w:space="0" w:color="auto"/>
              <w:right w:val="nil"/>
            </w:tcBorders>
            <w:vAlign w:val="center"/>
          </w:tcPr>
          <w:p w14:paraId="55203BF4"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50A8E2E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A16450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43643BA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77520C9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(7.88)</w:t>
            </w:r>
          </w:p>
        </w:tc>
        <w:tc>
          <w:tcPr>
            <w:tcW w:w="1440" w:type="dxa"/>
            <w:tcBorders>
              <w:top w:val="nil"/>
              <w:left w:val="nil"/>
              <w:bottom w:val="single" w:sz="4" w:space="0" w:color="auto"/>
              <w:right w:val="nil"/>
            </w:tcBorders>
            <w:vAlign w:val="center"/>
          </w:tcPr>
          <w:p w14:paraId="21BB397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(7.78)</w:t>
            </w:r>
          </w:p>
        </w:tc>
      </w:tr>
      <w:tr w:rsidR="00043555" w:rsidRPr="001B7E09" w14:paraId="41315717" w14:textId="77777777" w:rsidTr="00F4568A">
        <w:trPr>
          <w:jc w:val="center"/>
        </w:trPr>
        <w:tc>
          <w:tcPr>
            <w:tcW w:w="1947" w:type="dxa"/>
            <w:vMerge w:val="restart"/>
            <w:tcBorders>
              <w:top w:val="single" w:sz="4" w:space="0" w:color="auto"/>
              <w:left w:val="nil"/>
              <w:right w:val="nil"/>
            </w:tcBorders>
            <w:vAlign w:val="center"/>
          </w:tcPr>
          <w:p w14:paraId="556E18E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HML</w:t>
            </w:r>
          </w:p>
        </w:tc>
        <w:tc>
          <w:tcPr>
            <w:tcW w:w="1440" w:type="dxa"/>
            <w:tcBorders>
              <w:top w:val="single" w:sz="4" w:space="0" w:color="auto"/>
              <w:left w:val="nil"/>
              <w:right w:val="nil"/>
            </w:tcBorders>
            <w:vAlign w:val="center"/>
          </w:tcPr>
          <w:p w14:paraId="7BBEED2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669DB036"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4A7DF1C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single" w:sz="4" w:space="0" w:color="auto"/>
              <w:left w:val="nil"/>
              <w:right w:val="nil"/>
            </w:tcBorders>
            <w:vAlign w:val="center"/>
          </w:tcPr>
          <w:p w14:paraId="5CB1BAF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0.144***</w:t>
            </w:r>
          </w:p>
        </w:tc>
        <w:tc>
          <w:tcPr>
            <w:tcW w:w="1440" w:type="dxa"/>
            <w:tcBorders>
              <w:top w:val="single" w:sz="4" w:space="0" w:color="auto"/>
              <w:left w:val="nil"/>
              <w:right w:val="nil"/>
            </w:tcBorders>
            <w:vAlign w:val="center"/>
          </w:tcPr>
          <w:p w14:paraId="295F1EE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0.140***</w:t>
            </w:r>
          </w:p>
        </w:tc>
      </w:tr>
      <w:tr w:rsidR="00043555" w:rsidRPr="001B7E09" w14:paraId="49789E2A" w14:textId="77777777" w:rsidTr="00F4568A">
        <w:trPr>
          <w:jc w:val="center"/>
        </w:trPr>
        <w:tc>
          <w:tcPr>
            <w:tcW w:w="1947" w:type="dxa"/>
            <w:vMerge/>
            <w:tcBorders>
              <w:left w:val="nil"/>
              <w:bottom w:val="single" w:sz="4" w:space="0" w:color="auto"/>
              <w:right w:val="nil"/>
            </w:tcBorders>
            <w:vAlign w:val="center"/>
          </w:tcPr>
          <w:p w14:paraId="1CE6D8A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5F1293EC"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66C1BE5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31B0083E"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p>
        </w:tc>
        <w:tc>
          <w:tcPr>
            <w:tcW w:w="1440" w:type="dxa"/>
            <w:tcBorders>
              <w:top w:val="nil"/>
              <w:left w:val="nil"/>
              <w:bottom w:val="single" w:sz="4" w:space="0" w:color="auto"/>
              <w:right w:val="nil"/>
            </w:tcBorders>
            <w:vAlign w:val="center"/>
          </w:tcPr>
          <w:p w14:paraId="4938F6E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(7.20)</w:t>
            </w:r>
          </w:p>
        </w:tc>
        <w:tc>
          <w:tcPr>
            <w:tcW w:w="1440" w:type="dxa"/>
            <w:tcBorders>
              <w:top w:val="nil"/>
              <w:left w:val="nil"/>
              <w:bottom w:val="single" w:sz="4" w:space="0" w:color="auto"/>
              <w:right w:val="nil"/>
            </w:tcBorders>
            <w:vAlign w:val="center"/>
          </w:tcPr>
          <w:p w14:paraId="2966027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(6.89)</w:t>
            </w:r>
          </w:p>
        </w:tc>
      </w:tr>
      <w:tr w:rsidR="00043555" w:rsidRPr="001B7E09" w14:paraId="4181261E" w14:textId="77777777" w:rsidTr="00F4568A">
        <w:trPr>
          <w:jc w:val="center"/>
        </w:trPr>
        <w:tc>
          <w:tcPr>
            <w:tcW w:w="1947" w:type="dxa"/>
            <w:tcBorders>
              <w:top w:val="nil"/>
              <w:left w:val="nil"/>
              <w:bottom w:val="nil"/>
              <w:right w:val="nil"/>
            </w:tcBorders>
            <w:vAlign w:val="center"/>
          </w:tcPr>
          <w:p w14:paraId="3358876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Observations</w:t>
            </w:r>
          </w:p>
        </w:tc>
        <w:tc>
          <w:tcPr>
            <w:tcW w:w="1440" w:type="dxa"/>
            <w:tcBorders>
              <w:top w:val="nil"/>
              <w:left w:val="nil"/>
              <w:bottom w:val="nil"/>
              <w:right w:val="nil"/>
            </w:tcBorders>
            <w:vAlign w:val="center"/>
          </w:tcPr>
          <w:p w14:paraId="6650361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2E37F3D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3393212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2E6BB40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c>
          <w:tcPr>
            <w:tcW w:w="1440" w:type="dxa"/>
            <w:tcBorders>
              <w:top w:val="nil"/>
              <w:left w:val="nil"/>
              <w:bottom w:val="nil"/>
              <w:right w:val="nil"/>
            </w:tcBorders>
            <w:vAlign w:val="center"/>
          </w:tcPr>
          <w:p w14:paraId="74E648B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2,926</w:t>
            </w:r>
          </w:p>
        </w:tc>
      </w:tr>
      <w:tr w:rsidR="00043555" w:rsidRPr="001B7E09" w14:paraId="63BB5C60" w14:textId="77777777" w:rsidTr="00F4568A">
        <w:trPr>
          <w:jc w:val="center"/>
        </w:trPr>
        <w:tc>
          <w:tcPr>
            <w:tcW w:w="1947" w:type="dxa"/>
            <w:tcBorders>
              <w:top w:val="nil"/>
              <w:left w:val="nil"/>
              <w:bottom w:val="nil"/>
              <w:right w:val="nil"/>
            </w:tcBorders>
            <w:vAlign w:val="center"/>
          </w:tcPr>
          <w:p w14:paraId="12A0343A"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R-squared</w:t>
            </w:r>
          </w:p>
        </w:tc>
        <w:tc>
          <w:tcPr>
            <w:tcW w:w="1440" w:type="dxa"/>
            <w:tcBorders>
              <w:top w:val="nil"/>
              <w:left w:val="nil"/>
              <w:bottom w:val="nil"/>
              <w:right w:val="nil"/>
            </w:tcBorders>
            <w:vAlign w:val="center"/>
          </w:tcPr>
          <w:p w14:paraId="27005B0E"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0.047</w:t>
            </w:r>
          </w:p>
        </w:tc>
        <w:tc>
          <w:tcPr>
            <w:tcW w:w="1440" w:type="dxa"/>
            <w:tcBorders>
              <w:top w:val="nil"/>
              <w:left w:val="nil"/>
              <w:bottom w:val="nil"/>
              <w:right w:val="nil"/>
            </w:tcBorders>
            <w:vAlign w:val="center"/>
          </w:tcPr>
          <w:p w14:paraId="53B1F496"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0.385</w:t>
            </w:r>
          </w:p>
        </w:tc>
        <w:tc>
          <w:tcPr>
            <w:tcW w:w="1440" w:type="dxa"/>
            <w:tcBorders>
              <w:top w:val="nil"/>
              <w:left w:val="nil"/>
              <w:bottom w:val="nil"/>
              <w:right w:val="nil"/>
            </w:tcBorders>
            <w:vAlign w:val="center"/>
          </w:tcPr>
          <w:p w14:paraId="6D0109C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0.387</w:t>
            </w:r>
          </w:p>
        </w:tc>
        <w:tc>
          <w:tcPr>
            <w:tcW w:w="1440" w:type="dxa"/>
            <w:tcBorders>
              <w:top w:val="nil"/>
              <w:left w:val="nil"/>
              <w:bottom w:val="nil"/>
              <w:right w:val="nil"/>
            </w:tcBorders>
            <w:vAlign w:val="center"/>
          </w:tcPr>
          <w:p w14:paraId="5BE1686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0.407</w:t>
            </w:r>
          </w:p>
        </w:tc>
        <w:tc>
          <w:tcPr>
            <w:tcW w:w="1440" w:type="dxa"/>
            <w:tcBorders>
              <w:top w:val="nil"/>
              <w:left w:val="nil"/>
              <w:bottom w:val="nil"/>
              <w:right w:val="nil"/>
            </w:tcBorders>
            <w:vAlign w:val="center"/>
          </w:tcPr>
          <w:p w14:paraId="716FA935"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0.407</w:t>
            </w:r>
          </w:p>
        </w:tc>
      </w:tr>
      <w:tr w:rsidR="00043555" w:rsidRPr="001B7E09" w14:paraId="79559CCC" w14:textId="77777777" w:rsidTr="00F4568A">
        <w:trPr>
          <w:jc w:val="center"/>
        </w:trPr>
        <w:tc>
          <w:tcPr>
            <w:tcW w:w="1947" w:type="dxa"/>
            <w:tcBorders>
              <w:top w:val="nil"/>
              <w:left w:val="nil"/>
              <w:bottom w:val="nil"/>
              <w:right w:val="nil"/>
            </w:tcBorders>
            <w:vAlign w:val="center"/>
          </w:tcPr>
          <w:p w14:paraId="25D3ADF6"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F test</w:t>
            </w:r>
          </w:p>
        </w:tc>
        <w:tc>
          <w:tcPr>
            <w:tcW w:w="1440" w:type="dxa"/>
            <w:tcBorders>
              <w:top w:val="nil"/>
              <w:left w:val="nil"/>
              <w:bottom w:val="nil"/>
              <w:right w:val="nil"/>
            </w:tcBorders>
            <w:vAlign w:val="center"/>
          </w:tcPr>
          <w:p w14:paraId="44C57D19"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675D13E7"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78D16D5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155D90E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c>
          <w:tcPr>
            <w:tcW w:w="1440" w:type="dxa"/>
            <w:tcBorders>
              <w:top w:val="nil"/>
              <w:left w:val="nil"/>
              <w:bottom w:val="nil"/>
              <w:right w:val="nil"/>
            </w:tcBorders>
            <w:vAlign w:val="center"/>
          </w:tcPr>
          <w:p w14:paraId="418DD5F3"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w:t>
            </w:r>
          </w:p>
        </w:tc>
      </w:tr>
      <w:tr w:rsidR="00043555" w:rsidRPr="001B7E09" w14:paraId="5585434F" w14:textId="77777777" w:rsidTr="00F4568A">
        <w:trPr>
          <w:jc w:val="center"/>
        </w:trPr>
        <w:tc>
          <w:tcPr>
            <w:tcW w:w="1947" w:type="dxa"/>
            <w:tcBorders>
              <w:top w:val="nil"/>
              <w:left w:val="nil"/>
              <w:bottom w:val="nil"/>
              <w:right w:val="nil"/>
            </w:tcBorders>
            <w:vAlign w:val="center"/>
          </w:tcPr>
          <w:p w14:paraId="646D2FEC" w14:textId="0C08219B" w:rsidR="00043555" w:rsidRPr="001B7E09" w:rsidRDefault="00A66722"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Adj. R-squared</w:t>
            </w:r>
          </w:p>
        </w:tc>
        <w:tc>
          <w:tcPr>
            <w:tcW w:w="1440" w:type="dxa"/>
            <w:tcBorders>
              <w:top w:val="nil"/>
              <w:left w:val="nil"/>
              <w:bottom w:val="nil"/>
              <w:right w:val="nil"/>
            </w:tcBorders>
            <w:vAlign w:val="center"/>
          </w:tcPr>
          <w:p w14:paraId="4BD46DA4"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0.0466</w:t>
            </w:r>
          </w:p>
        </w:tc>
        <w:tc>
          <w:tcPr>
            <w:tcW w:w="1440" w:type="dxa"/>
            <w:tcBorders>
              <w:top w:val="nil"/>
              <w:left w:val="nil"/>
              <w:bottom w:val="nil"/>
              <w:right w:val="nil"/>
            </w:tcBorders>
            <w:vAlign w:val="center"/>
          </w:tcPr>
          <w:p w14:paraId="2F7EFE8D"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0.385</w:t>
            </w:r>
          </w:p>
        </w:tc>
        <w:tc>
          <w:tcPr>
            <w:tcW w:w="1440" w:type="dxa"/>
            <w:tcBorders>
              <w:top w:val="nil"/>
              <w:left w:val="nil"/>
              <w:bottom w:val="nil"/>
              <w:right w:val="nil"/>
            </w:tcBorders>
            <w:vAlign w:val="center"/>
          </w:tcPr>
          <w:p w14:paraId="35F83620"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0.387</w:t>
            </w:r>
          </w:p>
        </w:tc>
        <w:tc>
          <w:tcPr>
            <w:tcW w:w="1440" w:type="dxa"/>
            <w:tcBorders>
              <w:top w:val="nil"/>
              <w:left w:val="nil"/>
              <w:bottom w:val="nil"/>
              <w:right w:val="nil"/>
            </w:tcBorders>
            <w:vAlign w:val="center"/>
          </w:tcPr>
          <w:p w14:paraId="0E41275F"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0.406</w:t>
            </w:r>
          </w:p>
        </w:tc>
        <w:tc>
          <w:tcPr>
            <w:tcW w:w="1440" w:type="dxa"/>
            <w:tcBorders>
              <w:top w:val="nil"/>
              <w:left w:val="nil"/>
              <w:bottom w:val="nil"/>
              <w:right w:val="nil"/>
            </w:tcBorders>
            <w:vAlign w:val="center"/>
          </w:tcPr>
          <w:p w14:paraId="74900E66"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0.406</w:t>
            </w:r>
          </w:p>
        </w:tc>
      </w:tr>
      <w:tr w:rsidR="00043555" w:rsidRPr="001B7E09" w14:paraId="5D28A3B0" w14:textId="77777777" w:rsidTr="00F4568A">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747408E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F</w:t>
            </w:r>
          </w:p>
        </w:tc>
        <w:tc>
          <w:tcPr>
            <w:tcW w:w="1440" w:type="dxa"/>
            <w:tcBorders>
              <w:top w:val="nil"/>
              <w:left w:val="nil"/>
              <w:bottom w:val="single" w:sz="6" w:space="0" w:color="auto"/>
              <w:right w:val="nil"/>
            </w:tcBorders>
            <w:vAlign w:val="center"/>
          </w:tcPr>
          <w:p w14:paraId="2285C87B"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144.0</w:t>
            </w:r>
          </w:p>
        </w:tc>
        <w:tc>
          <w:tcPr>
            <w:tcW w:w="1440" w:type="dxa"/>
            <w:tcBorders>
              <w:top w:val="nil"/>
              <w:left w:val="nil"/>
              <w:bottom w:val="single" w:sz="6" w:space="0" w:color="auto"/>
              <w:right w:val="nil"/>
            </w:tcBorders>
            <w:vAlign w:val="center"/>
          </w:tcPr>
          <w:p w14:paraId="0168CC43"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1833</w:t>
            </w:r>
          </w:p>
        </w:tc>
        <w:tc>
          <w:tcPr>
            <w:tcW w:w="1440" w:type="dxa"/>
            <w:tcBorders>
              <w:top w:val="nil"/>
              <w:left w:val="nil"/>
              <w:bottom w:val="single" w:sz="6" w:space="0" w:color="auto"/>
              <w:right w:val="nil"/>
            </w:tcBorders>
            <w:vAlign w:val="center"/>
          </w:tcPr>
          <w:p w14:paraId="2C70D4F2"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923.0</w:t>
            </w:r>
          </w:p>
        </w:tc>
        <w:tc>
          <w:tcPr>
            <w:tcW w:w="1440" w:type="dxa"/>
            <w:tcBorders>
              <w:top w:val="nil"/>
              <w:left w:val="nil"/>
              <w:bottom w:val="single" w:sz="6" w:space="0" w:color="auto"/>
              <w:right w:val="nil"/>
            </w:tcBorders>
            <w:vAlign w:val="center"/>
          </w:tcPr>
          <w:p w14:paraId="7FA62100"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667.7</w:t>
            </w:r>
          </w:p>
        </w:tc>
        <w:tc>
          <w:tcPr>
            <w:tcW w:w="1440" w:type="dxa"/>
            <w:tcBorders>
              <w:top w:val="nil"/>
              <w:left w:val="nil"/>
              <w:bottom w:val="single" w:sz="6" w:space="0" w:color="auto"/>
              <w:right w:val="nil"/>
            </w:tcBorders>
            <w:vAlign w:val="center"/>
          </w:tcPr>
          <w:p w14:paraId="234D0795" w14:textId="77777777" w:rsidR="00043555" w:rsidRPr="001B7E09" w:rsidRDefault="00043555" w:rsidP="00043555">
            <w:pPr>
              <w:widowControl w:val="0"/>
              <w:autoSpaceDE w:val="0"/>
              <w:autoSpaceDN w:val="0"/>
              <w:adjustRightInd w:val="0"/>
              <w:spacing w:before="0" w:after="0" w:line="360" w:lineRule="auto"/>
              <w:jc w:val="center"/>
              <w:rPr>
                <w:rFonts w:eastAsia="DengXian"/>
                <w:sz w:val="18"/>
                <w:szCs w:val="18"/>
                <w:lang w:val="en-GB" w:eastAsia="zh-CN"/>
              </w:rPr>
            </w:pPr>
            <w:r w:rsidRPr="001B7E09">
              <w:rPr>
                <w:rFonts w:eastAsia="DengXian"/>
                <w:sz w:val="18"/>
                <w:szCs w:val="18"/>
                <w:lang w:val="en-GB" w:eastAsia="zh-CN"/>
              </w:rPr>
              <w:t>501.5</w:t>
            </w:r>
          </w:p>
        </w:tc>
      </w:tr>
    </w:tbl>
    <w:p w14:paraId="3B5DE94B" w14:textId="60BE670D" w:rsidR="00182990" w:rsidRPr="00796624" w:rsidRDefault="00182990" w:rsidP="008C2C08">
      <w:pPr>
        <w:pStyle w:val="BalloonText"/>
        <w:rPr>
          <w:smallCaps/>
          <w:color w:val="000000" w:themeColor="text1"/>
          <w:sz w:val="20"/>
        </w:rPr>
      </w:pPr>
      <w:r w:rsidRPr="008C2C08">
        <w:t>t-statistics in parentheses, *** p&lt;0.01, ** p&lt;0.05, * p&lt;0.1</w:t>
      </w:r>
      <w:r w:rsidR="008C2C08">
        <w:rPr>
          <w:rStyle w:val="SubtleReference"/>
        </w:rPr>
        <w:t xml:space="preserve">                                                                           </w:t>
      </w:r>
      <w:r w:rsidRPr="00E60483">
        <w:rPr>
          <w:rStyle w:val="SubtleReference"/>
        </w:rPr>
        <w:t>Source: Author (2023)</w:t>
      </w:r>
    </w:p>
    <w:p w14:paraId="1BDFDBBE" w14:textId="77777777" w:rsidR="005C6DE3" w:rsidRDefault="005C6DE3" w:rsidP="005C6DE3">
      <w:pPr>
        <w:rPr>
          <w:szCs w:val="22"/>
        </w:rPr>
      </w:pPr>
    </w:p>
    <w:p w14:paraId="75FDCFF4" w14:textId="77652C4C" w:rsidR="005C6DE3" w:rsidRPr="00B14590" w:rsidRDefault="005C6DE3" w:rsidP="005C6DE3">
      <w:pPr>
        <w:rPr>
          <w:szCs w:val="22"/>
        </w:rPr>
      </w:pPr>
      <w:r>
        <w:rPr>
          <w:szCs w:val="22"/>
        </w:rPr>
        <w:t xml:space="preserve">When using AR Index as the sentiment proxy of A-REITs investors, the coefficients of the change rate of AR Index are positive and significant at the 1% level in model (1) and model (3), but not significant in model (5). </w:t>
      </w:r>
      <w:r w:rsidRPr="00A423C3">
        <w:rPr>
          <w:szCs w:val="22"/>
        </w:rPr>
        <w:t>One possible reason is that the sentiment information implied by the AR Index could be explained by the three F</w:t>
      </w:r>
      <w:r>
        <w:rPr>
          <w:szCs w:val="22"/>
        </w:rPr>
        <w:t>ama-French</w:t>
      </w:r>
      <w:r w:rsidRPr="00A423C3">
        <w:rPr>
          <w:szCs w:val="22"/>
        </w:rPr>
        <w:t xml:space="preserve"> factors, as evidenced by the identical </w:t>
      </w:r>
      <w:r>
        <w:rPr>
          <w:szCs w:val="22"/>
        </w:rPr>
        <w:t>Adjusted R-Square</w:t>
      </w:r>
      <w:r w:rsidRPr="00A423C3">
        <w:rPr>
          <w:szCs w:val="22"/>
        </w:rPr>
        <w:t xml:space="preserve"> in </w:t>
      </w:r>
      <w:r>
        <w:rPr>
          <w:szCs w:val="22"/>
        </w:rPr>
        <w:t>m</w:t>
      </w:r>
      <w:r w:rsidRPr="00A423C3">
        <w:rPr>
          <w:szCs w:val="22"/>
        </w:rPr>
        <w:t xml:space="preserve">odels </w:t>
      </w:r>
      <w:r>
        <w:rPr>
          <w:szCs w:val="22"/>
        </w:rPr>
        <w:t>(</w:t>
      </w:r>
      <w:r w:rsidRPr="00A423C3">
        <w:rPr>
          <w:szCs w:val="22"/>
        </w:rPr>
        <w:t>4</w:t>
      </w:r>
      <w:r>
        <w:rPr>
          <w:szCs w:val="22"/>
        </w:rPr>
        <w:t>)</w:t>
      </w:r>
      <w:r w:rsidRPr="00A423C3">
        <w:rPr>
          <w:szCs w:val="22"/>
        </w:rPr>
        <w:t xml:space="preserve"> and </w:t>
      </w:r>
      <w:r>
        <w:rPr>
          <w:szCs w:val="22"/>
        </w:rPr>
        <w:t>(</w:t>
      </w:r>
      <w:r w:rsidRPr="00A423C3">
        <w:rPr>
          <w:szCs w:val="22"/>
        </w:rPr>
        <w:t>5</w:t>
      </w:r>
      <w:r>
        <w:rPr>
          <w:szCs w:val="22"/>
        </w:rPr>
        <w:t>)</w:t>
      </w:r>
      <w:r w:rsidRPr="00A423C3">
        <w:rPr>
          <w:szCs w:val="22"/>
        </w:rPr>
        <w:t>.</w:t>
      </w:r>
      <w:r>
        <w:rPr>
          <w:szCs w:val="22"/>
        </w:rPr>
        <w:t xml:space="preserve"> </w:t>
      </w:r>
      <w:r w:rsidRPr="001575E2">
        <w:rPr>
          <w:szCs w:val="22"/>
        </w:rPr>
        <w:t xml:space="preserve">Therefore, by </w:t>
      </w:r>
      <w:r w:rsidRPr="00B14590">
        <w:rPr>
          <w:szCs w:val="22"/>
        </w:rPr>
        <w:t xml:space="preserve">comparing the two sets of models that use WM Index and AR Index as proxies for investor sentiment respectively, this study suggests that WM Index should be the more effective investor sentiment proxy for the A-REIT market. </w:t>
      </w:r>
    </w:p>
    <w:p w14:paraId="07379AAB" w14:textId="77777777" w:rsidR="00943AAA" w:rsidRPr="00B14590" w:rsidRDefault="00943AAA" w:rsidP="00D3639B">
      <w:pPr>
        <w:rPr>
          <w:szCs w:val="22"/>
        </w:rPr>
      </w:pPr>
    </w:p>
    <w:p w14:paraId="4E409212" w14:textId="77777777" w:rsidR="00182990" w:rsidRPr="00B14590" w:rsidRDefault="00182990" w:rsidP="00D3639B">
      <w:pPr>
        <w:pStyle w:val="Heading1"/>
      </w:pPr>
      <w:r w:rsidRPr="00B14590">
        <w:t>6 CONCLUSION</w:t>
      </w:r>
    </w:p>
    <w:p w14:paraId="1E309542" w14:textId="0AD8076A" w:rsidR="00182990" w:rsidRPr="00B14590" w:rsidRDefault="00182990" w:rsidP="00D3639B">
      <w:pPr>
        <w:rPr>
          <w:szCs w:val="22"/>
        </w:rPr>
      </w:pPr>
      <w:r w:rsidRPr="00B14590">
        <w:rPr>
          <w:szCs w:val="22"/>
        </w:rPr>
        <w:t>The development of behavioural finance has provided scholars and market participants with more diverse perspectives for understanding market mechanisms and operations. Investor sentiment is one such topic that has attracted many researchers. Through the literature review, this study recognises the need and significance of conduc</w:t>
      </w:r>
      <w:r w:rsidR="009C1659" w:rsidRPr="00B14590">
        <w:rPr>
          <w:szCs w:val="22"/>
        </w:rPr>
        <w:t>t</w:t>
      </w:r>
      <w:r w:rsidRPr="00B14590">
        <w:rPr>
          <w:szCs w:val="22"/>
        </w:rPr>
        <w:t>ing investor sentiment research on the REITs sector. Considering investor sentiment as a</w:t>
      </w:r>
      <w:r w:rsidR="00EB3BA9" w:rsidRPr="00B14590">
        <w:rPr>
          <w:szCs w:val="22"/>
        </w:rPr>
        <w:t xml:space="preserve"> </w:t>
      </w:r>
      <w:r w:rsidRPr="00B14590">
        <w:rPr>
          <w:szCs w:val="22"/>
        </w:rPr>
        <w:t xml:space="preserve">non fundamental factor, for market participants, could help them to better understand the risk and return characteristics of REITs and to make investment decisions </w:t>
      </w:r>
      <w:r w:rsidRPr="00B14590">
        <w:rPr>
          <w:szCs w:val="22"/>
        </w:rPr>
        <w:fldChar w:fldCharType="begin"/>
      </w:r>
      <w:r w:rsidRPr="00B14590">
        <w:rPr>
          <w:szCs w:val="22"/>
        </w:rPr>
        <w:instrText xml:space="preserve"> ADDIN EN.CITE &lt;EndNote&gt;&lt;Cite&gt;&lt;Author&gt;Huerta-Sanchez&lt;/Author&gt;&lt;Year&gt;2018&lt;/Year&gt;&lt;RecNum&gt;44&lt;/RecNum&gt;&lt;DisplayText&gt;(Huerta-Sanchez &amp;amp; Escobari 2018; Lin, Rahman &amp;amp; Yung 2008)&lt;/DisplayText&gt;&lt;record&gt;&lt;rec-number&gt;44&lt;/rec-number&gt;&lt;foreign-keys&gt;&lt;key app="EN" db-id="e9xrw0ppjrxazme9sdavssd69wf90saf5s09" timestamp="1638890527" guid="fff9fdbf-95a1-4e58-a59c-ed7d0563f406"&gt;44&lt;/key&gt;&lt;/foreign-keys&gt;&lt;ref-type name="Journal Article"&gt;17&lt;/ref-type&gt;&lt;contributors&gt;&lt;authors&gt;&lt;author&gt;Huerta-Sanchez, Daniel&lt;/author&gt;&lt;author&gt;Escobari, Diego&lt;/author&gt;&lt;/authors&gt;&lt;/contributors&gt;&lt;titles&gt;&lt;title&gt;Changes in sentiment on REIT industry excess returns and volatility&lt;/title&gt;&lt;secondary-title&gt;Financial Markets and Portfolio Management&lt;/secondary-title&gt;&lt;/titles&gt;&lt;periodical&gt;&lt;full-title&gt;Financial Markets and Portfolio Management&lt;/full-title&gt;&lt;/periodical&gt;&lt;pages&gt;239-274&lt;/pages&gt;&lt;volume&gt;32&lt;/volume&gt;&lt;number&gt;3&lt;/number&gt;&lt;dates&gt;&lt;year&gt;2018&lt;/year&gt;&lt;/dates&gt;&lt;isbn&gt;2373-8529&lt;/isbn&gt;&lt;urls&gt;&lt;/urls&gt;&lt;/record&gt;&lt;/Cite&gt;&lt;Cite&gt;&lt;Author&gt;Lin&lt;/Author&gt;&lt;Year&gt;2008&lt;/Year&gt;&lt;RecNum&gt;1&lt;/RecNum&gt;&lt;record&gt;&lt;rec-number&gt;1&lt;/rec-number&gt;&lt;foreign-keys&gt;&lt;key app="EN" db-id="e9xrw0ppjrxazme9sdavssd69wf90saf5s09" timestamp="1638694753" guid="a383aec7-d447-4945-b6e2-393379b564a8"&gt;1&lt;/key&gt;&lt;/foreign-keys&gt;&lt;ref-type name="Journal Article"&gt;17&lt;/ref-type&gt;&lt;contributors&gt;&lt;authors&gt;&lt;author&gt;Lin, Crystal Yan&lt;/author&gt;&lt;author&gt;Rahman, Hamid&lt;/author&gt;&lt;author&gt;Yung, Kenneth&lt;/author&gt;&lt;/authors&gt;&lt;/contributors&gt;&lt;titles&gt;&lt;title&gt;Investor Sentiment and REIT Returns&lt;/title&gt;&lt;secondary-title&gt;The Journal of Real Estate Finance and Economics&lt;/secondary-title&gt;&lt;/titles&gt;&lt;periodical&gt;&lt;full-title&gt;The Journal of Real Estate Finance and Economics&lt;/full-title&gt;&lt;/periodical&gt;&lt;pages&gt;450&lt;/pages&gt;&lt;volume&gt;39&lt;/volume&gt;&lt;number&gt;4&lt;/number&gt;&lt;dates&gt;&lt;year&gt;2008&lt;/year&gt;&lt;pub-dates&gt;&lt;date&gt;2008/06/03&lt;/date&gt;&lt;/pub-dates&gt;&lt;/dates&gt;&lt;isbn&gt;1573-045X&lt;/isbn&gt;&lt;urls&gt;&lt;related-urls&gt;&lt;url&gt;https://doi.org/10.1007/s11146-008-9115-5&lt;/url&gt;&lt;/related-urls&gt;&lt;/urls&gt;&lt;electronic-resource-num&gt;10.1007/s11146-008-9115-5&lt;/electronic-resource-num&gt;&lt;/record&gt;&lt;/Cite&gt;&lt;/EndNote&gt;</w:instrText>
      </w:r>
      <w:r w:rsidRPr="00B14590">
        <w:rPr>
          <w:szCs w:val="22"/>
        </w:rPr>
        <w:fldChar w:fldCharType="separate"/>
      </w:r>
      <w:r w:rsidRPr="00B14590">
        <w:rPr>
          <w:szCs w:val="22"/>
        </w:rPr>
        <w:t>(Huerta-Sanchez &amp; Escobari 2018; Lin, Rahman &amp; Yung 2008)</w:t>
      </w:r>
      <w:r w:rsidRPr="00B14590">
        <w:rPr>
          <w:szCs w:val="22"/>
        </w:rPr>
        <w:fldChar w:fldCharType="end"/>
      </w:r>
      <w:r w:rsidRPr="00B14590">
        <w:rPr>
          <w:szCs w:val="22"/>
        </w:rPr>
        <w:t xml:space="preserve">. When looking </w:t>
      </w:r>
      <w:r w:rsidR="00F96F86" w:rsidRPr="00B14590">
        <w:rPr>
          <w:szCs w:val="22"/>
        </w:rPr>
        <w:t>at</w:t>
      </w:r>
      <w:r w:rsidRPr="00B14590">
        <w:rPr>
          <w:szCs w:val="22"/>
        </w:rPr>
        <w:t xml:space="preserve"> Australia, there is very limited research focusing on the impact of changes in investor sentiment on the A-REIT market. Thus, this is the research gap that this study would like to address. </w:t>
      </w:r>
    </w:p>
    <w:p w14:paraId="48DABADA" w14:textId="77777777" w:rsidR="00182990" w:rsidRPr="00B14590" w:rsidRDefault="00182990" w:rsidP="00D3639B">
      <w:pPr>
        <w:rPr>
          <w:szCs w:val="22"/>
        </w:rPr>
      </w:pPr>
    </w:p>
    <w:p w14:paraId="75CE337E" w14:textId="5C6BD909" w:rsidR="00AF2282" w:rsidRPr="00B14590" w:rsidRDefault="00182990" w:rsidP="00D3639B">
      <w:pPr>
        <w:rPr>
          <w:szCs w:val="22"/>
        </w:rPr>
      </w:pPr>
      <w:r w:rsidRPr="00B14590">
        <w:rPr>
          <w:szCs w:val="22"/>
        </w:rPr>
        <w:t>Based on this background, this study unfolded on the basis of the psychology and behaviour of investors, to clarify the impact of investor sentiment on REITs, and to include the sentiment factors in the risk management framework and investment decision-making process. In the empirical study section, this study measured</w:t>
      </w:r>
      <w:r w:rsidR="0048200C" w:rsidRPr="00B14590">
        <w:rPr>
          <w:szCs w:val="22"/>
        </w:rPr>
        <w:t xml:space="preserve"> </w:t>
      </w:r>
      <w:r w:rsidRPr="00B14590">
        <w:rPr>
          <w:szCs w:val="22"/>
        </w:rPr>
        <w:t xml:space="preserve">investors sentiment in </w:t>
      </w:r>
      <w:r w:rsidR="0048200C" w:rsidRPr="00B14590">
        <w:rPr>
          <w:szCs w:val="22"/>
        </w:rPr>
        <w:t xml:space="preserve">the </w:t>
      </w:r>
      <w:r w:rsidRPr="00B14590">
        <w:rPr>
          <w:szCs w:val="22"/>
        </w:rPr>
        <w:t>A-REIT market and</w:t>
      </w:r>
      <w:r w:rsidR="0069489C" w:rsidRPr="00B14590">
        <w:rPr>
          <w:szCs w:val="22"/>
        </w:rPr>
        <w:t xml:space="preserve"> used the monthly change rate of two different sources of consumer sentiment index to construct</w:t>
      </w:r>
      <w:r w:rsidRPr="00B14590">
        <w:rPr>
          <w:szCs w:val="22"/>
        </w:rPr>
        <w:t xml:space="preserve"> the </w:t>
      </w:r>
      <w:r w:rsidR="0069489C" w:rsidRPr="00B14590">
        <w:rPr>
          <w:szCs w:val="22"/>
        </w:rPr>
        <w:t>sentiment</w:t>
      </w:r>
      <w:r w:rsidRPr="00B14590">
        <w:rPr>
          <w:szCs w:val="22"/>
        </w:rPr>
        <w:t xml:space="preserve"> proxies </w:t>
      </w:r>
      <w:r w:rsidR="0069489C" w:rsidRPr="00B14590">
        <w:rPr>
          <w:szCs w:val="22"/>
        </w:rPr>
        <w:t>for A-REITs investors</w:t>
      </w:r>
      <w:r w:rsidRPr="00B14590">
        <w:rPr>
          <w:szCs w:val="22"/>
        </w:rPr>
        <w:t>. In total 2</w:t>
      </w:r>
      <w:r w:rsidR="00405CEA" w:rsidRPr="00B14590">
        <w:rPr>
          <w:szCs w:val="22"/>
        </w:rPr>
        <w:t>1</w:t>
      </w:r>
      <w:r w:rsidRPr="00B14590">
        <w:rPr>
          <w:szCs w:val="22"/>
        </w:rPr>
        <w:t xml:space="preserve"> A-REITs that were listed on ASX between January 2006 to December 2021 were used as </w:t>
      </w:r>
      <w:r w:rsidR="00021C5A" w:rsidRPr="00B14590">
        <w:rPr>
          <w:szCs w:val="22"/>
        </w:rPr>
        <w:t xml:space="preserve">the </w:t>
      </w:r>
      <w:r w:rsidRPr="00B14590">
        <w:rPr>
          <w:szCs w:val="22"/>
        </w:rPr>
        <w:t xml:space="preserve">sample to evaluate and analyse the impact of investor sentiment on the A-REIT market. The results suggest that WM Index (Westpac Melbourne Institute Consumer Sentiment Index) is a more effective proxy for investor sentiment in the A-REIT market, compared to AR (ANZ-Roy Morgan Consumer Confidence Index). </w:t>
      </w:r>
      <w:r w:rsidR="003964EB" w:rsidRPr="00B14590">
        <w:rPr>
          <w:szCs w:val="22"/>
        </w:rPr>
        <w:t>This paper suggests the following possible reasons. First, WM</w:t>
      </w:r>
      <w:r w:rsidR="00577DCD" w:rsidRPr="00B14590">
        <w:rPr>
          <w:szCs w:val="22"/>
        </w:rPr>
        <w:t xml:space="preserve"> Index</w:t>
      </w:r>
      <w:r w:rsidR="003964EB" w:rsidRPr="00B14590">
        <w:rPr>
          <w:szCs w:val="22"/>
        </w:rPr>
        <w:t xml:space="preserve"> has a larger sample size than AR. Second, WM</w:t>
      </w:r>
      <w:r w:rsidR="00577DCD" w:rsidRPr="00B14590">
        <w:rPr>
          <w:szCs w:val="22"/>
        </w:rPr>
        <w:t xml:space="preserve"> Index</w:t>
      </w:r>
      <w:r w:rsidR="003964EB" w:rsidRPr="00B14590">
        <w:rPr>
          <w:szCs w:val="22"/>
        </w:rPr>
        <w:t xml:space="preserve"> has more stringent age requirements for respondents. Third, the difference in survey methods.</w:t>
      </w:r>
      <w:r w:rsidR="00577DCD" w:rsidRPr="00B14590">
        <w:rPr>
          <w:szCs w:val="22"/>
        </w:rPr>
        <w:t xml:space="preserve"> </w:t>
      </w:r>
      <w:r w:rsidR="003964EB" w:rsidRPr="00B14590">
        <w:rPr>
          <w:szCs w:val="22"/>
        </w:rPr>
        <w:t xml:space="preserve">WM </w:t>
      </w:r>
      <w:r w:rsidR="00577DCD" w:rsidRPr="00B14590">
        <w:rPr>
          <w:szCs w:val="22"/>
        </w:rPr>
        <w:t xml:space="preserve">Index </w:t>
      </w:r>
      <w:r w:rsidR="003964EB" w:rsidRPr="00B14590">
        <w:rPr>
          <w:szCs w:val="22"/>
        </w:rPr>
        <w:t xml:space="preserve">completes the </w:t>
      </w:r>
      <w:r w:rsidR="003964EB" w:rsidRPr="00B14590">
        <w:rPr>
          <w:szCs w:val="22"/>
        </w:rPr>
        <w:lastRenderedPageBreak/>
        <w:t xml:space="preserve">survey by telephone, while AR </w:t>
      </w:r>
      <w:r w:rsidR="00577DCD" w:rsidRPr="00B14590">
        <w:rPr>
          <w:szCs w:val="22"/>
        </w:rPr>
        <w:t xml:space="preserve">Index </w:t>
      </w:r>
      <w:r w:rsidR="003964EB" w:rsidRPr="00B14590">
        <w:rPr>
          <w:szCs w:val="22"/>
        </w:rPr>
        <w:t xml:space="preserve">completes the survey </w:t>
      </w:r>
      <w:r w:rsidR="009A4A29" w:rsidRPr="00B14590">
        <w:rPr>
          <w:szCs w:val="22"/>
        </w:rPr>
        <w:t>through</w:t>
      </w:r>
      <w:r w:rsidR="003964EB" w:rsidRPr="00B14590">
        <w:rPr>
          <w:szCs w:val="22"/>
        </w:rPr>
        <w:t xml:space="preserve"> face-to-face interviews. For respondents, telephone surveys are more convenient and easier to participate in, and they may be more willing to express their true opinions over the phone.</w:t>
      </w:r>
      <w:r w:rsidR="00DC6E04" w:rsidRPr="00B14590">
        <w:rPr>
          <w:szCs w:val="22"/>
        </w:rPr>
        <w:t xml:space="preserve"> </w:t>
      </w:r>
      <w:r w:rsidR="009F3232" w:rsidRPr="00B14590">
        <w:rPr>
          <w:szCs w:val="22"/>
          <w:lang w:eastAsia="zh-CN"/>
        </w:rPr>
        <w:t xml:space="preserve">As </w:t>
      </w:r>
      <w:r w:rsidR="009F3232" w:rsidRPr="00B14590">
        <w:rPr>
          <w:szCs w:val="22"/>
          <w:lang w:eastAsia="zh-CN"/>
        </w:rPr>
        <w:fldChar w:fldCharType="begin"/>
      </w:r>
      <w:r w:rsidR="009F3232" w:rsidRPr="00B14590">
        <w:rPr>
          <w:szCs w:val="22"/>
          <w:lang w:eastAsia="zh-CN"/>
        </w:rPr>
        <w:instrText xml:space="preserve"> ADDIN EN.CITE &lt;EndNote&gt;&lt;Cite AuthorYear="1"&gt;&lt;Author&gt;Singer&lt;/Author&gt;&lt;Year&gt;2002&lt;/Year&gt;&lt;RecNum&gt;152&lt;/RecNum&gt;&lt;DisplayText&gt;Singer (2002)&lt;/DisplayText&gt;&lt;record&gt;&lt;rec-number&gt;152&lt;/rec-number&gt;&lt;foreign-keys&gt;&lt;key app="EN" db-id="e9xrw0ppjrxazme9sdavssd69wf90saf5s09" timestamp="1643060989" guid="6629459e-439e-4bf2-9949-0087d991b419"&gt;152&lt;/key&gt;&lt;/foreign-keys&gt;&lt;ref-type name="Journal Article"&gt;17&lt;/ref-type&gt;&lt;contributors&gt;&lt;authors&gt;&lt;author&gt;Singer, Eleanor&lt;/author&gt;&lt;/authors&gt;&lt;/contributors&gt;&lt;titles&gt;&lt;title&gt;The use of incentives to reduce nonresponse in household surveys&lt;/title&gt;&lt;secondary-title&gt;Survey nonresponse&lt;/secondary-title&gt;&lt;/titles&gt;&lt;periodical&gt;&lt;full-title&gt;Survey nonresponse&lt;/full-title&gt;&lt;/periodical&gt;&lt;pages&gt;163-177&lt;/pages&gt;&lt;volume&gt;51&lt;/volume&gt;&lt;number&gt;1&lt;/number&gt;&lt;dates&gt;&lt;year&gt;2002&lt;/year&gt;&lt;/dates&gt;&lt;urls&gt;&lt;/urls&gt;&lt;/record&gt;&lt;/Cite&gt;&lt;/EndNote&gt;</w:instrText>
      </w:r>
      <w:r w:rsidR="009F3232" w:rsidRPr="00B14590">
        <w:rPr>
          <w:szCs w:val="22"/>
          <w:lang w:eastAsia="zh-CN"/>
        </w:rPr>
        <w:fldChar w:fldCharType="separate"/>
      </w:r>
      <w:r w:rsidR="009F3232" w:rsidRPr="00B14590">
        <w:rPr>
          <w:noProof/>
          <w:szCs w:val="22"/>
          <w:lang w:eastAsia="zh-CN"/>
        </w:rPr>
        <w:t>Singer (2002)</w:t>
      </w:r>
      <w:r w:rsidR="009F3232" w:rsidRPr="00B14590">
        <w:rPr>
          <w:szCs w:val="22"/>
          <w:lang w:eastAsia="zh-CN"/>
        </w:rPr>
        <w:fldChar w:fldCharType="end"/>
      </w:r>
      <w:r w:rsidR="009F3232" w:rsidRPr="00B14590">
        <w:rPr>
          <w:szCs w:val="22"/>
          <w:lang w:eastAsia="zh-CN"/>
        </w:rPr>
        <w:t xml:space="preserve"> pointed out these sentiment surveys may lack </w:t>
      </w:r>
      <w:r w:rsidR="00AE2776" w:rsidRPr="00B14590">
        <w:rPr>
          <w:szCs w:val="22"/>
          <w:lang w:eastAsia="zh-CN"/>
        </w:rPr>
        <w:t xml:space="preserve">the </w:t>
      </w:r>
      <w:r w:rsidR="009F3232" w:rsidRPr="00B14590">
        <w:rPr>
          <w:szCs w:val="22"/>
          <w:lang w:eastAsia="zh-CN"/>
        </w:rPr>
        <w:t>mechanism to encourage or make sure respondents answer questions truthfully and conscientiously, especially when the questions are sensitive or personal.</w:t>
      </w:r>
      <w:r w:rsidR="00335F48" w:rsidRPr="00B14590">
        <w:rPr>
          <w:szCs w:val="22"/>
          <w:lang w:eastAsia="zh-CN"/>
        </w:rPr>
        <w:t xml:space="preserve"> Meanwhile, the veracity of survey respondents as representatives of a particular type of investor is questionable </w:t>
      </w:r>
      <w:r w:rsidR="00807E2D" w:rsidRPr="00B14590">
        <w:rPr>
          <w:szCs w:val="22"/>
          <w:lang w:eastAsia="zh-CN"/>
        </w:rPr>
        <w:fldChar w:fldCharType="begin"/>
      </w:r>
      <w:r w:rsidR="00807E2D" w:rsidRPr="00B14590">
        <w:rPr>
          <w:szCs w:val="22"/>
          <w:lang w:eastAsia="zh-CN"/>
        </w:rPr>
        <w:instrText xml:space="preserve"> ADDIN EN.CITE &lt;EndNote&gt;&lt;Cite&gt;&lt;Author&gt;Aggarwal&lt;/Author&gt;&lt;Year&gt;2022&lt;/Year&gt;&lt;RecNum&gt;236&lt;/RecNum&gt;&lt;DisplayText&gt;(Aggarwal 2022)&lt;/DisplayText&gt;&lt;record&gt;&lt;rec-number&gt;236&lt;/rec-number&gt;&lt;foreign-keys&gt;&lt;key app="EN" db-id="e9xrw0ppjrxazme9sdavssd69wf90saf5s09" timestamp="1650496601" guid="3dcfc421-e0cc-4628-97b4-a7abfdf2ea03"&gt;236&lt;/key&gt;&lt;/foreign-keys&gt;&lt;ref-type name="Journal Article"&gt;17&lt;/ref-type&gt;&lt;contributors&gt;&lt;authors&gt;&lt;author&gt;Aggarwal, Divya&lt;/author&gt;&lt;/authors&gt;&lt;/contributors&gt;&lt;titles&gt;&lt;title&gt;Defining and measuring market sentiments: a review of the literature&lt;/title&gt;&lt;secondary-title&gt;Qualitative Research in Financial Markets&lt;/secondary-title&gt;&lt;/titles&gt;&lt;periodical&gt;&lt;full-title&gt;Qualitative Research in Financial Markets&lt;/full-title&gt;&lt;/periodical&gt;&lt;pages&gt;270-288&lt;/pages&gt;&lt;volume&gt;14&lt;/volume&gt;&lt;number&gt;2&lt;/number&gt;&lt;dates&gt;&lt;year&gt;2022&lt;/year&gt;&lt;/dates&gt;&lt;publisher&gt;Emerald Publishing Limited&lt;/publisher&gt;&lt;isbn&gt;1755-4179&lt;/isbn&gt;&lt;urls&gt;&lt;related-urls&gt;&lt;url&gt;https://doi.org/10.1108/QRFM-03-2018-0033&lt;/url&gt;&lt;/related-urls&gt;&lt;/urls&gt;&lt;electronic-resource-num&gt;10.1108/QRFM-03-2018-0033&lt;/electronic-resource-num&gt;&lt;access-date&gt;2022/04/20&lt;/access-date&gt;&lt;/record&gt;&lt;/Cite&gt;&lt;/EndNote&gt;</w:instrText>
      </w:r>
      <w:r w:rsidR="00807E2D" w:rsidRPr="00B14590">
        <w:rPr>
          <w:szCs w:val="22"/>
          <w:lang w:eastAsia="zh-CN"/>
        </w:rPr>
        <w:fldChar w:fldCharType="separate"/>
      </w:r>
      <w:r w:rsidR="00807E2D" w:rsidRPr="00B14590">
        <w:rPr>
          <w:noProof/>
          <w:szCs w:val="22"/>
          <w:lang w:eastAsia="zh-CN"/>
        </w:rPr>
        <w:t>(Aggarwal 2022)</w:t>
      </w:r>
      <w:r w:rsidR="00807E2D" w:rsidRPr="00B14590">
        <w:rPr>
          <w:szCs w:val="22"/>
          <w:lang w:eastAsia="zh-CN"/>
        </w:rPr>
        <w:fldChar w:fldCharType="end"/>
      </w:r>
      <w:r w:rsidR="00807E2D" w:rsidRPr="00B14590">
        <w:rPr>
          <w:szCs w:val="22"/>
          <w:lang w:eastAsia="zh-CN"/>
        </w:rPr>
        <w:t xml:space="preserve">. </w:t>
      </w:r>
    </w:p>
    <w:p w14:paraId="18670780" w14:textId="77777777" w:rsidR="00AF2282" w:rsidRPr="00B14590" w:rsidRDefault="00AF2282" w:rsidP="00D3639B">
      <w:pPr>
        <w:rPr>
          <w:szCs w:val="22"/>
          <w:lang w:eastAsia="zh-CN"/>
        </w:rPr>
      </w:pPr>
    </w:p>
    <w:p w14:paraId="2F164074" w14:textId="30722123" w:rsidR="00182990" w:rsidRPr="00226960" w:rsidRDefault="00D022A6" w:rsidP="00D3639B">
      <w:pPr>
        <w:rPr>
          <w:szCs w:val="22"/>
          <w:lang w:eastAsia="zh-CN"/>
        </w:rPr>
      </w:pPr>
      <w:r w:rsidRPr="00B14590">
        <w:rPr>
          <w:szCs w:val="22"/>
        </w:rPr>
        <w:t>In addition, b</w:t>
      </w:r>
      <w:r w:rsidR="00182990" w:rsidRPr="00B14590">
        <w:rPr>
          <w:szCs w:val="22"/>
        </w:rPr>
        <w:t>y employing a series of models based on the CAPM and Fama-French Three Factor Model, this study validates the</w:t>
      </w:r>
      <w:r w:rsidR="00936E34" w:rsidRPr="00B14590">
        <w:rPr>
          <w:szCs w:val="22"/>
        </w:rPr>
        <w:t xml:space="preserve"> </w:t>
      </w:r>
      <w:r w:rsidR="007E458C" w:rsidRPr="00B14590">
        <w:rPr>
          <w:szCs w:val="22"/>
        </w:rPr>
        <w:t>impact</w:t>
      </w:r>
      <w:r w:rsidR="00182990" w:rsidRPr="00B14590">
        <w:rPr>
          <w:szCs w:val="22"/>
        </w:rPr>
        <w:t xml:space="preserve"> of investor sentiment on the A-REIT market.</w:t>
      </w:r>
      <w:r w:rsidR="004929D4" w:rsidRPr="00B14590">
        <w:rPr>
          <w:szCs w:val="22"/>
        </w:rPr>
        <w:t xml:space="preserve"> The results are robust after </w:t>
      </w:r>
      <w:r w:rsidR="00E36D7A" w:rsidRPr="00B14590">
        <w:rPr>
          <w:szCs w:val="22"/>
        </w:rPr>
        <w:t>considering</w:t>
      </w:r>
      <w:r w:rsidR="004929D4">
        <w:rPr>
          <w:szCs w:val="22"/>
        </w:rPr>
        <w:t xml:space="preserve"> conventional control variables. </w:t>
      </w:r>
      <w:r w:rsidR="003246C6">
        <w:rPr>
          <w:szCs w:val="22"/>
        </w:rPr>
        <w:t xml:space="preserve">According to the result of the most comprehensive model (5), both </w:t>
      </w:r>
      <w:r w:rsidR="006769A1">
        <w:rPr>
          <w:szCs w:val="22"/>
        </w:rPr>
        <w:t xml:space="preserve">the </w:t>
      </w:r>
      <w:r w:rsidR="003246C6">
        <w:rPr>
          <w:szCs w:val="22"/>
        </w:rPr>
        <w:t xml:space="preserve">investor sentiment variable (WM Index) and </w:t>
      </w:r>
      <w:r w:rsidR="00CA46E4">
        <w:rPr>
          <w:szCs w:val="22"/>
        </w:rPr>
        <w:t xml:space="preserve">the </w:t>
      </w:r>
      <w:r w:rsidR="003246C6">
        <w:rPr>
          <w:szCs w:val="22"/>
        </w:rPr>
        <w:t xml:space="preserve">Fama-French variable are significant at the 5% level. </w:t>
      </w:r>
      <w:r w:rsidR="0087368F">
        <w:rPr>
          <w:szCs w:val="22"/>
        </w:rPr>
        <w:t xml:space="preserve">Based on the parameter estimations, holding all other factors constant, the value of </w:t>
      </w:r>
      <w:r w:rsidR="0087368F" w:rsidRPr="0079684F">
        <w:rPr>
          <w:szCs w:val="22"/>
        </w:rPr>
        <w:t>the monthly excess return of individual A-REIT</w:t>
      </w:r>
      <w:r w:rsidR="0087368F">
        <w:rPr>
          <w:szCs w:val="22"/>
        </w:rPr>
        <w:t xml:space="preserve"> (RRf) will increase by about </w:t>
      </w:r>
      <w:r w:rsidR="000079AC">
        <w:rPr>
          <w:szCs w:val="22"/>
        </w:rPr>
        <w:t xml:space="preserve">0.060 for a unit increase </w:t>
      </w:r>
      <w:r w:rsidR="003302CC">
        <w:rPr>
          <w:szCs w:val="22"/>
        </w:rPr>
        <w:t xml:space="preserve">in </w:t>
      </w:r>
      <w:r w:rsidR="000079AC" w:rsidRPr="003C3233">
        <w:rPr>
          <w:szCs w:val="22"/>
        </w:rPr>
        <w:t>WM Index's rate of change</w:t>
      </w:r>
      <w:r w:rsidR="000079AC">
        <w:rPr>
          <w:szCs w:val="22"/>
        </w:rPr>
        <w:t xml:space="preserve">. </w:t>
      </w:r>
      <w:r w:rsidR="008B22ED">
        <w:rPr>
          <w:szCs w:val="22"/>
        </w:rPr>
        <w:t xml:space="preserve">That is, </w:t>
      </w:r>
      <w:r w:rsidR="008B22ED">
        <w:rPr>
          <w:szCs w:val="22"/>
          <w:lang w:eastAsia="zh-CN"/>
        </w:rPr>
        <w:t>w</w:t>
      </w:r>
      <w:r w:rsidR="00182990" w:rsidRPr="00CA6FEA">
        <w:rPr>
          <w:szCs w:val="22"/>
        </w:rPr>
        <w:t xml:space="preserve">hen </w:t>
      </w:r>
      <w:r w:rsidR="00182990" w:rsidRPr="00226960">
        <w:rPr>
          <w:szCs w:val="22"/>
        </w:rPr>
        <w:t>investor sentiment becomes optimistic, the returns of A-REITs increase, and conversely, when investor sentiment becomes pessimistic, the returns of A-REITs decrease.</w:t>
      </w:r>
      <w:r w:rsidR="005D733A" w:rsidRPr="00226960">
        <w:rPr>
          <w:szCs w:val="22"/>
        </w:rPr>
        <w:t xml:space="preserve"> </w:t>
      </w:r>
      <w:r w:rsidR="00182990" w:rsidRPr="00226960">
        <w:rPr>
          <w:szCs w:val="22"/>
        </w:rPr>
        <w:t xml:space="preserve">The findings are consistent with similar studies conducted on the US and European REIT markets. </w:t>
      </w:r>
    </w:p>
    <w:p w14:paraId="6FEE0C7E" w14:textId="77777777" w:rsidR="003E11AB" w:rsidRPr="00226960" w:rsidRDefault="003E11AB" w:rsidP="00D3639B">
      <w:pPr>
        <w:rPr>
          <w:szCs w:val="22"/>
        </w:rPr>
      </w:pPr>
    </w:p>
    <w:p w14:paraId="4EEE4567" w14:textId="256E00A7" w:rsidR="00182990" w:rsidRDefault="00182990" w:rsidP="00D3639B">
      <w:pPr>
        <w:rPr>
          <w:szCs w:val="22"/>
        </w:rPr>
      </w:pPr>
      <w:r w:rsidRPr="00226960">
        <w:rPr>
          <w:szCs w:val="22"/>
        </w:rPr>
        <w:t xml:space="preserve">There are some limitations to the findings of this study. The sentiment proxies constructed in this study </w:t>
      </w:r>
      <w:r w:rsidR="00D16134" w:rsidRPr="00226960">
        <w:rPr>
          <w:szCs w:val="22"/>
        </w:rPr>
        <w:t>are</w:t>
      </w:r>
      <w:r w:rsidRPr="00226960">
        <w:rPr>
          <w:szCs w:val="22"/>
        </w:rPr>
        <w:t xml:space="preserve"> based on two survey-based sentiment indicators in Australia, but it is important to note that they were not developed specifically for the A-REIT market and their respondents are not necessarily participants in the A-REIT market. As such, the proxies may not fully characterise the sentiment of investors in the A-REIT market. In addition, the scope of the data sample analysed is limited. The sample size is relatively small compared to studies based on the US REIT market. Bridging these</w:t>
      </w:r>
      <w:r w:rsidRPr="00CA6FEA">
        <w:rPr>
          <w:szCs w:val="22"/>
        </w:rPr>
        <w:t xml:space="preserve"> gaps is also the way to pursue this topic in the future.</w:t>
      </w:r>
    </w:p>
    <w:p w14:paraId="0B3B7F78" w14:textId="77777777" w:rsidR="00444F6D" w:rsidRPr="004B6B02" w:rsidRDefault="00444F6D" w:rsidP="00D3639B">
      <w:pPr>
        <w:rPr>
          <w:szCs w:val="22"/>
        </w:rPr>
      </w:pPr>
    </w:p>
    <w:p w14:paraId="25E95085" w14:textId="77777777" w:rsidR="00182990" w:rsidRPr="007D7F2A" w:rsidRDefault="00182990" w:rsidP="00D3639B">
      <w:pPr>
        <w:pStyle w:val="Heading1"/>
        <w:rPr>
          <w:szCs w:val="22"/>
        </w:rPr>
      </w:pPr>
      <w:r w:rsidRPr="00186886">
        <w:t>REFERENCE</w:t>
      </w:r>
    </w:p>
    <w:p w14:paraId="127308C2" w14:textId="40F9FEB1" w:rsidR="009E1CFF" w:rsidRPr="009E1CFF" w:rsidRDefault="00D3639B" w:rsidP="009E1CFF">
      <w:pPr>
        <w:pStyle w:val="ReferenceList"/>
        <w:rPr>
          <w:noProof/>
        </w:rPr>
      </w:pPr>
      <w:r w:rsidRPr="00521453">
        <w:fldChar w:fldCharType="begin"/>
      </w:r>
      <w:r w:rsidRPr="00521453">
        <w:instrText xml:space="preserve"> ADDIN EN.REFLIST </w:instrText>
      </w:r>
      <w:r w:rsidRPr="00521453">
        <w:fldChar w:fldCharType="separate"/>
      </w:r>
      <w:r w:rsidR="009E1CFF" w:rsidRPr="009E1CFF">
        <w:rPr>
          <w:noProof/>
        </w:rPr>
        <w:t xml:space="preserve">Aggarwal, D 2022, 'Defining and measuring market sentiments: a review of the literature', </w:t>
      </w:r>
      <w:r w:rsidR="009E1CFF" w:rsidRPr="009E1CFF">
        <w:rPr>
          <w:i/>
          <w:noProof/>
        </w:rPr>
        <w:t>Qualitative Research in Financial Markets</w:t>
      </w:r>
      <w:r w:rsidR="009E1CFF" w:rsidRPr="009E1CFF">
        <w:rPr>
          <w:noProof/>
        </w:rPr>
        <w:t>, vol. 14, no. 2, pp. 270-288.</w:t>
      </w:r>
    </w:p>
    <w:p w14:paraId="4A8EEEBF" w14:textId="0263928E" w:rsidR="009E1CFF" w:rsidRPr="009E1CFF" w:rsidRDefault="009E1CFF" w:rsidP="009E1CFF">
      <w:pPr>
        <w:pStyle w:val="ReferenceList"/>
        <w:rPr>
          <w:noProof/>
        </w:rPr>
      </w:pPr>
      <w:r w:rsidRPr="009E1CFF">
        <w:rPr>
          <w:noProof/>
        </w:rPr>
        <w:t xml:space="preserve">ASX 2021, </w:t>
      </w:r>
      <w:r w:rsidRPr="009E1CFF">
        <w:rPr>
          <w:i/>
          <w:noProof/>
        </w:rPr>
        <w:t>ASX Investment Prodects Monthly Update - December 2021</w:t>
      </w:r>
      <w:r w:rsidRPr="009E1CFF">
        <w:rPr>
          <w:noProof/>
        </w:rPr>
        <w:t>.</w:t>
      </w:r>
    </w:p>
    <w:p w14:paraId="0F08498A" w14:textId="69587A95" w:rsidR="009E1CFF" w:rsidRPr="009E1CFF" w:rsidRDefault="009E1CFF" w:rsidP="009E1CFF">
      <w:pPr>
        <w:pStyle w:val="ReferenceList"/>
        <w:rPr>
          <w:noProof/>
        </w:rPr>
      </w:pPr>
      <w:r w:rsidRPr="009E1CFF">
        <w:rPr>
          <w:noProof/>
        </w:rPr>
        <w:t xml:space="preserve">ASX 2022, </w:t>
      </w:r>
      <w:r w:rsidRPr="009E1CFF">
        <w:rPr>
          <w:i/>
          <w:noProof/>
        </w:rPr>
        <w:t>ASX Investment Products - A-REITs</w:t>
      </w:r>
      <w:r w:rsidRPr="009E1CFF">
        <w:rPr>
          <w:noProof/>
        </w:rPr>
        <w:t>, viewed 25 July, &lt;</w:t>
      </w:r>
      <w:hyperlink r:id="rId14" w:history="1">
        <w:r w:rsidRPr="009E1CFF">
          <w:rPr>
            <w:rStyle w:val="Hyperlink"/>
            <w:noProof/>
          </w:rPr>
          <w:t>https://www2.asx.com.au/markets/trade-our-cash-market/asx-investment-products-directory/areits</w:t>
        </w:r>
      </w:hyperlink>
      <w:r w:rsidRPr="009E1CFF">
        <w:rPr>
          <w:noProof/>
        </w:rPr>
        <w:t>&gt;.</w:t>
      </w:r>
    </w:p>
    <w:p w14:paraId="265D1077" w14:textId="7F75E829" w:rsidR="009E1CFF" w:rsidRPr="009E1CFF" w:rsidRDefault="009E1CFF" w:rsidP="009E1CFF">
      <w:pPr>
        <w:pStyle w:val="ReferenceList"/>
        <w:rPr>
          <w:noProof/>
        </w:rPr>
      </w:pPr>
      <w:r w:rsidRPr="009E1CFF">
        <w:rPr>
          <w:noProof/>
        </w:rPr>
        <w:t xml:space="preserve">ASX 2023, </w:t>
      </w:r>
      <w:r w:rsidRPr="009E1CFF">
        <w:rPr>
          <w:i/>
          <w:noProof/>
        </w:rPr>
        <w:t>ASX Investment Products Monthly Update - June 2023</w:t>
      </w:r>
      <w:r w:rsidRPr="009E1CFF">
        <w:rPr>
          <w:noProof/>
        </w:rPr>
        <w:t>.</w:t>
      </w:r>
    </w:p>
    <w:p w14:paraId="6693A6B5" w14:textId="7C345A37" w:rsidR="009E1CFF" w:rsidRPr="009E1CFF" w:rsidRDefault="009E1CFF" w:rsidP="009E1CFF">
      <w:pPr>
        <w:pStyle w:val="ReferenceList"/>
        <w:rPr>
          <w:noProof/>
        </w:rPr>
      </w:pPr>
      <w:r w:rsidRPr="009E1CFF">
        <w:rPr>
          <w:noProof/>
        </w:rPr>
        <w:t xml:space="preserve">Baker, M &amp; Wurgler, J 2006, 'Investor Sentiment and the Cross‐Section of Stock Returns', </w:t>
      </w:r>
      <w:r w:rsidRPr="009E1CFF">
        <w:rPr>
          <w:i/>
          <w:noProof/>
        </w:rPr>
        <w:t>Journal of Finance</w:t>
      </w:r>
      <w:r w:rsidRPr="009E1CFF">
        <w:rPr>
          <w:noProof/>
        </w:rPr>
        <w:t>, vol. 61, no. 4, pp. 1645-1680.</w:t>
      </w:r>
    </w:p>
    <w:p w14:paraId="06068AFE" w14:textId="23367BB3" w:rsidR="009E1CFF" w:rsidRPr="009E1CFF" w:rsidRDefault="009E1CFF" w:rsidP="009E1CFF">
      <w:pPr>
        <w:pStyle w:val="ReferenceList"/>
        <w:rPr>
          <w:noProof/>
        </w:rPr>
      </w:pPr>
      <w:r w:rsidRPr="009E1CFF">
        <w:rPr>
          <w:noProof/>
        </w:rPr>
        <w:t xml:space="preserve">Baker, M &amp; Wurgler, J 2007, 'Investor Sentiment in the Stock Market', </w:t>
      </w:r>
      <w:r w:rsidRPr="009E1CFF">
        <w:rPr>
          <w:i/>
          <w:noProof/>
        </w:rPr>
        <w:t>Journal of Economic Perspectives</w:t>
      </w:r>
      <w:r w:rsidRPr="009E1CFF">
        <w:rPr>
          <w:noProof/>
        </w:rPr>
        <w:t>, vol. 21, no. 2, pp. 129-152.</w:t>
      </w:r>
    </w:p>
    <w:p w14:paraId="4BEFBF3B" w14:textId="4A2FB4C3" w:rsidR="009E1CFF" w:rsidRPr="009E1CFF" w:rsidRDefault="009E1CFF" w:rsidP="009E1CFF">
      <w:pPr>
        <w:pStyle w:val="ReferenceList"/>
        <w:rPr>
          <w:noProof/>
        </w:rPr>
      </w:pPr>
      <w:r w:rsidRPr="009E1CFF">
        <w:rPr>
          <w:noProof/>
        </w:rPr>
        <w:t xml:space="preserve">Brown, GW &amp; Cliff, MT 2004, 'Investor sentiment and the near-term stock market', </w:t>
      </w:r>
      <w:r w:rsidRPr="009E1CFF">
        <w:rPr>
          <w:i/>
          <w:noProof/>
        </w:rPr>
        <w:t>Journal of Empirical Finance</w:t>
      </w:r>
      <w:r w:rsidRPr="009E1CFF">
        <w:rPr>
          <w:noProof/>
        </w:rPr>
        <w:t>, vol. 11, no. 1, pp. 1-27.</w:t>
      </w:r>
    </w:p>
    <w:p w14:paraId="1E06D083" w14:textId="4D9AE428" w:rsidR="009E1CFF" w:rsidRPr="009E1CFF" w:rsidRDefault="009E1CFF" w:rsidP="009E1CFF">
      <w:pPr>
        <w:pStyle w:val="ReferenceList"/>
        <w:rPr>
          <w:noProof/>
        </w:rPr>
      </w:pPr>
      <w:r w:rsidRPr="009E1CFF">
        <w:rPr>
          <w:noProof/>
        </w:rPr>
        <w:t xml:space="preserve">Chan, KC, Hendershott, P &amp; Sanders, AB 1990, 'Risk and Return on Real Estate: Evidence from Equity REITs', </w:t>
      </w:r>
      <w:r w:rsidRPr="009E1CFF">
        <w:rPr>
          <w:i/>
          <w:noProof/>
        </w:rPr>
        <w:t>Real Estate Economics</w:t>
      </w:r>
      <w:r w:rsidRPr="009E1CFF">
        <w:rPr>
          <w:noProof/>
        </w:rPr>
        <w:t>, vol. 18, no. 4, pp. 431-452.</w:t>
      </w:r>
    </w:p>
    <w:p w14:paraId="4A86FCEF" w14:textId="1EF21484" w:rsidR="009E1CFF" w:rsidRPr="009E1CFF" w:rsidRDefault="009E1CFF" w:rsidP="009E1CFF">
      <w:pPr>
        <w:pStyle w:val="ReferenceList"/>
        <w:rPr>
          <w:noProof/>
        </w:rPr>
      </w:pPr>
      <w:r w:rsidRPr="009E1CFF">
        <w:rPr>
          <w:noProof/>
        </w:rPr>
        <w:t xml:space="preserve">Chan, SH, Erickson, J &amp; Wang, K 2003, </w:t>
      </w:r>
      <w:r w:rsidRPr="009E1CFF">
        <w:rPr>
          <w:i/>
          <w:noProof/>
        </w:rPr>
        <w:t>Real estate investment trusts : structure, performance, and investment opportunities</w:t>
      </w:r>
      <w:r w:rsidRPr="009E1CFF">
        <w:rPr>
          <w:noProof/>
        </w:rPr>
        <w:t>, Financial Management Association survey and synthesis series, Oxford University Press, Oxford.</w:t>
      </w:r>
    </w:p>
    <w:p w14:paraId="0BE32C1F" w14:textId="739AD4F6" w:rsidR="009E1CFF" w:rsidRPr="009E1CFF" w:rsidRDefault="009E1CFF" w:rsidP="009E1CFF">
      <w:pPr>
        <w:pStyle w:val="ReferenceList"/>
        <w:rPr>
          <w:noProof/>
        </w:rPr>
      </w:pPr>
      <w:r w:rsidRPr="009E1CFF">
        <w:rPr>
          <w:noProof/>
        </w:rPr>
        <w:t xml:space="preserve">De Francesco, AJ &amp; Hartigan, LR 2009, 'The impact of changing risk characteristics in the A‐REIT sector', </w:t>
      </w:r>
      <w:r w:rsidRPr="009E1CFF">
        <w:rPr>
          <w:i/>
          <w:noProof/>
        </w:rPr>
        <w:t>Journal of Property Investment &amp; Finance</w:t>
      </w:r>
      <w:r w:rsidRPr="009E1CFF">
        <w:rPr>
          <w:noProof/>
        </w:rPr>
        <w:t>.</w:t>
      </w:r>
    </w:p>
    <w:p w14:paraId="062BCC4F" w14:textId="7EF93B05" w:rsidR="009E1CFF" w:rsidRPr="009E1CFF" w:rsidRDefault="009E1CFF" w:rsidP="009E1CFF">
      <w:pPr>
        <w:pStyle w:val="ReferenceList"/>
        <w:rPr>
          <w:noProof/>
        </w:rPr>
      </w:pPr>
      <w:r w:rsidRPr="009E1CFF">
        <w:rPr>
          <w:noProof/>
        </w:rPr>
        <w:t xml:space="preserve">De Long, JB, Shleifer, A, Summers, LH &amp; Waldmann, RJ 1990, 'Noise Trader Risk in Financial Markets', </w:t>
      </w:r>
      <w:r w:rsidRPr="009E1CFF">
        <w:rPr>
          <w:i/>
          <w:noProof/>
        </w:rPr>
        <w:t>Journal of Political Economy</w:t>
      </w:r>
      <w:r w:rsidRPr="009E1CFF">
        <w:rPr>
          <w:noProof/>
        </w:rPr>
        <w:t>, vol. 98, no. 4, pp. 703-738.</w:t>
      </w:r>
    </w:p>
    <w:p w14:paraId="2817B131" w14:textId="40FB7482" w:rsidR="009E1CFF" w:rsidRPr="009E1CFF" w:rsidRDefault="009E1CFF" w:rsidP="009E1CFF">
      <w:pPr>
        <w:pStyle w:val="ReferenceList"/>
        <w:rPr>
          <w:noProof/>
        </w:rPr>
      </w:pPr>
      <w:r w:rsidRPr="009E1CFF">
        <w:rPr>
          <w:noProof/>
        </w:rPr>
        <w:lastRenderedPageBreak/>
        <w:t xml:space="preserve">Dimovski, B 2016, 'Differences in underpricing of A-REIT IPOs and Australian property company IPOs', </w:t>
      </w:r>
      <w:r w:rsidRPr="009E1CFF">
        <w:rPr>
          <w:i/>
          <w:noProof/>
        </w:rPr>
        <w:t>Journal of Property Investment &amp; Finance</w:t>
      </w:r>
      <w:r w:rsidRPr="009E1CFF">
        <w:rPr>
          <w:noProof/>
        </w:rPr>
        <w:t>.</w:t>
      </w:r>
    </w:p>
    <w:p w14:paraId="1E13F722" w14:textId="72CBF9FB" w:rsidR="009E1CFF" w:rsidRPr="009E1CFF" w:rsidRDefault="009E1CFF" w:rsidP="009E1CFF">
      <w:pPr>
        <w:pStyle w:val="ReferenceList"/>
        <w:rPr>
          <w:noProof/>
        </w:rPr>
      </w:pPr>
      <w:r w:rsidRPr="009E1CFF">
        <w:rPr>
          <w:noProof/>
        </w:rPr>
        <w:t xml:space="preserve">Dimovski, W 2010, 'The underpricing of A-REIT IPOs in Australia during 2002 to 2008', </w:t>
      </w:r>
      <w:r w:rsidRPr="009E1CFF">
        <w:rPr>
          <w:i/>
          <w:noProof/>
        </w:rPr>
        <w:t>Pacific Rim Property Research Journal</w:t>
      </w:r>
      <w:r w:rsidRPr="009E1CFF">
        <w:rPr>
          <w:noProof/>
        </w:rPr>
        <w:t>, vol. 16, no. 1, pp. 39-51.</w:t>
      </w:r>
    </w:p>
    <w:p w14:paraId="0DC87280" w14:textId="4D3E86F3" w:rsidR="009E1CFF" w:rsidRPr="009E1CFF" w:rsidRDefault="009E1CFF" w:rsidP="009E1CFF">
      <w:pPr>
        <w:pStyle w:val="ReferenceList"/>
        <w:rPr>
          <w:noProof/>
        </w:rPr>
      </w:pPr>
      <w:r w:rsidRPr="009E1CFF">
        <w:rPr>
          <w:noProof/>
        </w:rPr>
        <w:t xml:space="preserve">Dimovski, W &amp; Brooks, R 2006, 'The pricing of property trust IPOs in Australia', </w:t>
      </w:r>
      <w:r w:rsidRPr="009E1CFF">
        <w:rPr>
          <w:i/>
          <w:noProof/>
        </w:rPr>
        <w:t>The Journal of Real Estate Finance and Economics</w:t>
      </w:r>
      <w:r w:rsidRPr="009E1CFF">
        <w:rPr>
          <w:noProof/>
        </w:rPr>
        <w:t>, vol. 32, no. 2, pp. 185-199.</w:t>
      </w:r>
    </w:p>
    <w:p w14:paraId="3001A73F" w14:textId="0AA73F92" w:rsidR="009E1CFF" w:rsidRPr="009E1CFF" w:rsidRDefault="009E1CFF" w:rsidP="009E1CFF">
      <w:pPr>
        <w:pStyle w:val="ReferenceList"/>
        <w:rPr>
          <w:noProof/>
        </w:rPr>
      </w:pPr>
      <w:r w:rsidRPr="009E1CFF">
        <w:rPr>
          <w:noProof/>
        </w:rPr>
        <w:t xml:space="preserve">Dimovski, W &amp; Ratcliffe, C 2011, 'A duration analysis of the time from prospectus to listing for A-REIT IPOs', </w:t>
      </w:r>
      <w:r w:rsidRPr="009E1CFF">
        <w:rPr>
          <w:i/>
          <w:noProof/>
        </w:rPr>
        <w:t>Pacific Rim Property Research Journal</w:t>
      </w:r>
      <w:r w:rsidRPr="009E1CFF">
        <w:rPr>
          <w:noProof/>
        </w:rPr>
        <w:t>, vol. 17, no. 2, pp. 248-259.</w:t>
      </w:r>
    </w:p>
    <w:p w14:paraId="1693E574" w14:textId="189576FD" w:rsidR="009E1CFF" w:rsidRPr="009E1CFF" w:rsidRDefault="009E1CFF" w:rsidP="009E1CFF">
      <w:pPr>
        <w:pStyle w:val="ReferenceList"/>
        <w:rPr>
          <w:noProof/>
        </w:rPr>
      </w:pPr>
      <w:r w:rsidRPr="009E1CFF">
        <w:rPr>
          <w:noProof/>
        </w:rPr>
        <w:t xml:space="preserve">Erol, I &amp; Tyvimaa, T 2019, 'Explaining the premium to NAV in publicly traded Australian REITs, 2008–2018', </w:t>
      </w:r>
      <w:r w:rsidRPr="009E1CFF">
        <w:rPr>
          <w:i/>
          <w:noProof/>
        </w:rPr>
        <w:t>Journal of Property Investment &amp; Finance</w:t>
      </w:r>
      <w:r w:rsidRPr="009E1CFF">
        <w:rPr>
          <w:noProof/>
        </w:rPr>
        <w:t>.</w:t>
      </w:r>
    </w:p>
    <w:p w14:paraId="59AFBEF9" w14:textId="3D4A8FEE" w:rsidR="009E1CFF" w:rsidRPr="009E1CFF" w:rsidRDefault="009E1CFF" w:rsidP="009E1CFF">
      <w:pPr>
        <w:pStyle w:val="ReferenceList"/>
        <w:rPr>
          <w:noProof/>
        </w:rPr>
      </w:pPr>
      <w:r w:rsidRPr="009E1CFF">
        <w:rPr>
          <w:noProof/>
        </w:rPr>
        <w:t xml:space="preserve">Fama, EF &amp; French, KR 1992, 'The Cross-Section of Expected Stock Returns', </w:t>
      </w:r>
      <w:r w:rsidRPr="009E1CFF">
        <w:rPr>
          <w:i/>
          <w:noProof/>
        </w:rPr>
        <w:t>The Journal of finance (New York)</w:t>
      </w:r>
      <w:r w:rsidRPr="009E1CFF">
        <w:rPr>
          <w:noProof/>
        </w:rPr>
        <w:t>, vol. 47, no. 2, pp. 427-465.</w:t>
      </w:r>
    </w:p>
    <w:p w14:paraId="0B4F1BA8" w14:textId="6CA0ACDB" w:rsidR="009E1CFF" w:rsidRPr="009E1CFF" w:rsidRDefault="009E1CFF" w:rsidP="009E1CFF">
      <w:pPr>
        <w:pStyle w:val="ReferenceList"/>
        <w:rPr>
          <w:noProof/>
        </w:rPr>
      </w:pPr>
      <w:r w:rsidRPr="009E1CFF">
        <w:rPr>
          <w:noProof/>
        </w:rPr>
        <w:t xml:space="preserve">Higgins, D &amp; Ng, B 2009, 'Australian securitised property funds: an examination of their risk‐adjusted performance', </w:t>
      </w:r>
      <w:r w:rsidRPr="009E1CFF">
        <w:rPr>
          <w:i/>
          <w:noProof/>
        </w:rPr>
        <w:t>Journal of Property Investment &amp; Finance</w:t>
      </w:r>
      <w:r w:rsidRPr="009E1CFF">
        <w:rPr>
          <w:noProof/>
        </w:rPr>
        <w:t>.</w:t>
      </w:r>
    </w:p>
    <w:p w14:paraId="19A919D8" w14:textId="3B4094A3" w:rsidR="009E1CFF" w:rsidRPr="009E1CFF" w:rsidRDefault="009E1CFF" w:rsidP="009E1CFF">
      <w:pPr>
        <w:pStyle w:val="ReferenceList"/>
        <w:rPr>
          <w:noProof/>
        </w:rPr>
      </w:pPr>
      <w:r w:rsidRPr="009E1CFF">
        <w:rPr>
          <w:noProof/>
        </w:rPr>
        <w:t xml:space="preserve">Higgins, DM 2007, 'Placing commercial property in the Australian capital market', </w:t>
      </w:r>
      <w:r w:rsidRPr="009E1CFF">
        <w:rPr>
          <w:i/>
          <w:noProof/>
        </w:rPr>
        <w:t>RICS Research paper series</w:t>
      </w:r>
      <w:r w:rsidRPr="009E1CFF">
        <w:rPr>
          <w:noProof/>
        </w:rPr>
        <w:t>.</w:t>
      </w:r>
    </w:p>
    <w:p w14:paraId="0958168F" w14:textId="2A122082" w:rsidR="009E1CFF" w:rsidRPr="009E1CFF" w:rsidRDefault="009E1CFF" w:rsidP="009E1CFF">
      <w:pPr>
        <w:pStyle w:val="ReferenceList"/>
        <w:rPr>
          <w:noProof/>
        </w:rPr>
      </w:pPr>
      <w:r w:rsidRPr="009E1CFF">
        <w:rPr>
          <w:noProof/>
        </w:rPr>
        <w:t xml:space="preserve">Hirshleifer, D 2015, 'Behavioral finance', </w:t>
      </w:r>
      <w:r w:rsidRPr="009E1CFF">
        <w:rPr>
          <w:i/>
          <w:noProof/>
        </w:rPr>
        <w:t>Annual Review of Financial Economics</w:t>
      </w:r>
      <w:r w:rsidRPr="009E1CFF">
        <w:rPr>
          <w:noProof/>
        </w:rPr>
        <w:t>, vol. 7, pp. 133-159.</w:t>
      </w:r>
    </w:p>
    <w:p w14:paraId="47A75C53" w14:textId="7B87F6C0" w:rsidR="009E1CFF" w:rsidRPr="009E1CFF" w:rsidRDefault="009E1CFF" w:rsidP="009E1CFF">
      <w:pPr>
        <w:pStyle w:val="ReferenceList"/>
        <w:rPr>
          <w:noProof/>
        </w:rPr>
      </w:pPr>
      <w:r w:rsidRPr="009E1CFF">
        <w:rPr>
          <w:noProof/>
        </w:rPr>
        <w:t xml:space="preserve">Huerta, D, Jackson, DO &amp; Ngo, T 2015, 'Categorizing sentiment and its impact on REIT returns', </w:t>
      </w:r>
      <w:r w:rsidRPr="009E1CFF">
        <w:rPr>
          <w:i/>
          <w:noProof/>
        </w:rPr>
        <w:t>Managerial Finance</w:t>
      </w:r>
      <w:r w:rsidRPr="009E1CFF">
        <w:rPr>
          <w:noProof/>
        </w:rPr>
        <w:t>, vol. 41, no. 9, pp. 958-973.</w:t>
      </w:r>
    </w:p>
    <w:p w14:paraId="4FF8E866" w14:textId="0CC4F8C3" w:rsidR="009E1CFF" w:rsidRPr="009E1CFF" w:rsidRDefault="009E1CFF" w:rsidP="009E1CFF">
      <w:pPr>
        <w:pStyle w:val="ReferenceList"/>
        <w:rPr>
          <w:noProof/>
        </w:rPr>
      </w:pPr>
      <w:r w:rsidRPr="009E1CFF">
        <w:rPr>
          <w:noProof/>
        </w:rPr>
        <w:t xml:space="preserve">Huerta-Sanchez, D &amp; Escobari, D 2018, 'Changes in sentiment on REIT industry excess returns and volatility', </w:t>
      </w:r>
      <w:r w:rsidRPr="009E1CFF">
        <w:rPr>
          <w:i/>
          <w:noProof/>
        </w:rPr>
        <w:t>Financial Markets and Portfolio Management</w:t>
      </w:r>
      <w:r w:rsidRPr="009E1CFF">
        <w:rPr>
          <w:noProof/>
        </w:rPr>
        <w:t>, vol. 32, no. 3, pp. 239-274.</w:t>
      </w:r>
    </w:p>
    <w:p w14:paraId="6657596C" w14:textId="41A5B2B1" w:rsidR="009E1CFF" w:rsidRPr="009E1CFF" w:rsidRDefault="009E1CFF" w:rsidP="009E1CFF">
      <w:pPr>
        <w:pStyle w:val="ReferenceList"/>
        <w:rPr>
          <w:noProof/>
        </w:rPr>
      </w:pPr>
      <w:r w:rsidRPr="009E1CFF">
        <w:rPr>
          <w:noProof/>
        </w:rPr>
        <w:t xml:space="preserve">Kapoor, S &amp; Prosad, JM 2017, 'Behavioural finance: A review', </w:t>
      </w:r>
      <w:r w:rsidRPr="009E1CFF">
        <w:rPr>
          <w:i/>
          <w:noProof/>
        </w:rPr>
        <w:t>Procedia computer science</w:t>
      </w:r>
      <w:r w:rsidRPr="009E1CFF">
        <w:rPr>
          <w:noProof/>
        </w:rPr>
        <w:t>, vol. 122, pp. 50-54.</w:t>
      </w:r>
    </w:p>
    <w:p w14:paraId="007D2C85" w14:textId="43EEF7D0" w:rsidR="009E1CFF" w:rsidRPr="009E1CFF" w:rsidRDefault="009E1CFF" w:rsidP="009E1CFF">
      <w:pPr>
        <w:pStyle w:val="ReferenceList"/>
        <w:rPr>
          <w:noProof/>
        </w:rPr>
      </w:pPr>
      <w:r w:rsidRPr="009E1CFF">
        <w:rPr>
          <w:noProof/>
        </w:rPr>
        <w:t xml:space="preserve">Lee, CL 2009, 'Volatility transmission in Australian REIT futures', </w:t>
      </w:r>
      <w:r w:rsidRPr="009E1CFF">
        <w:rPr>
          <w:i/>
          <w:noProof/>
        </w:rPr>
        <w:t>Journal of Real Estate Portfolio Management</w:t>
      </w:r>
      <w:r w:rsidRPr="009E1CFF">
        <w:rPr>
          <w:noProof/>
        </w:rPr>
        <w:t>, vol. 15, no. 3, pp. 221-238.</w:t>
      </w:r>
    </w:p>
    <w:p w14:paraId="00808165" w14:textId="3CFFFF39" w:rsidR="009E1CFF" w:rsidRPr="009E1CFF" w:rsidRDefault="009E1CFF" w:rsidP="009E1CFF">
      <w:pPr>
        <w:pStyle w:val="ReferenceList"/>
        <w:rPr>
          <w:noProof/>
        </w:rPr>
      </w:pPr>
      <w:r w:rsidRPr="009E1CFF">
        <w:rPr>
          <w:noProof/>
        </w:rPr>
        <w:t xml:space="preserve">Lee, M-T, Kuo, S-H, Lee, M-L &amp; Lee, CL 2016, 'Price discovery and volatility transmission in Australian REIT cash and futures markets', </w:t>
      </w:r>
      <w:r w:rsidRPr="009E1CFF">
        <w:rPr>
          <w:i/>
          <w:noProof/>
        </w:rPr>
        <w:t>International Journal of Strategic Property Management</w:t>
      </w:r>
      <w:r w:rsidRPr="009E1CFF">
        <w:rPr>
          <w:noProof/>
        </w:rPr>
        <w:t>, vol. 20, no. 2, pp. 113-129.</w:t>
      </w:r>
    </w:p>
    <w:p w14:paraId="1B3B8823" w14:textId="268E5282" w:rsidR="009E1CFF" w:rsidRPr="009E1CFF" w:rsidRDefault="009E1CFF" w:rsidP="009E1CFF">
      <w:pPr>
        <w:pStyle w:val="ReferenceList"/>
        <w:rPr>
          <w:noProof/>
        </w:rPr>
      </w:pPr>
      <w:r w:rsidRPr="009E1CFF">
        <w:rPr>
          <w:noProof/>
        </w:rPr>
        <w:t xml:space="preserve">Lee, WY, Jiang, CX &amp; Indro, DC 2002, 'Stock market volatility, excess returns, and the role of investor sentiment', </w:t>
      </w:r>
      <w:r w:rsidRPr="009E1CFF">
        <w:rPr>
          <w:i/>
          <w:noProof/>
        </w:rPr>
        <w:t>Journal of Banking &amp;amp; Finance</w:t>
      </w:r>
      <w:r w:rsidRPr="009E1CFF">
        <w:rPr>
          <w:noProof/>
        </w:rPr>
        <w:t>, vol. 26, no. 12, pp. 2277-2299.</w:t>
      </w:r>
    </w:p>
    <w:p w14:paraId="714CE621" w14:textId="5F99B3A9" w:rsidR="009E1CFF" w:rsidRPr="009E1CFF" w:rsidRDefault="009E1CFF" w:rsidP="009E1CFF">
      <w:pPr>
        <w:pStyle w:val="ReferenceList"/>
        <w:rPr>
          <w:noProof/>
        </w:rPr>
      </w:pPr>
      <w:r w:rsidRPr="009E1CFF">
        <w:rPr>
          <w:noProof/>
        </w:rPr>
        <w:t xml:space="preserve">Lemmon, M &amp; Portniaguina, E 2006, 'Consumer confidence and asset prices: Some empirical evidence', </w:t>
      </w:r>
      <w:r w:rsidRPr="009E1CFF">
        <w:rPr>
          <w:i/>
          <w:noProof/>
        </w:rPr>
        <w:t>The Review of Financial Studies</w:t>
      </w:r>
      <w:r w:rsidRPr="009E1CFF">
        <w:rPr>
          <w:noProof/>
        </w:rPr>
        <w:t>, vol. 19, no. 4, pp. 1499-1529.</w:t>
      </w:r>
    </w:p>
    <w:p w14:paraId="02231FB2" w14:textId="31748EDE" w:rsidR="009E1CFF" w:rsidRPr="009E1CFF" w:rsidRDefault="009E1CFF" w:rsidP="009E1CFF">
      <w:pPr>
        <w:pStyle w:val="ReferenceList"/>
        <w:rPr>
          <w:noProof/>
        </w:rPr>
      </w:pPr>
      <w:r w:rsidRPr="009E1CFF">
        <w:rPr>
          <w:noProof/>
        </w:rPr>
        <w:t xml:space="preserve">Lin, CY, Rahman, H &amp; Yung, K 2008, 'Investor Sentiment and REIT Returns', </w:t>
      </w:r>
      <w:r w:rsidRPr="009E1CFF">
        <w:rPr>
          <w:i/>
          <w:noProof/>
        </w:rPr>
        <w:t>The Journal of Real Estate Finance and Economics</w:t>
      </w:r>
      <w:r w:rsidRPr="009E1CFF">
        <w:rPr>
          <w:noProof/>
        </w:rPr>
        <w:t>, vol. 39, no. 4, p. 450.</w:t>
      </w:r>
    </w:p>
    <w:p w14:paraId="79E5C608" w14:textId="4EBC862F" w:rsidR="009E1CFF" w:rsidRPr="009E1CFF" w:rsidRDefault="009E1CFF" w:rsidP="009E1CFF">
      <w:pPr>
        <w:pStyle w:val="ReferenceList"/>
        <w:rPr>
          <w:noProof/>
        </w:rPr>
      </w:pPr>
      <w:r w:rsidRPr="009E1CFF">
        <w:rPr>
          <w:noProof/>
        </w:rPr>
        <w:t xml:space="preserve">Lin Lee, C &amp; Lee, ML 2012, 'Hedging effectiveness of REIT futures', </w:t>
      </w:r>
      <w:r w:rsidRPr="009E1CFF">
        <w:rPr>
          <w:i/>
          <w:noProof/>
        </w:rPr>
        <w:t>Journal of Property Investment &amp; Finance</w:t>
      </w:r>
      <w:r w:rsidRPr="009E1CFF">
        <w:rPr>
          <w:noProof/>
        </w:rPr>
        <w:t>, vol. 30, no. 3, pp. 257-281.</w:t>
      </w:r>
    </w:p>
    <w:p w14:paraId="2A825CF3" w14:textId="2E42AB90" w:rsidR="009E1CFF" w:rsidRPr="009E1CFF" w:rsidRDefault="009E1CFF" w:rsidP="009E1CFF">
      <w:pPr>
        <w:pStyle w:val="ReferenceList"/>
        <w:rPr>
          <w:noProof/>
        </w:rPr>
      </w:pPr>
      <w:r w:rsidRPr="009E1CFF">
        <w:rPr>
          <w:noProof/>
        </w:rPr>
        <w:t xml:space="preserve">Neal, R &amp; Wheatley, SM 1998, 'Do Measures of Investor Sentiment Predict Returns?', </w:t>
      </w:r>
      <w:r w:rsidRPr="009E1CFF">
        <w:rPr>
          <w:i/>
          <w:noProof/>
        </w:rPr>
        <w:t>Journal of Financial and Quantitative Analysis</w:t>
      </w:r>
      <w:r w:rsidRPr="009E1CFF">
        <w:rPr>
          <w:noProof/>
        </w:rPr>
        <w:t>, vol. 33, no. 4, pp. 523-547.</w:t>
      </w:r>
    </w:p>
    <w:p w14:paraId="773BE379" w14:textId="59C679FC" w:rsidR="009E1CFF" w:rsidRPr="009E1CFF" w:rsidRDefault="009E1CFF" w:rsidP="009E1CFF">
      <w:pPr>
        <w:pStyle w:val="ReferenceList"/>
        <w:rPr>
          <w:noProof/>
        </w:rPr>
      </w:pPr>
      <w:r w:rsidRPr="009E1CFF">
        <w:rPr>
          <w:noProof/>
        </w:rPr>
        <w:t xml:space="preserve">Newell, G 2010, 'The effectiveness of A-REIT futures as a risk management strategy in the global financial crisis', </w:t>
      </w:r>
      <w:r w:rsidRPr="009E1CFF">
        <w:rPr>
          <w:i/>
          <w:noProof/>
        </w:rPr>
        <w:t>Pacific Rim Property Research Journal</w:t>
      </w:r>
      <w:r w:rsidRPr="009E1CFF">
        <w:rPr>
          <w:noProof/>
        </w:rPr>
        <w:t>, vol. 16, no. 3, pp. 339-357.</w:t>
      </w:r>
    </w:p>
    <w:p w14:paraId="2232D42F" w14:textId="265303D3" w:rsidR="009E1CFF" w:rsidRPr="009E1CFF" w:rsidRDefault="009E1CFF" w:rsidP="009E1CFF">
      <w:pPr>
        <w:pStyle w:val="ReferenceList"/>
        <w:rPr>
          <w:noProof/>
        </w:rPr>
      </w:pPr>
      <w:r w:rsidRPr="009E1CFF">
        <w:rPr>
          <w:noProof/>
        </w:rPr>
        <w:t xml:space="preserve">Newell, G 2013, 'REITs in Australia: Moving forward from the GFC', in R Sotelo &amp; S McGreal (eds), </w:t>
      </w:r>
      <w:r w:rsidRPr="009E1CFF">
        <w:rPr>
          <w:i/>
          <w:noProof/>
        </w:rPr>
        <w:t>Real Estate Investment Trusts in Europe: Evolution, Regulation, and Opportunities for Growth</w:t>
      </w:r>
      <w:r w:rsidRPr="009E1CFF">
        <w:rPr>
          <w:noProof/>
        </w:rPr>
        <w:t>, Springer Berlin Heidelberg, Berlin, Heidelberg, &lt;</w:t>
      </w:r>
      <w:hyperlink r:id="rId15" w:history="1">
        <w:r w:rsidRPr="009E1CFF">
          <w:rPr>
            <w:rStyle w:val="Hyperlink"/>
            <w:noProof/>
          </w:rPr>
          <w:t>https://doi.org/10.1007/978-3-642-36856-1_6</w:t>
        </w:r>
      </w:hyperlink>
      <w:r w:rsidRPr="009E1CFF">
        <w:rPr>
          <w:noProof/>
        </w:rPr>
        <w:t>&gt;, pp. 69-76.</w:t>
      </w:r>
    </w:p>
    <w:p w14:paraId="51798299" w14:textId="3B7F0508" w:rsidR="009E1CFF" w:rsidRPr="009E1CFF" w:rsidRDefault="009E1CFF" w:rsidP="009E1CFF">
      <w:pPr>
        <w:pStyle w:val="ReferenceList"/>
        <w:rPr>
          <w:noProof/>
        </w:rPr>
      </w:pPr>
      <w:r w:rsidRPr="009E1CFF">
        <w:rPr>
          <w:noProof/>
        </w:rPr>
        <w:lastRenderedPageBreak/>
        <w:t xml:space="preserve">Newell, G &amp; Lee, CL 2012, 'Influence of the corporate social responsibility factors and financial factors on REIT performance in Australia', </w:t>
      </w:r>
      <w:r w:rsidRPr="009E1CFF">
        <w:rPr>
          <w:i/>
          <w:noProof/>
        </w:rPr>
        <w:t>Journal of Property Investment &amp; Finance</w:t>
      </w:r>
      <w:r w:rsidRPr="009E1CFF">
        <w:rPr>
          <w:noProof/>
        </w:rPr>
        <w:t>.</w:t>
      </w:r>
    </w:p>
    <w:p w14:paraId="55E8A133" w14:textId="07C74BE5" w:rsidR="009E1CFF" w:rsidRPr="009E1CFF" w:rsidRDefault="009E1CFF" w:rsidP="009E1CFF">
      <w:pPr>
        <w:pStyle w:val="ReferenceList"/>
        <w:rPr>
          <w:noProof/>
        </w:rPr>
      </w:pPr>
      <w:r w:rsidRPr="009E1CFF">
        <w:rPr>
          <w:noProof/>
        </w:rPr>
        <w:t xml:space="preserve">Pang, B &amp; Lee, L 2008, 'Opinion Mining and Sentiment Analysis', </w:t>
      </w:r>
      <w:r w:rsidRPr="009E1CFF">
        <w:rPr>
          <w:i/>
          <w:noProof/>
        </w:rPr>
        <w:t>Found. Trends Inf. Retr.</w:t>
      </w:r>
      <w:r w:rsidRPr="009E1CFF">
        <w:rPr>
          <w:noProof/>
        </w:rPr>
        <w:t>, vol. 2, no. 1–2, pp. 1–135.</w:t>
      </w:r>
    </w:p>
    <w:p w14:paraId="2AB3B1EE" w14:textId="4F75C49C" w:rsidR="009E1CFF" w:rsidRPr="009E1CFF" w:rsidRDefault="009E1CFF" w:rsidP="009E1CFF">
      <w:pPr>
        <w:pStyle w:val="ReferenceList"/>
        <w:rPr>
          <w:noProof/>
        </w:rPr>
      </w:pPr>
      <w:r w:rsidRPr="009E1CFF">
        <w:rPr>
          <w:noProof/>
        </w:rPr>
        <w:t xml:space="preserve">Parker, D 2014, 'Property investment decision making by Australian REITs', </w:t>
      </w:r>
      <w:r w:rsidRPr="009E1CFF">
        <w:rPr>
          <w:i/>
          <w:noProof/>
        </w:rPr>
        <w:t>Journal of Property Investment &amp; Finance</w:t>
      </w:r>
      <w:r w:rsidRPr="009E1CFF">
        <w:rPr>
          <w:noProof/>
        </w:rPr>
        <w:t>.</w:t>
      </w:r>
    </w:p>
    <w:p w14:paraId="7EC2CFF7" w14:textId="01D97D2A" w:rsidR="009E1CFF" w:rsidRPr="009E1CFF" w:rsidRDefault="009E1CFF" w:rsidP="009E1CFF">
      <w:pPr>
        <w:pStyle w:val="ReferenceList"/>
        <w:rPr>
          <w:noProof/>
        </w:rPr>
      </w:pPr>
      <w:r w:rsidRPr="009E1CFF">
        <w:rPr>
          <w:noProof/>
        </w:rPr>
        <w:t xml:space="preserve">PCA 2017, </w:t>
      </w:r>
      <w:r w:rsidRPr="009E1CFF">
        <w:rPr>
          <w:i/>
          <w:noProof/>
        </w:rPr>
        <w:t>Stapled Structures Consultation Paper</w:t>
      </w:r>
      <w:r w:rsidRPr="009E1CFF">
        <w:rPr>
          <w:noProof/>
        </w:rPr>
        <w:t>, Property Council of Australia, &lt;</w:t>
      </w:r>
      <w:hyperlink r:id="rId16" w:history="1">
        <w:r w:rsidRPr="009E1CFF">
          <w:rPr>
            <w:rStyle w:val="Hyperlink"/>
            <w:noProof/>
          </w:rPr>
          <w:t>https://treasury.gov.au/sites/default/files/2019-03/c2017-t240634-Property-Council.pdf</w:t>
        </w:r>
      </w:hyperlink>
      <w:r w:rsidRPr="009E1CFF">
        <w:rPr>
          <w:noProof/>
        </w:rPr>
        <w:t>&gt;.</w:t>
      </w:r>
    </w:p>
    <w:p w14:paraId="225F16C1" w14:textId="6A56AA37" w:rsidR="009E1CFF" w:rsidRPr="009E1CFF" w:rsidRDefault="009E1CFF" w:rsidP="009E1CFF">
      <w:pPr>
        <w:pStyle w:val="ReferenceList"/>
        <w:rPr>
          <w:noProof/>
        </w:rPr>
      </w:pPr>
      <w:r w:rsidRPr="009E1CFF">
        <w:rPr>
          <w:noProof/>
        </w:rPr>
        <w:t xml:space="preserve">PWC 2019, </w:t>
      </w:r>
      <w:r w:rsidRPr="009E1CFF">
        <w:rPr>
          <w:i/>
          <w:noProof/>
        </w:rPr>
        <w:t>Worldwide Real Estate Investment Trust (REIT) Regimes</w:t>
      </w:r>
      <w:r w:rsidRPr="009E1CFF">
        <w:rPr>
          <w:noProof/>
        </w:rPr>
        <w:t>, Compare and contrast.</w:t>
      </w:r>
    </w:p>
    <w:p w14:paraId="1AB4C797" w14:textId="19CCE25D" w:rsidR="009E1CFF" w:rsidRPr="009E1CFF" w:rsidRDefault="009E1CFF" w:rsidP="009E1CFF">
      <w:pPr>
        <w:pStyle w:val="ReferenceList"/>
        <w:rPr>
          <w:noProof/>
        </w:rPr>
      </w:pPr>
      <w:r w:rsidRPr="009E1CFF">
        <w:rPr>
          <w:noProof/>
        </w:rPr>
        <w:t xml:space="preserve">Ramiah, V, Xu, X &amp; Moosa, IA 2015, 'Neoclassical finance, behavioral finance and noise traders: A review and assessment of the literature', </w:t>
      </w:r>
      <w:r w:rsidRPr="009E1CFF">
        <w:rPr>
          <w:i/>
          <w:noProof/>
        </w:rPr>
        <w:t>International Review of Financial Analysis</w:t>
      </w:r>
      <w:r w:rsidRPr="009E1CFF">
        <w:rPr>
          <w:noProof/>
        </w:rPr>
        <w:t>, vol. 41, pp. 89-100.</w:t>
      </w:r>
    </w:p>
    <w:p w14:paraId="39236DA5" w14:textId="6414DBAE" w:rsidR="009E1CFF" w:rsidRPr="009E1CFF" w:rsidRDefault="009E1CFF" w:rsidP="009E1CFF">
      <w:pPr>
        <w:pStyle w:val="ReferenceList"/>
        <w:rPr>
          <w:noProof/>
        </w:rPr>
      </w:pPr>
      <w:r w:rsidRPr="009E1CFF">
        <w:rPr>
          <w:noProof/>
        </w:rPr>
        <w:t xml:space="preserve">Reddy, W &amp; Wong, W-W 2018, 'Australian interest rate movements and A-REITs performance: an analysis by industry sector', </w:t>
      </w:r>
      <w:r w:rsidRPr="009E1CFF">
        <w:rPr>
          <w:i/>
          <w:noProof/>
        </w:rPr>
        <w:t>Pacific Rim Property Research Journal</w:t>
      </w:r>
      <w:r w:rsidRPr="009E1CFF">
        <w:rPr>
          <w:noProof/>
        </w:rPr>
        <w:t>, vol. 24, no. 1, pp. 85-103.</w:t>
      </w:r>
    </w:p>
    <w:p w14:paraId="54DC1DC9" w14:textId="0F3C9082" w:rsidR="009E1CFF" w:rsidRPr="009E1CFF" w:rsidRDefault="009E1CFF" w:rsidP="009E1CFF">
      <w:pPr>
        <w:pStyle w:val="ReferenceList"/>
        <w:rPr>
          <w:noProof/>
        </w:rPr>
      </w:pPr>
      <w:r w:rsidRPr="009E1CFF">
        <w:rPr>
          <w:noProof/>
        </w:rPr>
        <w:t xml:space="preserve">Rowland, PJ 2010, </w:t>
      </w:r>
      <w:r w:rsidRPr="009E1CFF">
        <w:rPr>
          <w:i/>
          <w:noProof/>
        </w:rPr>
        <w:t>Australian property investment and financing</w:t>
      </w:r>
      <w:r w:rsidRPr="009E1CFF">
        <w:rPr>
          <w:noProof/>
        </w:rPr>
        <w:t>, Thomson Reuters (Professional) Australia.</w:t>
      </w:r>
    </w:p>
    <w:p w14:paraId="709A5DAB" w14:textId="21808D17" w:rsidR="009E1CFF" w:rsidRPr="009E1CFF" w:rsidRDefault="009E1CFF" w:rsidP="009E1CFF">
      <w:pPr>
        <w:pStyle w:val="ReferenceList"/>
        <w:rPr>
          <w:noProof/>
        </w:rPr>
      </w:pPr>
      <w:r w:rsidRPr="009E1CFF">
        <w:rPr>
          <w:noProof/>
        </w:rPr>
        <w:t xml:space="preserve">SCG 2023a, </w:t>
      </w:r>
      <w:r w:rsidRPr="009E1CFF">
        <w:rPr>
          <w:i/>
          <w:noProof/>
        </w:rPr>
        <w:t>About Us - History</w:t>
      </w:r>
      <w:r w:rsidRPr="009E1CFF">
        <w:rPr>
          <w:noProof/>
        </w:rPr>
        <w:t>, Scentre Group, &lt;</w:t>
      </w:r>
      <w:hyperlink r:id="rId17" w:history="1">
        <w:r w:rsidRPr="009E1CFF">
          <w:rPr>
            <w:rStyle w:val="Hyperlink"/>
            <w:noProof/>
          </w:rPr>
          <w:t>https://www.scentregroup.com/about-us/history</w:t>
        </w:r>
      </w:hyperlink>
      <w:r w:rsidRPr="009E1CFF">
        <w:rPr>
          <w:noProof/>
        </w:rPr>
        <w:t>&gt;.</w:t>
      </w:r>
    </w:p>
    <w:p w14:paraId="349724C2" w14:textId="5BB1783B" w:rsidR="009E1CFF" w:rsidRPr="009E1CFF" w:rsidRDefault="009E1CFF" w:rsidP="009E1CFF">
      <w:pPr>
        <w:pStyle w:val="ReferenceList"/>
        <w:rPr>
          <w:noProof/>
        </w:rPr>
      </w:pPr>
      <w:r w:rsidRPr="009E1CFF">
        <w:rPr>
          <w:noProof/>
        </w:rPr>
        <w:t xml:space="preserve">SCG 2023b, </w:t>
      </w:r>
      <w:r w:rsidRPr="009E1CFF">
        <w:rPr>
          <w:i/>
          <w:noProof/>
        </w:rPr>
        <w:t>Scentre Group Annual Financial Report 2022</w:t>
      </w:r>
      <w:r w:rsidRPr="009E1CFF">
        <w:rPr>
          <w:noProof/>
        </w:rPr>
        <w:t>.</w:t>
      </w:r>
    </w:p>
    <w:p w14:paraId="658868E2" w14:textId="425E5736" w:rsidR="009E1CFF" w:rsidRPr="009E1CFF" w:rsidRDefault="009E1CFF" w:rsidP="009E1CFF">
      <w:pPr>
        <w:pStyle w:val="ReferenceList"/>
        <w:rPr>
          <w:noProof/>
        </w:rPr>
      </w:pPr>
      <w:r w:rsidRPr="009E1CFF">
        <w:rPr>
          <w:noProof/>
        </w:rPr>
        <w:t xml:space="preserve">Sent, E-M 2018, 'Rationality and bounded rationality: You can’t have one without the other', </w:t>
      </w:r>
      <w:r w:rsidRPr="009E1CFF">
        <w:rPr>
          <w:i/>
          <w:noProof/>
        </w:rPr>
        <w:t>The European Journal of the History of Economic Thought</w:t>
      </w:r>
      <w:r w:rsidRPr="009E1CFF">
        <w:rPr>
          <w:noProof/>
        </w:rPr>
        <w:t>, vol. 25, no. 6, pp. 1370-1386.</w:t>
      </w:r>
    </w:p>
    <w:p w14:paraId="36C03D67" w14:textId="38447C0C" w:rsidR="009E1CFF" w:rsidRPr="009E1CFF" w:rsidRDefault="009E1CFF" w:rsidP="009E1CFF">
      <w:pPr>
        <w:pStyle w:val="ReferenceList"/>
        <w:rPr>
          <w:noProof/>
        </w:rPr>
      </w:pPr>
      <w:r w:rsidRPr="009E1CFF">
        <w:rPr>
          <w:noProof/>
        </w:rPr>
        <w:t xml:space="preserve">Shefrin, H &amp; Statman, M 2000, 'Behavioral portfolio theory', </w:t>
      </w:r>
      <w:r w:rsidRPr="009E1CFF">
        <w:rPr>
          <w:i/>
          <w:noProof/>
        </w:rPr>
        <w:t>Journal of Financial and Quantitative Analysis</w:t>
      </w:r>
      <w:r w:rsidRPr="009E1CFF">
        <w:rPr>
          <w:noProof/>
        </w:rPr>
        <w:t>, vol. 35, no. 2, pp. 127-151.</w:t>
      </w:r>
    </w:p>
    <w:p w14:paraId="038265A8" w14:textId="3657B280" w:rsidR="009E1CFF" w:rsidRPr="009E1CFF" w:rsidRDefault="009E1CFF" w:rsidP="009E1CFF">
      <w:pPr>
        <w:pStyle w:val="ReferenceList"/>
        <w:rPr>
          <w:noProof/>
        </w:rPr>
      </w:pPr>
      <w:r w:rsidRPr="009E1CFF">
        <w:rPr>
          <w:noProof/>
        </w:rPr>
        <w:t xml:space="preserve">Shiller, RJ 2003, 'From efficient markets theory to behavioral finance', </w:t>
      </w:r>
      <w:r w:rsidRPr="009E1CFF">
        <w:rPr>
          <w:i/>
          <w:noProof/>
        </w:rPr>
        <w:t>Journal of Economic Perspectives</w:t>
      </w:r>
      <w:r w:rsidRPr="009E1CFF">
        <w:rPr>
          <w:noProof/>
        </w:rPr>
        <w:t>, vol. 17, no. 1, pp. 83-104.</w:t>
      </w:r>
    </w:p>
    <w:p w14:paraId="76D4031D" w14:textId="5D679FAE" w:rsidR="009E1CFF" w:rsidRPr="009E1CFF" w:rsidRDefault="009E1CFF" w:rsidP="009E1CFF">
      <w:pPr>
        <w:pStyle w:val="ReferenceList"/>
        <w:rPr>
          <w:noProof/>
        </w:rPr>
      </w:pPr>
      <w:r w:rsidRPr="009E1CFF">
        <w:rPr>
          <w:noProof/>
        </w:rPr>
        <w:t xml:space="preserve">Simontacchi, S &amp; Stoschek, U 2010, </w:t>
      </w:r>
      <w:r w:rsidRPr="009E1CFF">
        <w:rPr>
          <w:i/>
          <w:noProof/>
        </w:rPr>
        <w:t>Guide to global real estate investment trusts</w:t>
      </w:r>
      <w:r w:rsidRPr="009E1CFF">
        <w:rPr>
          <w:noProof/>
        </w:rPr>
        <w:t>, Wolters Kluwer, Law &amp; Business ; Distributed by Turpin Distribution Services, Austin, Tex. : Biggleswade.</w:t>
      </w:r>
    </w:p>
    <w:p w14:paraId="22528DFE" w14:textId="6B65C57A" w:rsidR="009E1CFF" w:rsidRPr="009E1CFF" w:rsidRDefault="009E1CFF" w:rsidP="009E1CFF">
      <w:pPr>
        <w:pStyle w:val="ReferenceList"/>
        <w:rPr>
          <w:noProof/>
        </w:rPr>
      </w:pPr>
      <w:r w:rsidRPr="009E1CFF">
        <w:rPr>
          <w:noProof/>
        </w:rPr>
        <w:t xml:space="preserve">Singer, E 2002, 'The use of incentives to reduce nonresponse in household surveys', </w:t>
      </w:r>
      <w:r w:rsidRPr="009E1CFF">
        <w:rPr>
          <w:i/>
          <w:noProof/>
        </w:rPr>
        <w:t>Survey nonresponse</w:t>
      </w:r>
      <w:r w:rsidRPr="009E1CFF">
        <w:rPr>
          <w:noProof/>
        </w:rPr>
        <w:t>, vol. 51, no. 1, pp. 163-177.</w:t>
      </w:r>
    </w:p>
    <w:p w14:paraId="3D7E5970" w14:textId="3A55CF68" w:rsidR="009E1CFF" w:rsidRPr="009E1CFF" w:rsidRDefault="009E1CFF" w:rsidP="009E1CFF">
      <w:pPr>
        <w:pStyle w:val="ReferenceList"/>
        <w:rPr>
          <w:noProof/>
        </w:rPr>
      </w:pPr>
      <w:r w:rsidRPr="009E1CFF">
        <w:rPr>
          <w:noProof/>
        </w:rPr>
        <w:t xml:space="preserve">Statman, M 2014, 'Behavioral finance: Finance with normal people', </w:t>
      </w:r>
      <w:r w:rsidRPr="009E1CFF">
        <w:rPr>
          <w:i/>
          <w:noProof/>
        </w:rPr>
        <w:t>Borsa Istanbul Review</w:t>
      </w:r>
      <w:r w:rsidRPr="009E1CFF">
        <w:rPr>
          <w:noProof/>
        </w:rPr>
        <w:t>, vol. 14, no. 2, pp. 65-73.</w:t>
      </w:r>
    </w:p>
    <w:p w14:paraId="1C3CFB78" w14:textId="0902ACD0" w:rsidR="009E1CFF" w:rsidRPr="009E1CFF" w:rsidRDefault="009E1CFF" w:rsidP="009E1CFF">
      <w:pPr>
        <w:pStyle w:val="ReferenceList"/>
        <w:rPr>
          <w:noProof/>
        </w:rPr>
      </w:pPr>
      <w:r w:rsidRPr="009E1CFF">
        <w:rPr>
          <w:noProof/>
        </w:rPr>
        <w:t xml:space="preserve">Stephen, L &amp; Simon, S 2005, 'The case for REITs in the mixed-asset portfolio in the short and long run', </w:t>
      </w:r>
      <w:r w:rsidRPr="009E1CFF">
        <w:rPr>
          <w:i/>
          <w:noProof/>
        </w:rPr>
        <w:t>Journal of Real Estate Portfolio Management</w:t>
      </w:r>
      <w:r w:rsidRPr="009E1CFF">
        <w:rPr>
          <w:noProof/>
        </w:rPr>
        <w:t>, vol. 11, no. 1, pp. 55-80.</w:t>
      </w:r>
    </w:p>
    <w:p w14:paraId="0146381B" w14:textId="46AC6DD8" w:rsidR="009E1CFF" w:rsidRPr="009E1CFF" w:rsidRDefault="009E1CFF" w:rsidP="009E1CFF">
      <w:pPr>
        <w:pStyle w:val="ReferenceList"/>
        <w:rPr>
          <w:noProof/>
        </w:rPr>
      </w:pPr>
      <w:r w:rsidRPr="009E1CFF">
        <w:rPr>
          <w:noProof/>
        </w:rPr>
        <w:t xml:space="preserve">Stevenson, S &amp; Dimovski, B 2014, 'The long-term performance of Australian REIT IPOs', </w:t>
      </w:r>
      <w:r w:rsidRPr="009E1CFF">
        <w:rPr>
          <w:i/>
          <w:noProof/>
        </w:rPr>
        <w:t>Journal of Real Estate Literature</w:t>
      </w:r>
      <w:r w:rsidRPr="009E1CFF">
        <w:rPr>
          <w:noProof/>
        </w:rPr>
        <w:t>, vol. 20, no. 3, pp. 151-165.</w:t>
      </w:r>
    </w:p>
    <w:p w14:paraId="509BA356" w14:textId="5FFEDFD8" w:rsidR="009E1CFF" w:rsidRPr="009E1CFF" w:rsidRDefault="009E1CFF" w:rsidP="009E1CFF">
      <w:pPr>
        <w:pStyle w:val="ReferenceList"/>
        <w:rPr>
          <w:noProof/>
        </w:rPr>
      </w:pPr>
      <w:r w:rsidRPr="009E1CFF">
        <w:rPr>
          <w:noProof/>
        </w:rPr>
        <w:t xml:space="preserve">VCG 2023, </w:t>
      </w:r>
      <w:r w:rsidRPr="009E1CFF">
        <w:rPr>
          <w:i/>
          <w:noProof/>
        </w:rPr>
        <w:t>About Us - Our Story</w:t>
      </w:r>
      <w:r w:rsidRPr="009E1CFF">
        <w:rPr>
          <w:noProof/>
        </w:rPr>
        <w:t>, &lt;</w:t>
      </w:r>
      <w:hyperlink r:id="rId18" w:history="1">
        <w:r w:rsidRPr="009E1CFF">
          <w:rPr>
            <w:rStyle w:val="Hyperlink"/>
            <w:noProof/>
          </w:rPr>
          <w:t>https://www.vicinity.com.au/about-us/who-we-are</w:t>
        </w:r>
      </w:hyperlink>
      <w:r w:rsidRPr="009E1CFF">
        <w:rPr>
          <w:noProof/>
        </w:rPr>
        <w:t>&gt;.</w:t>
      </w:r>
    </w:p>
    <w:p w14:paraId="5740D5FC" w14:textId="4FDE3C48" w:rsidR="009E1CFF" w:rsidRPr="009E1CFF" w:rsidRDefault="009E1CFF" w:rsidP="009E1CFF">
      <w:pPr>
        <w:pStyle w:val="ReferenceList"/>
        <w:rPr>
          <w:noProof/>
        </w:rPr>
      </w:pPr>
      <w:r w:rsidRPr="009E1CFF">
        <w:rPr>
          <w:noProof/>
        </w:rPr>
        <w:t xml:space="preserve">Wang, JC &amp; Berger-Thomson, L 2015, </w:t>
      </w:r>
      <w:r w:rsidRPr="009E1CFF">
        <w:rPr>
          <w:i/>
          <w:noProof/>
        </w:rPr>
        <w:t>Bulletin | Consumer Sentiment Survey</w:t>
      </w:r>
      <w:r w:rsidRPr="009E1CFF">
        <w:rPr>
          <w:noProof/>
        </w:rPr>
        <w:t>.</w:t>
      </w:r>
    </w:p>
    <w:p w14:paraId="3525525B" w14:textId="1BBB75B1" w:rsidR="009E1CFF" w:rsidRPr="009E1CFF" w:rsidRDefault="009E1CFF" w:rsidP="009E1CFF">
      <w:pPr>
        <w:pStyle w:val="ReferenceList"/>
        <w:rPr>
          <w:noProof/>
        </w:rPr>
      </w:pPr>
      <w:r w:rsidRPr="009E1CFF">
        <w:rPr>
          <w:noProof/>
        </w:rPr>
        <w:t xml:space="preserve">Westermann, S, Niblock, S &amp; Kortt, M 2018, 'Corporate social responsibility and the performance of Australian REITs: A rolling regression approach', </w:t>
      </w:r>
      <w:r w:rsidRPr="009E1CFF">
        <w:rPr>
          <w:i/>
          <w:noProof/>
        </w:rPr>
        <w:t>Journal of Asset Management</w:t>
      </w:r>
      <w:r w:rsidRPr="009E1CFF">
        <w:rPr>
          <w:noProof/>
        </w:rPr>
        <w:t>, vol. 19, pp. 222-234.</w:t>
      </w:r>
    </w:p>
    <w:p w14:paraId="37A24C0E" w14:textId="019ED17C" w:rsidR="009E1CFF" w:rsidRPr="009E1CFF" w:rsidRDefault="009E1CFF" w:rsidP="009E1CFF">
      <w:pPr>
        <w:pStyle w:val="ReferenceList"/>
        <w:rPr>
          <w:noProof/>
        </w:rPr>
      </w:pPr>
      <w:r w:rsidRPr="009E1CFF">
        <w:rPr>
          <w:noProof/>
        </w:rPr>
        <w:t xml:space="preserve">Westermann, S, Niblock, SJ &amp; Kortt, MA 2022, 'Does it pay to be responsible? Evidence on corporate social responsibility and the investment performance of Australian REITs', </w:t>
      </w:r>
      <w:r w:rsidRPr="009E1CFF">
        <w:rPr>
          <w:i/>
          <w:noProof/>
        </w:rPr>
        <w:t>Asia-Pacific Journal of Accounting &amp; Economics</w:t>
      </w:r>
      <w:r w:rsidRPr="009E1CFF">
        <w:rPr>
          <w:noProof/>
        </w:rPr>
        <w:t>, vol. 29, no. 4, pp. 1102-1119.</w:t>
      </w:r>
    </w:p>
    <w:p w14:paraId="1730BD69" w14:textId="44D72EC7" w:rsidR="009E1CFF" w:rsidRPr="009E1CFF" w:rsidRDefault="009E1CFF" w:rsidP="009E1CFF">
      <w:pPr>
        <w:pStyle w:val="ReferenceList"/>
        <w:rPr>
          <w:noProof/>
        </w:rPr>
      </w:pPr>
      <w:r w:rsidRPr="009E1CFF">
        <w:rPr>
          <w:noProof/>
        </w:rPr>
        <w:t xml:space="preserve">Wong, WW &amp; Reddy, W 2018, 'Evaluation of Australian REIT performance and the impact of interest rates and leverage', </w:t>
      </w:r>
      <w:r w:rsidRPr="009E1CFF">
        <w:rPr>
          <w:i/>
          <w:noProof/>
        </w:rPr>
        <w:t>International Real Estate Review</w:t>
      </w:r>
      <w:r w:rsidRPr="009E1CFF">
        <w:rPr>
          <w:noProof/>
        </w:rPr>
        <w:t>, vol. 21, no. 1, pp. 41-70.</w:t>
      </w:r>
    </w:p>
    <w:p w14:paraId="48A6147B" w14:textId="0E2A72FF" w:rsidR="009E1CFF" w:rsidRPr="009E1CFF" w:rsidRDefault="009E1CFF" w:rsidP="009E1CFF">
      <w:pPr>
        <w:pStyle w:val="ReferenceList"/>
        <w:rPr>
          <w:noProof/>
        </w:rPr>
      </w:pPr>
      <w:r w:rsidRPr="009E1CFF">
        <w:rPr>
          <w:noProof/>
        </w:rPr>
        <w:lastRenderedPageBreak/>
        <w:t xml:space="preserve">Yalçın, KC 2010, 'Market rationality: Efficient market hypothesis versus market anomalies', </w:t>
      </w:r>
      <w:r w:rsidRPr="009E1CFF">
        <w:rPr>
          <w:i/>
          <w:noProof/>
        </w:rPr>
        <w:t>European Journal of Economic and Political Studies</w:t>
      </w:r>
      <w:r w:rsidRPr="009E1CFF">
        <w:rPr>
          <w:noProof/>
        </w:rPr>
        <w:t>, vol. 3, no. 2, pp. 23-38.</w:t>
      </w:r>
    </w:p>
    <w:p w14:paraId="0B17B320" w14:textId="0D8A5264" w:rsidR="009E1CFF" w:rsidRPr="009E1CFF" w:rsidRDefault="009E1CFF" w:rsidP="009E1CFF">
      <w:pPr>
        <w:pStyle w:val="ReferenceList"/>
        <w:rPr>
          <w:noProof/>
        </w:rPr>
      </w:pPr>
      <w:r w:rsidRPr="009E1CFF">
        <w:rPr>
          <w:noProof/>
        </w:rPr>
        <w:t xml:space="preserve">Yong, J &amp; Singh, A 2015, 'Interest rate risk of Australian REITS: A panel analysis', </w:t>
      </w:r>
      <w:r w:rsidRPr="009E1CFF">
        <w:rPr>
          <w:i/>
          <w:noProof/>
        </w:rPr>
        <w:t>Pacific Rim Property Research Journal</w:t>
      </w:r>
      <w:r w:rsidRPr="009E1CFF">
        <w:rPr>
          <w:noProof/>
        </w:rPr>
        <w:t>, vol. 21, no. 1, pp. 77-88.</w:t>
      </w:r>
    </w:p>
    <w:p w14:paraId="6EC2C9C5" w14:textId="0E87912F" w:rsidR="009E1CFF" w:rsidRPr="009E1CFF" w:rsidRDefault="009E1CFF" w:rsidP="009E1CFF">
      <w:pPr>
        <w:pStyle w:val="ReferenceList"/>
        <w:rPr>
          <w:noProof/>
          <w:lang w:eastAsia="zh-CN"/>
        </w:rPr>
      </w:pPr>
      <w:r w:rsidRPr="009E1CFF">
        <w:rPr>
          <w:noProof/>
        </w:rPr>
        <w:t xml:space="preserve">Zarebski, P &amp; Dimovski, B 2012, 'Determinants of capital structure of A-REITS and the global financial crisis', </w:t>
      </w:r>
      <w:r w:rsidRPr="009E1CFF">
        <w:rPr>
          <w:i/>
          <w:noProof/>
        </w:rPr>
        <w:t>Pacific Rim Property Research Journal</w:t>
      </w:r>
      <w:r w:rsidRPr="009E1CFF">
        <w:rPr>
          <w:noProof/>
        </w:rPr>
        <w:t>, vol. 18, no. 1, pp. 3-19.</w:t>
      </w:r>
    </w:p>
    <w:p w14:paraId="22D87605" w14:textId="59A38BD0" w:rsidR="009E1CFF" w:rsidRPr="009E1CFF" w:rsidRDefault="009E1CFF" w:rsidP="009E1CFF">
      <w:pPr>
        <w:pStyle w:val="ReferenceList"/>
        <w:rPr>
          <w:noProof/>
        </w:rPr>
      </w:pPr>
      <w:r w:rsidRPr="009E1CFF">
        <w:rPr>
          <w:noProof/>
        </w:rPr>
        <w:t xml:space="preserve">Zhou, G 2018, 'Measuring investor sentiment', </w:t>
      </w:r>
      <w:r w:rsidRPr="009E1CFF">
        <w:rPr>
          <w:i/>
          <w:noProof/>
        </w:rPr>
        <w:t>Annual Review of Financial Economics</w:t>
      </w:r>
      <w:r w:rsidRPr="009E1CFF">
        <w:rPr>
          <w:noProof/>
        </w:rPr>
        <w:t>, vol. 10, pp. 239-259.</w:t>
      </w:r>
    </w:p>
    <w:p w14:paraId="70B94E57" w14:textId="64C98AA3" w:rsidR="00667D6E" w:rsidRDefault="00D3639B" w:rsidP="009E1CFF">
      <w:pPr>
        <w:pStyle w:val="ReferenceList"/>
        <w:rPr>
          <w:lang w:eastAsia="zh-CN"/>
        </w:rPr>
      </w:pPr>
      <w:r w:rsidRPr="00521453">
        <w:rPr>
          <w:szCs w:val="20"/>
        </w:rPr>
        <w:fldChar w:fldCharType="end"/>
      </w:r>
    </w:p>
    <w:sectPr w:rsidR="00667D6E" w:rsidSect="00091A1D">
      <w:footerReference w:type="default" r:id="rId19"/>
      <w:headerReference w:type="first" r:id="rId20"/>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AB10" w14:textId="77777777" w:rsidR="006D53CD" w:rsidRDefault="006D53CD" w:rsidP="008E12A6">
      <w:pPr>
        <w:spacing w:before="0" w:after="0"/>
      </w:pPr>
      <w:r>
        <w:separator/>
      </w:r>
    </w:p>
    <w:p w14:paraId="10A17AFA" w14:textId="77777777" w:rsidR="006D53CD" w:rsidRDefault="006D53CD"/>
  </w:endnote>
  <w:endnote w:type="continuationSeparator" w:id="0">
    <w:p w14:paraId="3CFA83AB" w14:textId="77777777" w:rsidR="006D53CD" w:rsidRDefault="006D53CD" w:rsidP="008E12A6">
      <w:pPr>
        <w:spacing w:before="0" w:after="0"/>
      </w:pPr>
      <w:r>
        <w:continuationSeparator/>
      </w:r>
    </w:p>
    <w:p w14:paraId="7199F981" w14:textId="77777777" w:rsidR="006D53CD" w:rsidRDefault="006D53CD"/>
  </w:endnote>
  <w:endnote w:type="continuationNotice" w:id="1">
    <w:p w14:paraId="67C40451" w14:textId="77777777" w:rsidR="006D53CD" w:rsidRDefault="006D53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5970295C"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D91D2C">
      <w:t>Gold Coast</w:t>
    </w:r>
    <w:r>
      <w: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BE8B" w14:textId="77777777" w:rsidR="006D53CD" w:rsidRDefault="006D53CD" w:rsidP="008E12A6">
      <w:pPr>
        <w:spacing w:before="0" w:after="0"/>
      </w:pPr>
      <w:r>
        <w:separator/>
      </w:r>
    </w:p>
    <w:p w14:paraId="6C049683" w14:textId="77777777" w:rsidR="006D53CD" w:rsidRDefault="006D53CD"/>
  </w:footnote>
  <w:footnote w:type="continuationSeparator" w:id="0">
    <w:p w14:paraId="675B01E9" w14:textId="77777777" w:rsidR="006D53CD" w:rsidRDefault="006D53CD" w:rsidP="008E12A6">
      <w:pPr>
        <w:spacing w:before="0" w:after="0"/>
      </w:pPr>
      <w:r>
        <w:continuationSeparator/>
      </w:r>
    </w:p>
    <w:p w14:paraId="29654095" w14:textId="77777777" w:rsidR="006D53CD" w:rsidRDefault="006D53CD"/>
  </w:footnote>
  <w:footnote w:type="continuationNotice" w:id="1">
    <w:p w14:paraId="2B9E0BDC" w14:textId="77777777" w:rsidR="006D53CD" w:rsidRDefault="006D53CD">
      <w:pPr>
        <w:spacing w:before="0" w:after="0"/>
      </w:pPr>
    </w:p>
  </w:footnote>
  <w:footnote w:id="2">
    <w:p w14:paraId="3A3C70D0" w14:textId="77777777" w:rsidR="00182990" w:rsidRPr="004B2841" w:rsidRDefault="00182990" w:rsidP="004B2841">
      <w:pPr>
        <w:pStyle w:val="FootnoteText"/>
      </w:pPr>
      <w:r w:rsidRPr="004B2841">
        <w:rPr>
          <w:rStyle w:val="FootnoteReference"/>
          <w:vertAlign w:val="baseline"/>
        </w:rPr>
        <w:footnoteRef/>
      </w:r>
      <w:r w:rsidRPr="004B2841">
        <w:t xml:space="preserve"> An approach of solving problems by learning from past experience and practical ways.</w:t>
      </w:r>
    </w:p>
  </w:footnote>
  <w:footnote w:id="3">
    <w:p w14:paraId="3BC0B9F9" w14:textId="77777777" w:rsidR="00182990" w:rsidRPr="004B2841" w:rsidRDefault="00182990" w:rsidP="004B2841">
      <w:pPr>
        <w:pStyle w:val="FootnoteText"/>
      </w:pPr>
      <w:r w:rsidRPr="004B2841">
        <w:rPr>
          <w:rStyle w:val="FootnoteReference"/>
          <w:vertAlign w:val="baseline"/>
        </w:rPr>
        <w:footnoteRef/>
      </w:r>
      <w:r w:rsidRPr="004B2841">
        <w:t xml:space="preserve"> Bounded rationality refers to the idea that individuals have limited rationality in making decision, and under this limitation, a rational individual would choose the satisfactory decision rather than optimal one. </w:t>
      </w:r>
    </w:p>
  </w:footnote>
  <w:footnote w:id="4">
    <w:p w14:paraId="6BAB5A33" w14:textId="77777777" w:rsidR="00182990" w:rsidRPr="004B2841" w:rsidRDefault="00182990" w:rsidP="004B2841">
      <w:pPr>
        <w:pStyle w:val="FootnoteText"/>
      </w:pPr>
      <w:r w:rsidRPr="004B2841">
        <w:rPr>
          <w:rStyle w:val="FootnoteReference"/>
          <w:vertAlign w:val="baseline"/>
        </w:rPr>
        <w:footnoteRef/>
      </w:r>
      <w:r w:rsidRPr="004B2841">
        <w:t xml:space="preserve"> Value stocks have high book-to-market rations, while growth stocks have low book-to-market rations.</w:t>
      </w:r>
    </w:p>
  </w:footnote>
  <w:footnote w:id="5">
    <w:p w14:paraId="363487D9" w14:textId="07EFFCB9" w:rsidR="00DB07AF" w:rsidRPr="00BE54BA" w:rsidRDefault="00DB07AF" w:rsidP="00DB07AF">
      <w:pPr>
        <w:pStyle w:val="FootnoteText"/>
      </w:pPr>
      <w:r>
        <w:rPr>
          <w:rStyle w:val="FootnoteReference"/>
        </w:rPr>
        <w:footnoteRef/>
      </w:r>
      <w:r>
        <w:t xml:space="preserve"> The share of market capitalisation is calculated based on the market capitalisation of WFD ($18,370.31m) on the last trading day (30 May 2018) and the total market </w:t>
      </w:r>
      <w:r w:rsidRPr="00BE54BA">
        <w:t>capitalisation of the A-REIT market ($130.17bn) on that day.</w:t>
      </w:r>
    </w:p>
  </w:footnote>
  <w:footnote w:id="6">
    <w:p w14:paraId="696BF3B9" w14:textId="428D5949" w:rsidR="00DB07AF" w:rsidRDefault="00DB07AF" w:rsidP="00DB07AF">
      <w:pPr>
        <w:pStyle w:val="FootnoteText"/>
      </w:pPr>
      <w:r w:rsidRPr="00BE54BA">
        <w:rPr>
          <w:rStyle w:val="FootnoteReference"/>
        </w:rPr>
        <w:footnoteRef/>
      </w:r>
      <w:r w:rsidRPr="00BE54BA">
        <w:t xml:space="preserve"> The share of market capitalisation is calculated based on the market capitalisation of NVN ($7,508.40m) on the last trading day (29 May 2015) and the total market capitalisation of the A-REIT market ($121</w:t>
      </w:r>
      <w:r>
        <w:t>.20bn) on that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0D5"/>
    <w:multiLevelType w:val="hybridMultilevel"/>
    <w:tmpl w:val="88E2B196"/>
    <w:lvl w:ilvl="0" w:tplc="FE48DA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2EA3"/>
    <w:multiLevelType w:val="hybridMultilevel"/>
    <w:tmpl w:val="D1F2AEB6"/>
    <w:lvl w:ilvl="0" w:tplc="36DC2814">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42242"/>
    <w:multiLevelType w:val="hybridMultilevel"/>
    <w:tmpl w:val="3CF632AC"/>
    <w:lvl w:ilvl="0" w:tplc="97B0DE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299864">
    <w:abstractNumId w:val="2"/>
  </w:num>
  <w:num w:numId="2" w16cid:durableId="313992000">
    <w:abstractNumId w:val="1"/>
  </w:num>
  <w:num w:numId="3" w16cid:durableId="1590890311">
    <w:abstractNumId w:val="3"/>
  </w:num>
  <w:num w:numId="4" w16cid:durableId="191839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_RMIT_EndNo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xrw0ppjrxazme9sdavssd69wf90saf5s09&quot;&gt;My EndNote Library-1&lt;record-ids&gt;&lt;item&gt;1&lt;/item&gt;&lt;item&gt;2&lt;/item&gt;&lt;item&gt;9&lt;/item&gt;&lt;item&gt;11&lt;/item&gt;&lt;item&gt;12&lt;/item&gt;&lt;item&gt;23&lt;/item&gt;&lt;item&gt;27&lt;/item&gt;&lt;item&gt;29&lt;/item&gt;&lt;item&gt;32&lt;/item&gt;&lt;item&gt;44&lt;/item&gt;&lt;item&gt;56&lt;/item&gt;&lt;item&gt;60&lt;/item&gt;&lt;item&gt;97&lt;/item&gt;&lt;item&gt;100&lt;/item&gt;&lt;item&gt;103&lt;/item&gt;&lt;item&gt;150&lt;/item&gt;&lt;item&gt;152&lt;/item&gt;&lt;item&gt;186&lt;/item&gt;&lt;item&gt;196&lt;/item&gt;&lt;item&gt;199&lt;/item&gt;&lt;item&gt;200&lt;/item&gt;&lt;item&gt;201&lt;/item&gt;&lt;item&gt;203&lt;/item&gt;&lt;item&gt;205&lt;/item&gt;&lt;item&gt;206&lt;/item&gt;&lt;item&gt;209&lt;/item&gt;&lt;item&gt;234&lt;/item&gt;&lt;item&gt;236&lt;/item&gt;&lt;item&gt;237&lt;/item&gt;&lt;item&gt;253&lt;/item&gt;&lt;item&gt;254&lt;/item&gt;&lt;item&gt;255&lt;/item&gt;&lt;item&gt;258&lt;/item&gt;&lt;item&gt;269&lt;/item&gt;&lt;item&gt;279&lt;/item&gt;&lt;item&gt;291&lt;/item&gt;&lt;item&gt;292&lt;/item&gt;&lt;item&gt;293&lt;/item&gt;&lt;item&gt;294&lt;/item&gt;&lt;item&gt;295&lt;/item&gt;&lt;item&gt;296&lt;/item&gt;&lt;item&gt;298&lt;/item&gt;&lt;item&gt;299&lt;/item&gt;&lt;item&gt;300&lt;/item&gt;&lt;item&gt;306&lt;/item&gt;&lt;item&gt;312&lt;/item&gt;&lt;item&gt;593&lt;/item&gt;&lt;item&gt;594&lt;/item&gt;&lt;item&gt;595&lt;/item&gt;&lt;item&gt;597&lt;/item&gt;&lt;item&gt;900&lt;/item&gt;&lt;item&gt;923&lt;/item&gt;&lt;item&gt;924&lt;/item&gt;&lt;item&gt;925&lt;/item&gt;&lt;item&gt;926&lt;/item&gt;&lt;item&gt;927&lt;/item&gt;&lt;item&gt;928&lt;/item&gt;&lt;item&gt;929&lt;/item&gt;&lt;item&gt;930&lt;/item&gt;&lt;/record-ids&gt;&lt;/item&gt;&lt;/Libraries&gt;"/>
  </w:docVars>
  <w:rsids>
    <w:rsidRoot w:val="00BB1B73"/>
    <w:rsid w:val="00002860"/>
    <w:rsid w:val="000079AC"/>
    <w:rsid w:val="000110B6"/>
    <w:rsid w:val="00011E3D"/>
    <w:rsid w:val="000156EB"/>
    <w:rsid w:val="00021C5A"/>
    <w:rsid w:val="00023508"/>
    <w:rsid w:val="000236E1"/>
    <w:rsid w:val="00037597"/>
    <w:rsid w:val="000401AD"/>
    <w:rsid w:val="000408BF"/>
    <w:rsid w:val="000427B3"/>
    <w:rsid w:val="00043555"/>
    <w:rsid w:val="0005361A"/>
    <w:rsid w:val="00057D2E"/>
    <w:rsid w:val="00061E91"/>
    <w:rsid w:val="00063700"/>
    <w:rsid w:val="00064E49"/>
    <w:rsid w:val="00071591"/>
    <w:rsid w:val="00071AEB"/>
    <w:rsid w:val="00072ACB"/>
    <w:rsid w:val="00074B8D"/>
    <w:rsid w:val="00075F85"/>
    <w:rsid w:val="00077CA6"/>
    <w:rsid w:val="0008063D"/>
    <w:rsid w:val="00080978"/>
    <w:rsid w:val="00086B1B"/>
    <w:rsid w:val="00091A1D"/>
    <w:rsid w:val="00095ECF"/>
    <w:rsid w:val="00097616"/>
    <w:rsid w:val="000B0AA9"/>
    <w:rsid w:val="000B0EA9"/>
    <w:rsid w:val="000B28AF"/>
    <w:rsid w:val="000B4F65"/>
    <w:rsid w:val="000C186D"/>
    <w:rsid w:val="000D54A0"/>
    <w:rsid w:val="000E6CE8"/>
    <w:rsid w:val="000F1D5D"/>
    <w:rsid w:val="000F4F0A"/>
    <w:rsid w:val="00104410"/>
    <w:rsid w:val="00107553"/>
    <w:rsid w:val="0011709C"/>
    <w:rsid w:val="001177F7"/>
    <w:rsid w:val="0012419A"/>
    <w:rsid w:val="001302CC"/>
    <w:rsid w:val="00132078"/>
    <w:rsid w:val="00132A68"/>
    <w:rsid w:val="0013328C"/>
    <w:rsid w:val="00134431"/>
    <w:rsid w:val="0013599D"/>
    <w:rsid w:val="001555D6"/>
    <w:rsid w:val="00163946"/>
    <w:rsid w:val="0016457C"/>
    <w:rsid w:val="00164C37"/>
    <w:rsid w:val="001669F0"/>
    <w:rsid w:val="00174846"/>
    <w:rsid w:val="00175DB7"/>
    <w:rsid w:val="00176B06"/>
    <w:rsid w:val="00182990"/>
    <w:rsid w:val="00191AAD"/>
    <w:rsid w:val="00193BBF"/>
    <w:rsid w:val="00193F6E"/>
    <w:rsid w:val="001B3618"/>
    <w:rsid w:val="001B4101"/>
    <w:rsid w:val="001B4577"/>
    <w:rsid w:val="001B7BFE"/>
    <w:rsid w:val="001B7E09"/>
    <w:rsid w:val="001C1258"/>
    <w:rsid w:val="001C3C35"/>
    <w:rsid w:val="001D6133"/>
    <w:rsid w:val="001D7151"/>
    <w:rsid w:val="001D775C"/>
    <w:rsid w:val="001F63CA"/>
    <w:rsid w:val="0020452D"/>
    <w:rsid w:val="002114F9"/>
    <w:rsid w:val="00211CBE"/>
    <w:rsid w:val="00213C4E"/>
    <w:rsid w:val="002225BE"/>
    <w:rsid w:val="00226960"/>
    <w:rsid w:val="00230586"/>
    <w:rsid w:val="00241FE2"/>
    <w:rsid w:val="00250937"/>
    <w:rsid w:val="0025161C"/>
    <w:rsid w:val="00262169"/>
    <w:rsid w:val="00263139"/>
    <w:rsid w:val="00264348"/>
    <w:rsid w:val="00272B37"/>
    <w:rsid w:val="0027741A"/>
    <w:rsid w:val="0028133A"/>
    <w:rsid w:val="00286FD6"/>
    <w:rsid w:val="00287F35"/>
    <w:rsid w:val="00292CDB"/>
    <w:rsid w:val="0029606C"/>
    <w:rsid w:val="002A04CD"/>
    <w:rsid w:val="002A6F58"/>
    <w:rsid w:val="002B1EE0"/>
    <w:rsid w:val="002B3D8E"/>
    <w:rsid w:val="002B3E19"/>
    <w:rsid w:val="002B5056"/>
    <w:rsid w:val="002B78F3"/>
    <w:rsid w:val="002C37C3"/>
    <w:rsid w:val="002C7C9B"/>
    <w:rsid w:val="002D3A56"/>
    <w:rsid w:val="002D54DF"/>
    <w:rsid w:val="002D623E"/>
    <w:rsid w:val="002E41C3"/>
    <w:rsid w:val="0030278C"/>
    <w:rsid w:val="00306BD9"/>
    <w:rsid w:val="00316FD8"/>
    <w:rsid w:val="00320CC7"/>
    <w:rsid w:val="00321844"/>
    <w:rsid w:val="00322E97"/>
    <w:rsid w:val="003239AE"/>
    <w:rsid w:val="003246C6"/>
    <w:rsid w:val="00324DEE"/>
    <w:rsid w:val="003302CC"/>
    <w:rsid w:val="00330821"/>
    <w:rsid w:val="00333998"/>
    <w:rsid w:val="00335323"/>
    <w:rsid w:val="00335F48"/>
    <w:rsid w:val="00337DE9"/>
    <w:rsid w:val="00342134"/>
    <w:rsid w:val="00345001"/>
    <w:rsid w:val="00346FA1"/>
    <w:rsid w:val="003509DF"/>
    <w:rsid w:val="00353AA3"/>
    <w:rsid w:val="00355AFA"/>
    <w:rsid w:val="00356E2B"/>
    <w:rsid w:val="00360CAF"/>
    <w:rsid w:val="003621CE"/>
    <w:rsid w:val="003626BA"/>
    <w:rsid w:val="00371009"/>
    <w:rsid w:val="003713D1"/>
    <w:rsid w:val="003716B1"/>
    <w:rsid w:val="0037704B"/>
    <w:rsid w:val="0038231A"/>
    <w:rsid w:val="0038444D"/>
    <w:rsid w:val="00387C5E"/>
    <w:rsid w:val="0039640F"/>
    <w:rsid w:val="003964EB"/>
    <w:rsid w:val="00397E45"/>
    <w:rsid w:val="003B1109"/>
    <w:rsid w:val="003B2B3A"/>
    <w:rsid w:val="003C20BE"/>
    <w:rsid w:val="003C7AA8"/>
    <w:rsid w:val="003D185A"/>
    <w:rsid w:val="003D7A26"/>
    <w:rsid w:val="003E11AB"/>
    <w:rsid w:val="003E655C"/>
    <w:rsid w:val="003F6281"/>
    <w:rsid w:val="004006BA"/>
    <w:rsid w:val="00401A4B"/>
    <w:rsid w:val="0040353A"/>
    <w:rsid w:val="004042D6"/>
    <w:rsid w:val="00405CEA"/>
    <w:rsid w:val="00405D19"/>
    <w:rsid w:val="00406486"/>
    <w:rsid w:val="00414CC4"/>
    <w:rsid w:val="0042168F"/>
    <w:rsid w:val="00421A43"/>
    <w:rsid w:val="004262C9"/>
    <w:rsid w:val="00427023"/>
    <w:rsid w:val="0043687A"/>
    <w:rsid w:val="00440063"/>
    <w:rsid w:val="004404ED"/>
    <w:rsid w:val="0044156C"/>
    <w:rsid w:val="00443DF4"/>
    <w:rsid w:val="00444F6D"/>
    <w:rsid w:val="00447643"/>
    <w:rsid w:val="0046110D"/>
    <w:rsid w:val="004618EE"/>
    <w:rsid w:val="00467454"/>
    <w:rsid w:val="00480AC7"/>
    <w:rsid w:val="0048200C"/>
    <w:rsid w:val="004841F7"/>
    <w:rsid w:val="004842CC"/>
    <w:rsid w:val="0048469F"/>
    <w:rsid w:val="00484906"/>
    <w:rsid w:val="004929D4"/>
    <w:rsid w:val="00496DF7"/>
    <w:rsid w:val="00496E7D"/>
    <w:rsid w:val="00496F0D"/>
    <w:rsid w:val="00497F50"/>
    <w:rsid w:val="004A0E16"/>
    <w:rsid w:val="004A2FBD"/>
    <w:rsid w:val="004A44EC"/>
    <w:rsid w:val="004A44F0"/>
    <w:rsid w:val="004A45C1"/>
    <w:rsid w:val="004B2841"/>
    <w:rsid w:val="004C2795"/>
    <w:rsid w:val="004C3501"/>
    <w:rsid w:val="004C3B21"/>
    <w:rsid w:val="004C5C2D"/>
    <w:rsid w:val="004C6381"/>
    <w:rsid w:val="004D1A02"/>
    <w:rsid w:val="004E37C3"/>
    <w:rsid w:val="004F31E5"/>
    <w:rsid w:val="004F3FF5"/>
    <w:rsid w:val="0050157C"/>
    <w:rsid w:val="00503E5E"/>
    <w:rsid w:val="00513473"/>
    <w:rsid w:val="00515FDD"/>
    <w:rsid w:val="005205F0"/>
    <w:rsid w:val="00520A7B"/>
    <w:rsid w:val="00521453"/>
    <w:rsid w:val="005255E7"/>
    <w:rsid w:val="00527F14"/>
    <w:rsid w:val="005314FD"/>
    <w:rsid w:val="00537616"/>
    <w:rsid w:val="00544B2B"/>
    <w:rsid w:val="00557D3F"/>
    <w:rsid w:val="00562122"/>
    <w:rsid w:val="005651F5"/>
    <w:rsid w:val="00571A76"/>
    <w:rsid w:val="00577DCD"/>
    <w:rsid w:val="00584948"/>
    <w:rsid w:val="00591599"/>
    <w:rsid w:val="005A0045"/>
    <w:rsid w:val="005B77C0"/>
    <w:rsid w:val="005C3845"/>
    <w:rsid w:val="005C69DB"/>
    <w:rsid w:val="005C6BB2"/>
    <w:rsid w:val="005C6DE3"/>
    <w:rsid w:val="005D1297"/>
    <w:rsid w:val="005D733A"/>
    <w:rsid w:val="005D7943"/>
    <w:rsid w:val="005E1ACF"/>
    <w:rsid w:val="005F66DC"/>
    <w:rsid w:val="005F7043"/>
    <w:rsid w:val="00600283"/>
    <w:rsid w:val="00600EB7"/>
    <w:rsid w:val="00605E3A"/>
    <w:rsid w:val="00606F11"/>
    <w:rsid w:val="00614618"/>
    <w:rsid w:val="00616CE6"/>
    <w:rsid w:val="00626415"/>
    <w:rsid w:val="00626858"/>
    <w:rsid w:val="00633BB7"/>
    <w:rsid w:val="0063570B"/>
    <w:rsid w:val="00637736"/>
    <w:rsid w:val="00637AF6"/>
    <w:rsid w:val="006561A1"/>
    <w:rsid w:val="006635B0"/>
    <w:rsid w:val="0066718B"/>
    <w:rsid w:val="00667D6E"/>
    <w:rsid w:val="006769A1"/>
    <w:rsid w:val="00677FD2"/>
    <w:rsid w:val="006845F9"/>
    <w:rsid w:val="0069489C"/>
    <w:rsid w:val="006A2B44"/>
    <w:rsid w:val="006A60A6"/>
    <w:rsid w:val="006B0BBE"/>
    <w:rsid w:val="006B148F"/>
    <w:rsid w:val="006B1B06"/>
    <w:rsid w:val="006C2408"/>
    <w:rsid w:val="006C3BD2"/>
    <w:rsid w:val="006C443A"/>
    <w:rsid w:val="006C5719"/>
    <w:rsid w:val="006C65CE"/>
    <w:rsid w:val="006C7B0D"/>
    <w:rsid w:val="006D268C"/>
    <w:rsid w:val="006D3B4C"/>
    <w:rsid w:val="006D53CD"/>
    <w:rsid w:val="006D5AFA"/>
    <w:rsid w:val="006E150A"/>
    <w:rsid w:val="006F0CC4"/>
    <w:rsid w:val="007079C8"/>
    <w:rsid w:val="0071462F"/>
    <w:rsid w:val="00715E48"/>
    <w:rsid w:val="00716F65"/>
    <w:rsid w:val="007171DC"/>
    <w:rsid w:val="0072206D"/>
    <w:rsid w:val="00723C9B"/>
    <w:rsid w:val="00727BC2"/>
    <w:rsid w:val="00737C86"/>
    <w:rsid w:val="00744E67"/>
    <w:rsid w:val="0074665C"/>
    <w:rsid w:val="0074692C"/>
    <w:rsid w:val="007546DC"/>
    <w:rsid w:val="0075724D"/>
    <w:rsid w:val="007579CB"/>
    <w:rsid w:val="007655FA"/>
    <w:rsid w:val="00766F6B"/>
    <w:rsid w:val="007733F3"/>
    <w:rsid w:val="00773C1A"/>
    <w:rsid w:val="00773D02"/>
    <w:rsid w:val="00777377"/>
    <w:rsid w:val="007823FD"/>
    <w:rsid w:val="00783040"/>
    <w:rsid w:val="00787253"/>
    <w:rsid w:val="007930B5"/>
    <w:rsid w:val="00796624"/>
    <w:rsid w:val="007975B6"/>
    <w:rsid w:val="007A07C0"/>
    <w:rsid w:val="007A1D23"/>
    <w:rsid w:val="007A2C7A"/>
    <w:rsid w:val="007B6147"/>
    <w:rsid w:val="007C0AE7"/>
    <w:rsid w:val="007D1F68"/>
    <w:rsid w:val="007D7582"/>
    <w:rsid w:val="007E1DD0"/>
    <w:rsid w:val="007E458C"/>
    <w:rsid w:val="007E628D"/>
    <w:rsid w:val="00804738"/>
    <w:rsid w:val="00807E2D"/>
    <w:rsid w:val="00812FB3"/>
    <w:rsid w:val="00817BED"/>
    <w:rsid w:val="00830A6E"/>
    <w:rsid w:val="008374BD"/>
    <w:rsid w:val="008421BA"/>
    <w:rsid w:val="00842BAB"/>
    <w:rsid w:val="00845CE3"/>
    <w:rsid w:val="00853467"/>
    <w:rsid w:val="00857C1E"/>
    <w:rsid w:val="00860DE2"/>
    <w:rsid w:val="0087368F"/>
    <w:rsid w:val="00873B95"/>
    <w:rsid w:val="008771E3"/>
    <w:rsid w:val="00882600"/>
    <w:rsid w:val="00883B98"/>
    <w:rsid w:val="00891010"/>
    <w:rsid w:val="008974EE"/>
    <w:rsid w:val="008A6BE7"/>
    <w:rsid w:val="008A7915"/>
    <w:rsid w:val="008B1607"/>
    <w:rsid w:val="008B17B0"/>
    <w:rsid w:val="008B22ED"/>
    <w:rsid w:val="008B7424"/>
    <w:rsid w:val="008C2C08"/>
    <w:rsid w:val="008D2E0A"/>
    <w:rsid w:val="008D64BF"/>
    <w:rsid w:val="008D6A31"/>
    <w:rsid w:val="008E12A6"/>
    <w:rsid w:val="008E1E00"/>
    <w:rsid w:val="008E54AC"/>
    <w:rsid w:val="008E7F70"/>
    <w:rsid w:val="008F5927"/>
    <w:rsid w:val="009009F3"/>
    <w:rsid w:val="00902A3B"/>
    <w:rsid w:val="009054FE"/>
    <w:rsid w:val="00905BE4"/>
    <w:rsid w:val="0090748A"/>
    <w:rsid w:val="00910D8B"/>
    <w:rsid w:val="00912C34"/>
    <w:rsid w:val="00914229"/>
    <w:rsid w:val="009147BB"/>
    <w:rsid w:val="0092085B"/>
    <w:rsid w:val="00931580"/>
    <w:rsid w:val="00935E99"/>
    <w:rsid w:val="00936E34"/>
    <w:rsid w:val="0094029C"/>
    <w:rsid w:val="00943AAA"/>
    <w:rsid w:val="00944685"/>
    <w:rsid w:val="00952EEA"/>
    <w:rsid w:val="0095622F"/>
    <w:rsid w:val="00963C27"/>
    <w:rsid w:val="0096770C"/>
    <w:rsid w:val="00972069"/>
    <w:rsid w:val="00975685"/>
    <w:rsid w:val="00977C5E"/>
    <w:rsid w:val="00984462"/>
    <w:rsid w:val="00987C29"/>
    <w:rsid w:val="009912FE"/>
    <w:rsid w:val="0099260D"/>
    <w:rsid w:val="009A4A29"/>
    <w:rsid w:val="009B0054"/>
    <w:rsid w:val="009B5209"/>
    <w:rsid w:val="009B5F1C"/>
    <w:rsid w:val="009C0408"/>
    <w:rsid w:val="009C0F28"/>
    <w:rsid w:val="009C1659"/>
    <w:rsid w:val="009C1CA4"/>
    <w:rsid w:val="009C5B20"/>
    <w:rsid w:val="009C7395"/>
    <w:rsid w:val="009E1CFF"/>
    <w:rsid w:val="009E2BCD"/>
    <w:rsid w:val="009E51AC"/>
    <w:rsid w:val="009E79AA"/>
    <w:rsid w:val="009E7C57"/>
    <w:rsid w:val="009F0A6D"/>
    <w:rsid w:val="009F1337"/>
    <w:rsid w:val="009F3232"/>
    <w:rsid w:val="009F4C9C"/>
    <w:rsid w:val="00A033F6"/>
    <w:rsid w:val="00A06844"/>
    <w:rsid w:val="00A079E2"/>
    <w:rsid w:val="00A1039F"/>
    <w:rsid w:val="00A110FE"/>
    <w:rsid w:val="00A16839"/>
    <w:rsid w:val="00A21890"/>
    <w:rsid w:val="00A25AEE"/>
    <w:rsid w:val="00A31B9B"/>
    <w:rsid w:val="00A33751"/>
    <w:rsid w:val="00A426A0"/>
    <w:rsid w:val="00A46FFA"/>
    <w:rsid w:val="00A55338"/>
    <w:rsid w:val="00A568AE"/>
    <w:rsid w:val="00A61C84"/>
    <w:rsid w:val="00A66722"/>
    <w:rsid w:val="00A72410"/>
    <w:rsid w:val="00A758C3"/>
    <w:rsid w:val="00A83F4D"/>
    <w:rsid w:val="00A83F92"/>
    <w:rsid w:val="00A84755"/>
    <w:rsid w:val="00A85FFC"/>
    <w:rsid w:val="00A90745"/>
    <w:rsid w:val="00A95314"/>
    <w:rsid w:val="00A95E01"/>
    <w:rsid w:val="00A97994"/>
    <w:rsid w:val="00AA0626"/>
    <w:rsid w:val="00AA37DD"/>
    <w:rsid w:val="00AB2AEA"/>
    <w:rsid w:val="00AB5F73"/>
    <w:rsid w:val="00AB6063"/>
    <w:rsid w:val="00AB61CC"/>
    <w:rsid w:val="00AC00D7"/>
    <w:rsid w:val="00AC2DE4"/>
    <w:rsid w:val="00AC5CA0"/>
    <w:rsid w:val="00AD54F6"/>
    <w:rsid w:val="00AD6CB1"/>
    <w:rsid w:val="00AE2776"/>
    <w:rsid w:val="00AE2947"/>
    <w:rsid w:val="00AE3975"/>
    <w:rsid w:val="00AE6023"/>
    <w:rsid w:val="00AF2282"/>
    <w:rsid w:val="00AF2CCE"/>
    <w:rsid w:val="00AF4F12"/>
    <w:rsid w:val="00B01EBD"/>
    <w:rsid w:val="00B14576"/>
    <w:rsid w:val="00B14590"/>
    <w:rsid w:val="00B2286E"/>
    <w:rsid w:val="00B231D9"/>
    <w:rsid w:val="00B25DBC"/>
    <w:rsid w:val="00B32E72"/>
    <w:rsid w:val="00B3390B"/>
    <w:rsid w:val="00B33D56"/>
    <w:rsid w:val="00B375D0"/>
    <w:rsid w:val="00B41A51"/>
    <w:rsid w:val="00B43164"/>
    <w:rsid w:val="00B55EAD"/>
    <w:rsid w:val="00B56E32"/>
    <w:rsid w:val="00B67079"/>
    <w:rsid w:val="00B72217"/>
    <w:rsid w:val="00B77EA5"/>
    <w:rsid w:val="00B80E7B"/>
    <w:rsid w:val="00B81A0B"/>
    <w:rsid w:val="00B81B89"/>
    <w:rsid w:val="00B86C9C"/>
    <w:rsid w:val="00B900D1"/>
    <w:rsid w:val="00B9212D"/>
    <w:rsid w:val="00B9273D"/>
    <w:rsid w:val="00B928C5"/>
    <w:rsid w:val="00B9769E"/>
    <w:rsid w:val="00BA0F82"/>
    <w:rsid w:val="00BB1441"/>
    <w:rsid w:val="00BB1B73"/>
    <w:rsid w:val="00BB4169"/>
    <w:rsid w:val="00BC1BAD"/>
    <w:rsid w:val="00BD09B0"/>
    <w:rsid w:val="00BD461C"/>
    <w:rsid w:val="00BD5D64"/>
    <w:rsid w:val="00BD73ED"/>
    <w:rsid w:val="00BE12B2"/>
    <w:rsid w:val="00BE315A"/>
    <w:rsid w:val="00BE54BA"/>
    <w:rsid w:val="00BE5823"/>
    <w:rsid w:val="00BE69B4"/>
    <w:rsid w:val="00BF2F04"/>
    <w:rsid w:val="00BF4C93"/>
    <w:rsid w:val="00C0344A"/>
    <w:rsid w:val="00C03F94"/>
    <w:rsid w:val="00C043A5"/>
    <w:rsid w:val="00C15842"/>
    <w:rsid w:val="00C24AF9"/>
    <w:rsid w:val="00C257D3"/>
    <w:rsid w:val="00C259E4"/>
    <w:rsid w:val="00C42753"/>
    <w:rsid w:val="00C43613"/>
    <w:rsid w:val="00C45190"/>
    <w:rsid w:val="00C456AD"/>
    <w:rsid w:val="00C463BC"/>
    <w:rsid w:val="00C47949"/>
    <w:rsid w:val="00C47CB1"/>
    <w:rsid w:val="00C51367"/>
    <w:rsid w:val="00C55311"/>
    <w:rsid w:val="00C61569"/>
    <w:rsid w:val="00C73636"/>
    <w:rsid w:val="00C9315C"/>
    <w:rsid w:val="00C967AE"/>
    <w:rsid w:val="00CA033F"/>
    <w:rsid w:val="00CA1209"/>
    <w:rsid w:val="00CA46E4"/>
    <w:rsid w:val="00CB132F"/>
    <w:rsid w:val="00CC0827"/>
    <w:rsid w:val="00CC6779"/>
    <w:rsid w:val="00CD1431"/>
    <w:rsid w:val="00CD24A0"/>
    <w:rsid w:val="00CD4BED"/>
    <w:rsid w:val="00CE169D"/>
    <w:rsid w:val="00CE1A74"/>
    <w:rsid w:val="00CF160D"/>
    <w:rsid w:val="00CF1D62"/>
    <w:rsid w:val="00CF2510"/>
    <w:rsid w:val="00CF5B81"/>
    <w:rsid w:val="00CF72F1"/>
    <w:rsid w:val="00D022A6"/>
    <w:rsid w:val="00D062C6"/>
    <w:rsid w:val="00D1028B"/>
    <w:rsid w:val="00D10633"/>
    <w:rsid w:val="00D14E08"/>
    <w:rsid w:val="00D16134"/>
    <w:rsid w:val="00D165CC"/>
    <w:rsid w:val="00D16784"/>
    <w:rsid w:val="00D1720B"/>
    <w:rsid w:val="00D30510"/>
    <w:rsid w:val="00D308B8"/>
    <w:rsid w:val="00D3639B"/>
    <w:rsid w:val="00D45496"/>
    <w:rsid w:val="00D606B5"/>
    <w:rsid w:val="00D60DB0"/>
    <w:rsid w:val="00D66669"/>
    <w:rsid w:val="00D67A67"/>
    <w:rsid w:val="00D80424"/>
    <w:rsid w:val="00D852FB"/>
    <w:rsid w:val="00D8785D"/>
    <w:rsid w:val="00D91D2C"/>
    <w:rsid w:val="00D92139"/>
    <w:rsid w:val="00D92D11"/>
    <w:rsid w:val="00D92FA4"/>
    <w:rsid w:val="00D9394A"/>
    <w:rsid w:val="00DA35B2"/>
    <w:rsid w:val="00DA613C"/>
    <w:rsid w:val="00DB07AF"/>
    <w:rsid w:val="00DB0C6D"/>
    <w:rsid w:val="00DB28DB"/>
    <w:rsid w:val="00DB53E7"/>
    <w:rsid w:val="00DB6606"/>
    <w:rsid w:val="00DC2754"/>
    <w:rsid w:val="00DC6E04"/>
    <w:rsid w:val="00DD5B04"/>
    <w:rsid w:val="00DE6708"/>
    <w:rsid w:val="00E03141"/>
    <w:rsid w:val="00E04946"/>
    <w:rsid w:val="00E11D8F"/>
    <w:rsid w:val="00E20D6F"/>
    <w:rsid w:val="00E21A78"/>
    <w:rsid w:val="00E23D49"/>
    <w:rsid w:val="00E26DBC"/>
    <w:rsid w:val="00E3063F"/>
    <w:rsid w:val="00E36D7A"/>
    <w:rsid w:val="00E40BE3"/>
    <w:rsid w:val="00E47013"/>
    <w:rsid w:val="00E510B9"/>
    <w:rsid w:val="00E52D0C"/>
    <w:rsid w:val="00E56FB8"/>
    <w:rsid w:val="00E60483"/>
    <w:rsid w:val="00E6554D"/>
    <w:rsid w:val="00E70EBC"/>
    <w:rsid w:val="00E81153"/>
    <w:rsid w:val="00E87E05"/>
    <w:rsid w:val="00E9027A"/>
    <w:rsid w:val="00E95D66"/>
    <w:rsid w:val="00EA69F6"/>
    <w:rsid w:val="00EA762D"/>
    <w:rsid w:val="00EB2F11"/>
    <w:rsid w:val="00EB31E8"/>
    <w:rsid w:val="00EB356B"/>
    <w:rsid w:val="00EB3BA9"/>
    <w:rsid w:val="00EB3C47"/>
    <w:rsid w:val="00EC004F"/>
    <w:rsid w:val="00ED1D42"/>
    <w:rsid w:val="00EE50F4"/>
    <w:rsid w:val="00F070E8"/>
    <w:rsid w:val="00F13C2E"/>
    <w:rsid w:val="00F144E3"/>
    <w:rsid w:val="00F202C2"/>
    <w:rsid w:val="00F21DFF"/>
    <w:rsid w:val="00F26B0D"/>
    <w:rsid w:val="00F44082"/>
    <w:rsid w:val="00F463FD"/>
    <w:rsid w:val="00F7160B"/>
    <w:rsid w:val="00F73263"/>
    <w:rsid w:val="00F746A4"/>
    <w:rsid w:val="00F75279"/>
    <w:rsid w:val="00F87A3C"/>
    <w:rsid w:val="00F90B8F"/>
    <w:rsid w:val="00F96F86"/>
    <w:rsid w:val="00FA4D3F"/>
    <w:rsid w:val="00FA5D5E"/>
    <w:rsid w:val="00FB14E7"/>
    <w:rsid w:val="00FC00ED"/>
    <w:rsid w:val="00FC6546"/>
    <w:rsid w:val="00FC7406"/>
    <w:rsid w:val="00FC7D67"/>
    <w:rsid w:val="00FD0ED6"/>
    <w:rsid w:val="00FD1214"/>
    <w:rsid w:val="00FE2357"/>
    <w:rsid w:val="00FF0448"/>
    <w:rsid w:val="00FF2AA7"/>
    <w:rsid w:val="00FF45D5"/>
    <w:rsid w:val="00FF4C8A"/>
    <w:rsid w:val="00FF68F6"/>
    <w:rsid w:val="00FF7A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31" w:qFormat="1"/>
    <w:lsdException w:name="Intense Reference" w:uiPriority="40"/>
    <w:lsdException w:name="Book Title" w:uiPriority="46"/>
    <w:lsdException w:name="Bibliography" w:semiHidden="1" w:uiPriority="47" w:unhideWhenUsed="1"/>
    <w:lsdException w:name="TOC Heading" w:semiHidden="1" w:uiPriority="48"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1302CC"/>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1302CC"/>
    <w:rPr>
      <w:b/>
      <w:bCs/>
      <w:sz w:val="22"/>
      <w:szCs w:val="28"/>
    </w:rPr>
  </w:style>
  <w:style w:type="paragraph" w:styleId="Caption">
    <w:name w:val="caption"/>
    <w:basedOn w:val="Normal"/>
    <w:next w:val="Normal"/>
    <w:unhideWhenUsed/>
    <w:qFormat/>
    <w:rsid w:val="001302CC"/>
    <w:rPr>
      <w:b/>
      <w:bCs/>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uiPriority w:val="99"/>
    <w:rsid w:val="00ED1D42"/>
    <w:rPr>
      <w:szCs w:val="20"/>
    </w:rPr>
  </w:style>
  <w:style w:type="character" w:customStyle="1" w:styleId="FootnoteTextChar">
    <w:name w:val="Footnote Text Char"/>
    <w:basedOn w:val="DefaultParagraphFont"/>
    <w:link w:val="FootnoteText"/>
    <w:uiPriority w:val="99"/>
    <w:rsid w:val="00ED1D42"/>
  </w:style>
  <w:style w:type="character" w:styleId="FootnoteReference">
    <w:name w:val="footnote reference"/>
    <w:uiPriority w:val="99"/>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B56E32"/>
    <w:pPr>
      <w:spacing w:before="240" w:after="240"/>
    </w:pPr>
    <w:rPr>
      <w:sz w:val="20"/>
    </w:r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iPriority w:val="99"/>
    <w:unhideWhenUsed/>
    <w:rsid w:val="00B41A51"/>
    <w:rPr>
      <w:color w:val="0000FF" w:themeColor="hyperlink"/>
      <w:u w:val="single"/>
    </w:rPr>
  </w:style>
  <w:style w:type="paragraph" w:customStyle="1" w:styleId="EndNoteBibliographyTitle">
    <w:name w:val="EndNote Bibliography Title"/>
    <w:basedOn w:val="Normal"/>
    <w:link w:val="EndNoteBibliographyTitleChar"/>
    <w:rsid w:val="00182990"/>
    <w:pPr>
      <w:spacing w:before="0" w:after="0"/>
      <w:jc w:val="center"/>
    </w:pPr>
    <w:rPr>
      <w:rFonts w:eastAsiaTheme="minorEastAsia"/>
      <w:kern w:val="2"/>
      <w:lang w:eastAsia="zh-CN"/>
      <w14:ligatures w14:val="standardContextual"/>
    </w:rPr>
  </w:style>
  <w:style w:type="character" w:customStyle="1" w:styleId="EndNoteBibliographyTitleChar">
    <w:name w:val="EndNote Bibliography Title Char"/>
    <w:basedOn w:val="DefaultParagraphFont"/>
    <w:link w:val="EndNoteBibliographyTitle"/>
    <w:rsid w:val="00182990"/>
    <w:rPr>
      <w:rFonts w:eastAsiaTheme="minorEastAsia"/>
      <w:kern w:val="2"/>
      <w:sz w:val="22"/>
      <w:szCs w:val="24"/>
      <w:lang w:eastAsia="zh-CN"/>
      <w14:ligatures w14:val="standardContextual"/>
    </w:rPr>
  </w:style>
  <w:style w:type="paragraph" w:customStyle="1" w:styleId="EndNoteBibliography">
    <w:name w:val="EndNote Bibliography"/>
    <w:basedOn w:val="Normal"/>
    <w:link w:val="EndNoteBibliographyChar"/>
    <w:rsid w:val="00182990"/>
    <w:pPr>
      <w:spacing w:before="0" w:after="0"/>
      <w:jc w:val="left"/>
    </w:pPr>
    <w:rPr>
      <w:rFonts w:eastAsiaTheme="minorEastAsia"/>
      <w:kern w:val="2"/>
      <w:lang w:eastAsia="zh-CN"/>
      <w14:ligatures w14:val="standardContextual"/>
    </w:rPr>
  </w:style>
  <w:style w:type="character" w:customStyle="1" w:styleId="EndNoteBibliographyChar">
    <w:name w:val="EndNote Bibliography Char"/>
    <w:basedOn w:val="DefaultParagraphFont"/>
    <w:link w:val="EndNoteBibliography"/>
    <w:rsid w:val="00182990"/>
    <w:rPr>
      <w:rFonts w:eastAsiaTheme="minorEastAsia"/>
      <w:kern w:val="2"/>
      <w:sz w:val="22"/>
      <w:szCs w:val="24"/>
      <w:lang w:eastAsia="zh-CN"/>
      <w14:ligatures w14:val="standardContextual"/>
    </w:rPr>
  </w:style>
  <w:style w:type="paragraph" w:customStyle="1" w:styleId="figure">
    <w:name w:val="figure"/>
    <w:basedOn w:val="Normal"/>
    <w:qFormat/>
    <w:rsid w:val="00182990"/>
    <w:pPr>
      <w:spacing w:before="0" w:after="0" w:line="360" w:lineRule="auto"/>
      <w:jc w:val="center"/>
    </w:pPr>
    <w:rPr>
      <w:rFonts w:asciiTheme="minorHAnsi" w:eastAsiaTheme="minorEastAsia" w:hAnsiTheme="minorHAnsi" w:cstheme="minorBidi"/>
      <w:sz w:val="20"/>
      <w:lang w:eastAsia="zh-CN"/>
    </w:rPr>
  </w:style>
  <w:style w:type="paragraph" w:customStyle="1" w:styleId="source">
    <w:name w:val="source"/>
    <w:basedOn w:val="Normal"/>
    <w:qFormat/>
    <w:rsid w:val="00182990"/>
    <w:pPr>
      <w:spacing w:before="0" w:after="0" w:line="360" w:lineRule="auto"/>
      <w:jc w:val="right"/>
    </w:pPr>
    <w:rPr>
      <w:rFonts w:asciiTheme="minorHAnsi" w:eastAsiaTheme="minorEastAsia" w:hAnsiTheme="minorHAnsi" w:cstheme="minorBidi"/>
      <w:sz w:val="20"/>
      <w:lang w:eastAsia="zh-CN"/>
    </w:rPr>
  </w:style>
  <w:style w:type="paragraph" w:customStyle="1" w:styleId="table">
    <w:name w:val="table"/>
    <w:basedOn w:val="figure"/>
    <w:qFormat/>
    <w:rsid w:val="00182990"/>
    <w:pPr>
      <w:jc w:val="left"/>
    </w:pPr>
  </w:style>
  <w:style w:type="character" w:styleId="SubtleReference">
    <w:name w:val="Subtle Reference"/>
    <w:basedOn w:val="DefaultParagraphFont"/>
    <w:uiPriority w:val="31"/>
    <w:qFormat/>
    <w:rsid w:val="00182990"/>
    <w:rPr>
      <w:smallCaps/>
      <w:color w:val="000000" w:themeColor="text1"/>
      <w:sz w:val="20"/>
    </w:rPr>
  </w:style>
  <w:style w:type="table" w:styleId="GridTable1Light-Accent1">
    <w:name w:val="Grid Table 1 Light Accent 1"/>
    <w:basedOn w:val="TableNormal"/>
    <w:uiPriority w:val="46"/>
    <w:rsid w:val="00182990"/>
    <w:rPr>
      <w:rFonts w:asciiTheme="minorHAnsi" w:eastAsiaTheme="minorEastAsia" w:hAnsiTheme="minorHAnsi" w:cstheme="minorBidi"/>
      <w:sz w:val="24"/>
      <w:szCs w:val="24"/>
      <w:lang w:eastAsia="zh-C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82990"/>
    <w:rPr>
      <w:color w:val="605E5C"/>
      <w:shd w:val="clear" w:color="auto" w:fill="E1DFDD"/>
    </w:rPr>
  </w:style>
  <w:style w:type="table" w:styleId="GridTable1Light">
    <w:name w:val="Grid Table 1 Light"/>
    <w:basedOn w:val="TableNormal"/>
    <w:uiPriority w:val="46"/>
    <w:rsid w:val="00182990"/>
    <w:rPr>
      <w:rFonts w:asciiTheme="minorHAnsi" w:eastAsiaTheme="minorEastAsia" w:hAnsiTheme="minorHAnsi" w:cstheme="minorBidi"/>
      <w:sz w:val="24"/>
      <w:szCs w:val="24"/>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rsid w:val="00C736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rsid w:val="00C736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72"/>
    <w:rsid w:val="0037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vicinity.com.au/about-us/who-we-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scentregroup.com/about-us/history" TargetMode="External"/><Relationship Id="rId2" Type="http://schemas.openxmlformats.org/officeDocument/2006/relationships/customXml" Target="../customXml/item2.xml"/><Relationship Id="rId16" Type="http://schemas.openxmlformats.org/officeDocument/2006/relationships/hyperlink" Target="https://treasury.gov.au/sites/default/files/2019-03/c2017-t240634-Property-Counci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07/978-3-642-36856-1_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asx.com.au/markets/trade-our-cash-market/asx-investment-products-directory/arei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jiawei\Desktop\A-REITs\Individual%20Senti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iawei\Desktop\A-REITs\Individual%20Sentiment_figur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Sheet1!$M$1</c:f>
              <c:strCache>
                <c:ptCount val="1"/>
                <c:pt idx="0">
                  <c:v>WM Index</c:v>
                </c:pt>
              </c:strCache>
            </c:strRef>
          </c:tx>
          <c:spPr>
            <a:ln w="19050" cap="rnd">
              <a:solidFill>
                <a:schemeClr val="accent1"/>
              </a:solidFill>
              <a:round/>
            </a:ln>
            <a:effectLst/>
          </c:spPr>
          <c:marker>
            <c:symbol val="none"/>
          </c:marker>
          <c:cat>
            <c:strRef>
              <c:f>Sheet1!$L$2:$L$194</c:f>
              <c:strCache>
                <c:ptCount val="193"/>
                <c:pt idx="0">
                  <c:v>2005-12</c:v>
                </c:pt>
                <c:pt idx="1">
                  <c:v>2006-01</c:v>
                </c:pt>
                <c:pt idx="2">
                  <c:v>2006-02</c:v>
                </c:pt>
                <c:pt idx="3">
                  <c:v>2006-03</c:v>
                </c:pt>
                <c:pt idx="4">
                  <c:v>2006-04</c:v>
                </c:pt>
                <c:pt idx="5">
                  <c:v>2006-05</c:v>
                </c:pt>
                <c:pt idx="6">
                  <c:v>2006-06</c:v>
                </c:pt>
                <c:pt idx="7">
                  <c:v>2006-07</c:v>
                </c:pt>
                <c:pt idx="8">
                  <c:v>2006-08</c:v>
                </c:pt>
                <c:pt idx="9">
                  <c:v>2006-09</c:v>
                </c:pt>
                <c:pt idx="10">
                  <c:v>2006-10</c:v>
                </c:pt>
                <c:pt idx="11">
                  <c:v>2006-11</c:v>
                </c:pt>
                <c:pt idx="12">
                  <c:v>2006-12</c:v>
                </c:pt>
                <c:pt idx="13">
                  <c:v>2007-01</c:v>
                </c:pt>
                <c:pt idx="14">
                  <c:v>2007-02</c:v>
                </c:pt>
                <c:pt idx="15">
                  <c:v>2007-03</c:v>
                </c:pt>
                <c:pt idx="16">
                  <c:v>2007-04</c:v>
                </c:pt>
                <c:pt idx="17">
                  <c:v>2007-05</c:v>
                </c:pt>
                <c:pt idx="18">
                  <c:v>2007-06</c:v>
                </c:pt>
                <c:pt idx="19">
                  <c:v>2007-07</c:v>
                </c:pt>
                <c:pt idx="20">
                  <c:v>2007-08</c:v>
                </c:pt>
                <c:pt idx="21">
                  <c:v>2007-09</c:v>
                </c:pt>
                <c:pt idx="22">
                  <c:v>2007-10</c:v>
                </c:pt>
                <c:pt idx="23">
                  <c:v>2007-11</c:v>
                </c:pt>
                <c:pt idx="24">
                  <c:v>2007-12</c:v>
                </c:pt>
                <c:pt idx="25">
                  <c:v>2008-01</c:v>
                </c:pt>
                <c:pt idx="26">
                  <c:v>2008-02</c:v>
                </c:pt>
                <c:pt idx="27">
                  <c:v>2008-03</c:v>
                </c:pt>
                <c:pt idx="28">
                  <c:v>2008-04</c:v>
                </c:pt>
                <c:pt idx="29">
                  <c:v>2008-05</c:v>
                </c:pt>
                <c:pt idx="30">
                  <c:v>2008-06</c:v>
                </c:pt>
                <c:pt idx="31">
                  <c:v>2008-07</c:v>
                </c:pt>
                <c:pt idx="32">
                  <c:v>2008-08</c:v>
                </c:pt>
                <c:pt idx="33">
                  <c:v>2008-09</c:v>
                </c:pt>
                <c:pt idx="34">
                  <c:v>2008-10</c:v>
                </c:pt>
                <c:pt idx="35">
                  <c:v>2008-11</c:v>
                </c:pt>
                <c:pt idx="36">
                  <c:v>2008-12</c:v>
                </c:pt>
                <c:pt idx="37">
                  <c:v>2009-01</c:v>
                </c:pt>
                <c:pt idx="38">
                  <c:v>2009-02</c:v>
                </c:pt>
                <c:pt idx="39">
                  <c:v>2009-03</c:v>
                </c:pt>
                <c:pt idx="40">
                  <c:v>2009-04</c:v>
                </c:pt>
                <c:pt idx="41">
                  <c:v>2009-05</c:v>
                </c:pt>
                <c:pt idx="42">
                  <c:v>2009-06</c:v>
                </c:pt>
                <c:pt idx="43">
                  <c:v>2009-07</c:v>
                </c:pt>
                <c:pt idx="44">
                  <c:v>2009-08</c:v>
                </c:pt>
                <c:pt idx="45">
                  <c:v>2009-09</c:v>
                </c:pt>
                <c:pt idx="46">
                  <c:v>2009-10</c:v>
                </c:pt>
                <c:pt idx="47">
                  <c:v>2009-11</c:v>
                </c:pt>
                <c:pt idx="48">
                  <c:v>2009-12</c:v>
                </c:pt>
                <c:pt idx="49">
                  <c:v>2010-01</c:v>
                </c:pt>
                <c:pt idx="50">
                  <c:v>2010-02</c:v>
                </c:pt>
                <c:pt idx="51">
                  <c:v>2010-03</c:v>
                </c:pt>
                <c:pt idx="52">
                  <c:v>2010-04</c:v>
                </c:pt>
                <c:pt idx="53">
                  <c:v>2010-05</c:v>
                </c:pt>
                <c:pt idx="54">
                  <c:v>2010-06</c:v>
                </c:pt>
                <c:pt idx="55">
                  <c:v>2010-07</c:v>
                </c:pt>
                <c:pt idx="56">
                  <c:v>2010-08</c:v>
                </c:pt>
                <c:pt idx="57">
                  <c:v>2010-09</c:v>
                </c:pt>
                <c:pt idx="58">
                  <c:v>2010-10</c:v>
                </c:pt>
                <c:pt idx="59">
                  <c:v>2010-11</c:v>
                </c:pt>
                <c:pt idx="60">
                  <c:v>2010-12</c:v>
                </c:pt>
                <c:pt idx="61">
                  <c:v>2011-01</c:v>
                </c:pt>
                <c:pt idx="62">
                  <c:v>2011-02</c:v>
                </c:pt>
                <c:pt idx="63">
                  <c:v>2011-03</c:v>
                </c:pt>
                <c:pt idx="64">
                  <c:v>2011-04</c:v>
                </c:pt>
                <c:pt idx="65">
                  <c:v>2011-05</c:v>
                </c:pt>
                <c:pt idx="66">
                  <c:v>2011-06</c:v>
                </c:pt>
                <c:pt idx="67">
                  <c:v>2011-07</c:v>
                </c:pt>
                <c:pt idx="68">
                  <c:v>2011-08</c:v>
                </c:pt>
                <c:pt idx="69">
                  <c:v>2011-09</c:v>
                </c:pt>
                <c:pt idx="70">
                  <c:v>2011-10</c:v>
                </c:pt>
                <c:pt idx="71">
                  <c:v>2011-11</c:v>
                </c:pt>
                <c:pt idx="72">
                  <c:v>2011-12</c:v>
                </c:pt>
                <c:pt idx="73">
                  <c:v>2012-01</c:v>
                </c:pt>
                <c:pt idx="74">
                  <c:v>2012-02</c:v>
                </c:pt>
                <c:pt idx="75">
                  <c:v>2012-03</c:v>
                </c:pt>
                <c:pt idx="76">
                  <c:v>2012-04</c:v>
                </c:pt>
                <c:pt idx="77">
                  <c:v>2012-05</c:v>
                </c:pt>
                <c:pt idx="78">
                  <c:v>2012-06</c:v>
                </c:pt>
                <c:pt idx="79">
                  <c:v>2012-07</c:v>
                </c:pt>
                <c:pt idx="80">
                  <c:v>2012-08</c:v>
                </c:pt>
                <c:pt idx="81">
                  <c:v>2012-09</c:v>
                </c:pt>
                <c:pt idx="82">
                  <c:v>2012-10</c:v>
                </c:pt>
                <c:pt idx="83">
                  <c:v>2012-11</c:v>
                </c:pt>
                <c:pt idx="84">
                  <c:v>2012-12</c:v>
                </c:pt>
                <c:pt idx="85">
                  <c:v>2013-01</c:v>
                </c:pt>
                <c:pt idx="86">
                  <c:v>2013-02</c:v>
                </c:pt>
                <c:pt idx="87">
                  <c:v>2013-03</c:v>
                </c:pt>
                <c:pt idx="88">
                  <c:v>2013-04</c:v>
                </c:pt>
                <c:pt idx="89">
                  <c:v>2013-05</c:v>
                </c:pt>
                <c:pt idx="90">
                  <c:v>2013-06</c:v>
                </c:pt>
                <c:pt idx="91">
                  <c:v>2013-07</c:v>
                </c:pt>
                <c:pt idx="92">
                  <c:v>2013-08</c:v>
                </c:pt>
                <c:pt idx="93">
                  <c:v>2013-09</c:v>
                </c:pt>
                <c:pt idx="94">
                  <c:v>2013-10</c:v>
                </c:pt>
                <c:pt idx="95">
                  <c:v>2013-11</c:v>
                </c:pt>
                <c:pt idx="96">
                  <c:v>2013-12</c:v>
                </c:pt>
                <c:pt idx="97">
                  <c:v>2014-01</c:v>
                </c:pt>
                <c:pt idx="98">
                  <c:v>2014-02</c:v>
                </c:pt>
                <c:pt idx="99">
                  <c:v>2014-03</c:v>
                </c:pt>
                <c:pt idx="100">
                  <c:v>2014-04</c:v>
                </c:pt>
                <c:pt idx="101">
                  <c:v>2014-05</c:v>
                </c:pt>
                <c:pt idx="102">
                  <c:v>2014-06</c:v>
                </c:pt>
                <c:pt idx="103">
                  <c:v>2014-07</c:v>
                </c:pt>
                <c:pt idx="104">
                  <c:v>2014-08</c:v>
                </c:pt>
                <c:pt idx="105">
                  <c:v>2014-09</c:v>
                </c:pt>
                <c:pt idx="106">
                  <c:v>2014-10</c:v>
                </c:pt>
                <c:pt idx="107">
                  <c:v>2014-11</c:v>
                </c:pt>
                <c:pt idx="108">
                  <c:v>2014-12</c:v>
                </c:pt>
                <c:pt idx="109">
                  <c:v>2015-01</c:v>
                </c:pt>
                <c:pt idx="110">
                  <c:v>2015-02</c:v>
                </c:pt>
                <c:pt idx="111">
                  <c:v>2015-03</c:v>
                </c:pt>
                <c:pt idx="112">
                  <c:v>2015-04</c:v>
                </c:pt>
                <c:pt idx="113">
                  <c:v>2015-05</c:v>
                </c:pt>
                <c:pt idx="114">
                  <c:v>2015-06</c:v>
                </c:pt>
                <c:pt idx="115">
                  <c:v>2015-07</c:v>
                </c:pt>
                <c:pt idx="116">
                  <c:v>2015-08</c:v>
                </c:pt>
                <c:pt idx="117">
                  <c:v>2015-09</c:v>
                </c:pt>
                <c:pt idx="118">
                  <c:v>2015-10</c:v>
                </c:pt>
                <c:pt idx="119">
                  <c:v>2015-11</c:v>
                </c:pt>
                <c:pt idx="120">
                  <c:v>2015-12</c:v>
                </c:pt>
                <c:pt idx="121">
                  <c:v>2016-01</c:v>
                </c:pt>
                <c:pt idx="122">
                  <c:v>2016-02</c:v>
                </c:pt>
                <c:pt idx="123">
                  <c:v>2016-03</c:v>
                </c:pt>
                <c:pt idx="124">
                  <c:v>2016-04</c:v>
                </c:pt>
                <c:pt idx="125">
                  <c:v>2016-05</c:v>
                </c:pt>
                <c:pt idx="126">
                  <c:v>2016-06</c:v>
                </c:pt>
                <c:pt idx="127">
                  <c:v>2016-07</c:v>
                </c:pt>
                <c:pt idx="128">
                  <c:v>2016-08</c:v>
                </c:pt>
                <c:pt idx="129">
                  <c:v>2016-09</c:v>
                </c:pt>
                <c:pt idx="130">
                  <c:v>2016-10</c:v>
                </c:pt>
                <c:pt idx="131">
                  <c:v>2016-11</c:v>
                </c:pt>
                <c:pt idx="132">
                  <c:v>2016-12</c:v>
                </c:pt>
                <c:pt idx="133">
                  <c:v>2017-01</c:v>
                </c:pt>
                <c:pt idx="134">
                  <c:v>2017-02</c:v>
                </c:pt>
                <c:pt idx="135">
                  <c:v>2017-03</c:v>
                </c:pt>
                <c:pt idx="136">
                  <c:v>2017-04</c:v>
                </c:pt>
                <c:pt idx="137">
                  <c:v>2017-05</c:v>
                </c:pt>
                <c:pt idx="138">
                  <c:v>2017-06</c:v>
                </c:pt>
                <c:pt idx="139">
                  <c:v>2017-07</c:v>
                </c:pt>
                <c:pt idx="140">
                  <c:v>2017-08</c:v>
                </c:pt>
                <c:pt idx="141">
                  <c:v>2017-09</c:v>
                </c:pt>
                <c:pt idx="142">
                  <c:v>2017-10</c:v>
                </c:pt>
                <c:pt idx="143">
                  <c:v>2017-11</c:v>
                </c:pt>
                <c:pt idx="144">
                  <c:v>2017-12</c:v>
                </c:pt>
                <c:pt idx="145">
                  <c:v>2018-01</c:v>
                </c:pt>
                <c:pt idx="146">
                  <c:v>2018-02</c:v>
                </c:pt>
                <c:pt idx="147">
                  <c:v>2018-03</c:v>
                </c:pt>
                <c:pt idx="148">
                  <c:v>2018-04</c:v>
                </c:pt>
                <c:pt idx="149">
                  <c:v>2018-05</c:v>
                </c:pt>
                <c:pt idx="150">
                  <c:v>2018-06</c:v>
                </c:pt>
                <c:pt idx="151">
                  <c:v>2018-07</c:v>
                </c:pt>
                <c:pt idx="152">
                  <c:v>2018-08</c:v>
                </c:pt>
                <c:pt idx="153">
                  <c:v>2018-09</c:v>
                </c:pt>
                <c:pt idx="154">
                  <c:v>2018-10</c:v>
                </c:pt>
                <c:pt idx="155">
                  <c:v>2018-11</c:v>
                </c:pt>
                <c:pt idx="156">
                  <c:v>2018-12</c:v>
                </c:pt>
                <c:pt idx="157">
                  <c:v>2019-01</c:v>
                </c:pt>
                <c:pt idx="158">
                  <c:v>2019-02</c:v>
                </c:pt>
                <c:pt idx="159">
                  <c:v>2019-03</c:v>
                </c:pt>
                <c:pt idx="160">
                  <c:v>2019-04</c:v>
                </c:pt>
                <c:pt idx="161">
                  <c:v>2019-05</c:v>
                </c:pt>
                <c:pt idx="162">
                  <c:v>2019-06</c:v>
                </c:pt>
                <c:pt idx="163">
                  <c:v>2019-07</c:v>
                </c:pt>
                <c:pt idx="164">
                  <c:v>2019-08</c:v>
                </c:pt>
                <c:pt idx="165">
                  <c:v>2019-09</c:v>
                </c:pt>
                <c:pt idx="166">
                  <c:v>2019-10</c:v>
                </c:pt>
                <c:pt idx="167">
                  <c:v>2019-11</c:v>
                </c:pt>
                <c:pt idx="168">
                  <c:v>2019-12</c:v>
                </c:pt>
                <c:pt idx="169">
                  <c:v>2020-01</c:v>
                </c:pt>
                <c:pt idx="170">
                  <c:v>2020-02</c:v>
                </c:pt>
                <c:pt idx="171">
                  <c:v>2020-03</c:v>
                </c:pt>
                <c:pt idx="172">
                  <c:v>2020-04</c:v>
                </c:pt>
                <c:pt idx="173">
                  <c:v>2020-05</c:v>
                </c:pt>
                <c:pt idx="174">
                  <c:v>2020-06</c:v>
                </c:pt>
                <c:pt idx="175">
                  <c:v>2020-07</c:v>
                </c:pt>
                <c:pt idx="176">
                  <c:v>2020-08</c:v>
                </c:pt>
                <c:pt idx="177">
                  <c:v>2020-09</c:v>
                </c:pt>
                <c:pt idx="178">
                  <c:v>2020-10</c:v>
                </c:pt>
                <c:pt idx="179">
                  <c:v>2020-11</c:v>
                </c:pt>
                <c:pt idx="180">
                  <c:v>2020-12</c:v>
                </c:pt>
                <c:pt idx="181">
                  <c:v>2021-01</c:v>
                </c:pt>
                <c:pt idx="182">
                  <c:v>2021-02</c:v>
                </c:pt>
                <c:pt idx="183">
                  <c:v>2021-03</c:v>
                </c:pt>
                <c:pt idx="184">
                  <c:v>2021-04</c:v>
                </c:pt>
                <c:pt idx="185">
                  <c:v>2021-05</c:v>
                </c:pt>
                <c:pt idx="186">
                  <c:v>2021-06</c:v>
                </c:pt>
                <c:pt idx="187">
                  <c:v>2021-07</c:v>
                </c:pt>
                <c:pt idx="188">
                  <c:v>2021-08</c:v>
                </c:pt>
                <c:pt idx="189">
                  <c:v>2021-09</c:v>
                </c:pt>
                <c:pt idx="190">
                  <c:v>2021-10</c:v>
                </c:pt>
                <c:pt idx="191">
                  <c:v>2021-11</c:v>
                </c:pt>
                <c:pt idx="192">
                  <c:v>2021-12</c:v>
                </c:pt>
              </c:strCache>
            </c:strRef>
          </c:cat>
          <c:val>
            <c:numRef>
              <c:f>Sheet1!$M$2:$M$194</c:f>
              <c:numCache>
                <c:formatCode>General</c:formatCode>
                <c:ptCount val="193"/>
                <c:pt idx="0">
                  <c:v>102.4616</c:v>
                </c:pt>
                <c:pt idx="1">
                  <c:v>106.2413</c:v>
                </c:pt>
                <c:pt idx="2">
                  <c:v>107.9</c:v>
                </c:pt>
                <c:pt idx="3">
                  <c:v>111.5206</c:v>
                </c:pt>
                <c:pt idx="4">
                  <c:v>111.44070000000001</c:v>
                </c:pt>
                <c:pt idx="5">
                  <c:v>104.3079</c:v>
                </c:pt>
                <c:pt idx="6">
                  <c:v>103.8365</c:v>
                </c:pt>
                <c:pt idx="7">
                  <c:v>107.44110000000001</c:v>
                </c:pt>
                <c:pt idx="8">
                  <c:v>90</c:v>
                </c:pt>
                <c:pt idx="9">
                  <c:v>101.2137</c:v>
                </c:pt>
                <c:pt idx="10">
                  <c:v>105.2189</c:v>
                </c:pt>
                <c:pt idx="11">
                  <c:v>95</c:v>
                </c:pt>
                <c:pt idx="12">
                  <c:v>106.2</c:v>
                </c:pt>
                <c:pt idx="13">
                  <c:v>109.6</c:v>
                </c:pt>
                <c:pt idx="14">
                  <c:v>111.4</c:v>
                </c:pt>
                <c:pt idx="15">
                  <c:v>115.5</c:v>
                </c:pt>
                <c:pt idx="16">
                  <c:v>115.3052</c:v>
                </c:pt>
                <c:pt idx="17">
                  <c:v>123.94</c:v>
                </c:pt>
                <c:pt idx="18">
                  <c:v>121.4742</c:v>
                </c:pt>
                <c:pt idx="19">
                  <c:v>120.79130000000001</c:v>
                </c:pt>
                <c:pt idx="20">
                  <c:v>111.0549</c:v>
                </c:pt>
                <c:pt idx="21">
                  <c:v>115.7193</c:v>
                </c:pt>
                <c:pt idx="22">
                  <c:v>115.315</c:v>
                </c:pt>
                <c:pt idx="23">
                  <c:v>110.492</c:v>
                </c:pt>
                <c:pt idx="24">
                  <c:v>112.46080000000001</c:v>
                </c:pt>
                <c:pt idx="25">
                  <c:v>103.0972</c:v>
                </c:pt>
                <c:pt idx="26">
                  <c:v>97.403999999999996</c:v>
                </c:pt>
                <c:pt idx="27">
                  <c:v>88.567499999999995</c:v>
                </c:pt>
                <c:pt idx="28">
                  <c:v>87.441699999999997</c:v>
                </c:pt>
                <c:pt idx="29">
                  <c:v>89.759699999999995</c:v>
                </c:pt>
                <c:pt idx="30">
                  <c:v>84.7273</c:v>
                </c:pt>
                <c:pt idx="31">
                  <c:v>79.008399999999995</c:v>
                </c:pt>
                <c:pt idx="32">
                  <c:v>86.168400000000005</c:v>
                </c:pt>
                <c:pt idx="33">
                  <c:v>92.205799999999996</c:v>
                </c:pt>
                <c:pt idx="34">
                  <c:v>82.028999999999996</c:v>
                </c:pt>
                <c:pt idx="35">
                  <c:v>85.535399999999996</c:v>
                </c:pt>
                <c:pt idx="36">
                  <c:v>91.970500000000001</c:v>
                </c:pt>
                <c:pt idx="37">
                  <c:v>89.9208</c:v>
                </c:pt>
                <c:pt idx="38">
                  <c:v>85.786799999999999</c:v>
                </c:pt>
                <c:pt idx="39">
                  <c:v>85.582599999999999</c:v>
                </c:pt>
                <c:pt idx="40">
                  <c:v>92.728200000000001</c:v>
                </c:pt>
                <c:pt idx="41">
                  <c:v>88.769000000000005</c:v>
                </c:pt>
                <c:pt idx="42">
                  <c:v>100.0553</c:v>
                </c:pt>
                <c:pt idx="43">
                  <c:v>109.3944</c:v>
                </c:pt>
                <c:pt idx="44">
                  <c:v>113.4295</c:v>
                </c:pt>
                <c:pt idx="45">
                  <c:v>119.3296</c:v>
                </c:pt>
                <c:pt idx="46">
                  <c:v>121.3537</c:v>
                </c:pt>
                <c:pt idx="47">
                  <c:v>118.32040000000001</c:v>
                </c:pt>
                <c:pt idx="48">
                  <c:v>113.7711</c:v>
                </c:pt>
                <c:pt idx="49">
                  <c:v>120.1247</c:v>
                </c:pt>
                <c:pt idx="50">
                  <c:v>117.04389999999999</c:v>
                </c:pt>
                <c:pt idx="51">
                  <c:v>117.2938</c:v>
                </c:pt>
                <c:pt idx="52">
                  <c:v>116.0788</c:v>
                </c:pt>
                <c:pt idx="53">
                  <c:v>107.9631</c:v>
                </c:pt>
                <c:pt idx="54">
                  <c:v>101.8558</c:v>
                </c:pt>
                <c:pt idx="55">
                  <c:v>113.1157</c:v>
                </c:pt>
                <c:pt idx="56">
                  <c:v>119.173</c:v>
                </c:pt>
                <c:pt idx="57">
                  <c:v>113.22490000000001</c:v>
                </c:pt>
                <c:pt idx="58">
                  <c:v>116.9791</c:v>
                </c:pt>
                <c:pt idx="59">
                  <c:v>110.72880000000001</c:v>
                </c:pt>
                <c:pt idx="60">
                  <c:v>110.98439999999999</c:v>
                </c:pt>
                <c:pt idx="61">
                  <c:v>104.6481</c:v>
                </c:pt>
                <c:pt idx="62">
                  <c:v>106.5932</c:v>
                </c:pt>
                <c:pt idx="63">
                  <c:v>104.0526</c:v>
                </c:pt>
                <c:pt idx="64">
                  <c:v>105.3051</c:v>
                </c:pt>
                <c:pt idx="65">
                  <c:v>103.9355</c:v>
                </c:pt>
                <c:pt idx="66">
                  <c:v>101.19759999999999</c:v>
                </c:pt>
                <c:pt idx="67">
                  <c:v>92.848100000000002</c:v>
                </c:pt>
                <c:pt idx="68">
                  <c:v>89.600200000000001</c:v>
                </c:pt>
                <c:pt idx="69">
                  <c:v>96.886499999999998</c:v>
                </c:pt>
                <c:pt idx="70">
                  <c:v>97.247500000000002</c:v>
                </c:pt>
                <c:pt idx="71">
                  <c:v>103.35209999999999</c:v>
                </c:pt>
                <c:pt idx="72">
                  <c:v>94.746099999999998</c:v>
                </c:pt>
                <c:pt idx="73">
                  <c:v>97.063599999999994</c:v>
                </c:pt>
                <c:pt idx="74">
                  <c:v>101.0919</c:v>
                </c:pt>
                <c:pt idx="75">
                  <c:v>96.072500000000005</c:v>
                </c:pt>
                <c:pt idx="76">
                  <c:v>94.540400000000005</c:v>
                </c:pt>
                <c:pt idx="77">
                  <c:v>95.2774</c:v>
                </c:pt>
                <c:pt idx="78">
                  <c:v>95.564899999999994</c:v>
                </c:pt>
                <c:pt idx="79">
                  <c:v>99.131500000000003</c:v>
                </c:pt>
                <c:pt idx="80">
                  <c:v>96.615899999999996</c:v>
                </c:pt>
                <c:pt idx="81">
                  <c:v>98.189099999999996</c:v>
                </c:pt>
                <c:pt idx="82">
                  <c:v>99.162300000000002</c:v>
                </c:pt>
                <c:pt idx="83">
                  <c:v>104.2808</c:v>
                </c:pt>
                <c:pt idx="84">
                  <c:v>100.0333</c:v>
                </c:pt>
                <c:pt idx="85">
                  <c:v>100.6234</c:v>
                </c:pt>
                <c:pt idx="86">
                  <c:v>108.3259</c:v>
                </c:pt>
                <c:pt idx="87">
                  <c:v>110.5376</c:v>
                </c:pt>
                <c:pt idx="88">
                  <c:v>104.9242</c:v>
                </c:pt>
                <c:pt idx="89">
                  <c:v>97.590699999999998</c:v>
                </c:pt>
                <c:pt idx="90">
                  <c:v>102.1825</c:v>
                </c:pt>
                <c:pt idx="91">
                  <c:v>102.1331</c:v>
                </c:pt>
                <c:pt idx="92">
                  <c:v>105.6844</c:v>
                </c:pt>
                <c:pt idx="93">
                  <c:v>110.634</c:v>
                </c:pt>
                <c:pt idx="94">
                  <c:v>108.3232</c:v>
                </c:pt>
                <c:pt idx="95">
                  <c:v>110.3477</c:v>
                </c:pt>
                <c:pt idx="96">
                  <c:v>105.0275</c:v>
                </c:pt>
                <c:pt idx="97">
                  <c:v>103.29340000000001</c:v>
                </c:pt>
                <c:pt idx="98">
                  <c:v>100.15130000000001</c:v>
                </c:pt>
                <c:pt idx="99">
                  <c:v>99.457700000000003</c:v>
                </c:pt>
                <c:pt idx="100">
                  <c:v>99.734399999999994</c:v>
                </c:pt>
                <c:pt idx="101">
                  <c:v>92.942800000000005</c:v>
                </c:pt>
                <c:pt idx="102">
                  <c:v>93.168599999999998</c:v>
                </c:pt>
                <c:pt idx="103">
                  <c:v>94.9054</c:v>
                </c:pt>
                <c:pt idx="104">
                  <c:v>98.468699999999998</c:v>
                </c:pt>
                <c:pt idx="105">
                  <c:v>93.971299999999999</c:v>
                </c:pt>
                <c:pt idx="106">
                  <c:v>94.811899999999994</c:v>
                </c:pt>
                <c:pt idx="107">
                  <c:v>96.572900000000004</c:v>
                </c:pt>
                <c:pt idx="108">
                  <c:v>91.062200000000004</c:v>
                </c:pt>
                <c:pt idx="109">
                  <c:v>93.232399999999998</c:v>
                </c:pt>
                <c:pt idx="110">
                  <c:v>100.7252</c:v>
                </c:pt>
                <c:pt idx="111">
                  <c:v>99.471599999999995</c:v>
                </c:pt>
                <c:pt idx="112">
                  <c:v>96.248900000000006</c:v>
                </c:pt>
                <c:pt idx="113">
                  <c:v>102.3693</c:v>
                </c:pt>
                <c:pt idx="114">
                  <c:v>95.320300000000003</c:v>
                </c:pt>
                <c:pt idx="115">
                  <c:v>92.247699999999995</c:v>
                </c:pt>
                <c:pt idx="116">
                  <c:v>99.457800000000006</c:v>
                </c:pt>
                <c:pt idx="117">
                  <c:v>93.868099999999998</c:v>
                </c:pt>
                <c:pt idx="118">
                  <c:v>97.822900000000004</c:v>
                </c:pt>
                <c:pt idx="119">
                  <c:v>101.6557</c:v>
                </c:pt>
                <c:pt idx="120">
                  <c:v>100.84050000000001</c:v>
                </c:pt>
                <c:pt idx="121">
                  <c:v>97.278000000000006</c:v>
                </c:pt>
                <c:pt idx="122">
                  <c:v>101.3229</c:v>
                </c:pt>
                <c:pt idx="123">
                  <c:v>99.118399999999994</c:v>
                </c:pt>
                <c:pt idx="124">
                  <c:v>95.142499999999998</c:v>
                </c:pt>
                <c:pt idx="125">
                  <c:v>103.1841</c:v>
                </c:pt>
                <c:pt idx="126">
                  <c:v>102.1652</c:v>
                </c:pt>
                <c:pt idx="127">
                  <c:v>99.104900000000001</c:v>
                </c:pt>
                <c:pt idx="128">
                  <c:v>101.04470000000001</c:v>
                </c:pt>
                <c:pt idx="129">
                  <c:v>101.3579</c:v>
                </c:pt>
                <c:pt idx="130">
                  <c:v>102.4234</c:v>
                </c:pt>
                <c:pt idx="131">
                  <c:v>101.26819999999999</c:v>
                </c:pt>
                <c:pt idx="132">
                  <c:v>97.335099999999997</c:v>
                </c:pt>
                <c:pt idx="133">
                  <c:v>97.424700000000001</c:v>
                </c:pt>
                <c:pt idx="134">
                  <c:v>99.636200000000002</c:v>
                </c:pt>
                <c:pt idx="135">
                  <c:v>99.710800000000006</c:v>
                </c:pt>
                <c:pt idx="136">
                  <c:v>99.036500000000004</c:v>
                </c:pt>
                <c:pt idx="137">
                  <c:v>97.991399999999999</c:v>
                </c:pt>
                <c:pt idx="138">
                  <c:v>96.233699999999999</c:v>
                </c:pt>
                <c:pt idx="139">
                  <c:v>96.596000000000004</c:v>
                </c:pt>
                <c:pt idx="140">
                  <c:v>95.453999999999994</c:v>
                </c:pt>
                <c:pt idx="141">
                  <c:v>97.867500000000007</c:v>
                </c:pt>
                <c:pt idx="142">
                  <c:v>101.35129999999999</c:v>
                </c:pt>
                <c:pt idx="143">
                  <c:v>99.676500000000004</c:v>
                </c:pt>
                <c:pt idx="144">
                  <c:v>103.2748</c:v>
                </c:pt>
                <c:pt idx="145">
                  <c:v>105.131</c:v>
                </c:pt>
                <c:pt idx="146">
                  <c:v>102.7452</c:v>
                </c:pt>
                <c:pt idx="147">
                  <c:v>102.9567</c:v>
                </c:pt>
                <c:pt idx="148">
                  <c:v>102.38160000000001</c:v>
                </c:pt>
                <c:pt idx="149">
                  <c:v>101.7782</c:v>
                </c:pt>
                <c:pt idx="150">
                  <c:v>102.1306</c:v>
                </c:pt>
                <c:pt idx="151">
                  <c:v>106.0634</c:v>
                </c:pt>
                <c:pt idx="152">
                  <c:v>103.6326</c:v>
                </c:pt>
                <c:pt idx="153">
                  <c:v>100.5153</c:v>
                </c:pt>
                <c:pt idx="154">
                  <c:v>101.49160000000001</c:v>
                </c:pt>
                <c:pt idx="155">
                  <c:v>104.3417</c:v>
                </c:pt>
                <c:pt idx="156">
                  <c:v>104.4335</c:v>
                </c:pt>
                <c:pt idx="157">
                  <c:v>99.561300000000003</c:v>
                </c:pt>
                <c:pt idx="158">
                  <c:v>103.79649999999999</c:v>
                </c:pt>
                <c:pt idx="159">
                  <c:v>98.822999999999993</c:v>
                </c:pt>
                <c:pt idx="160">
                  <c:v>100.6528</c:v>
                </c:pt>
                <c:pt idx="161">
                  <c:v>101.2701</c:v>
                </c:pt>
                <c:pt idx="162">
                  <c:v>100.6579</c:v>
                </c:pt>
                <c:pt idx="163">
                  <c:v>96.510300000000001</c:v>
                </c:pt>
                <c:pt idx="164">
                  <c:v>99.956999999999994</c:v>
                </c:pt>
                <c:pt idx="165">
                  <c:v>98.235299999999995</c:v>
                </c:pt>
                <c:pt idx="166">
                  <c:v>92.793599999999998</c:v>
                </c:pt>
                <c:pt idx="167">
                  <c:v>97.000500000000002</c:v>
                </c:pt>
                <c:pt idx="168">
                  <c:v>95.130600000000001</c:v>
                </c:pt>
                <c:pt idx="169">
                  <c:v>93.383099999999999</c:v>
                </c:pt>
                <c:pt idx="170">
                  <c:v>95.5244</c:v>
                </c:pt>
                <c:pt idx="171">
                  <c:v>91.941500000000005</c:v>
                </c:pt>
                <c:pt idx="172">
                  <c:v>75.643799999999999</c:v>
                </c:pt>
                <c:pt idx="173">
                  <c:v>88.064099999999996</c:v>
                </c:pt>
                <c:pt idx="174">
                  <c:v>93.651600000000002</c:v>
                </c:pt>
                <c:pt idx="175">
                  <c:v>87.921599999999998</c:v>
                </c:pt>
                <c:pt idx="176">
                  <c:v>79.531700000000001</c:v>
                </c:pt>
                <c:pt idx="177">
                  <c:v>93.846699999999998</c:v>
                </c:pt>
                <c:pt idx="178">
                  <c:v>105.02119999999999</c:v>
                </c:pt>
                <c:pt idx="179">
                  <c:v>107.66500000000001</c:v>
                </c:pt>
                <c:pt idx="180">
                  <c:v>112.0385</c:v>
                </c:pt>
                <c:pt idx="181">
                  <c:v>106.9859</c:v>
                </c:pt>
                <c:pt idx="182">
                  <c:v>109.0603</c:v>
                </c:pt>
                <c:pt idx="183">
                  <c:v>111.8429</c:v>
                </c:pt>
                <c:pt idx="184">
                  <c:v>118.7773</c:v>
                </c:pt>
                <c:pt idx="185">
                  <c:v>113.1255</c:v>
                </c:pt>
                <c:pt idx="186">
                  <c:v>107.21259999999999</c:v>
                </c:pt>
                <c:pt idx="187">
                  <c:v>108.84699999999999</c:v>
                </c:pt>
                <c:pt idx="188">
                  <c:v>104.09269999999999</c:v>
                </c:pt>
                <c:pt idx="189">
                  <c:v>106.22499999999999</c:v>
                </c:pt>
                <c:pt idx="190">
                  <c:v>104.642</c:v>
                </c:pt>
                <c:pt idx="191">
                  <c:v>105.3</c:v>
                </c:pt>
                <c:pt idx="192">
                  <c:v>104.2771</c:v>
                </c:pt>
              </c:numCache>
            </c:numRef>
          </c:val>
          <c:smooth val="0"/>
          <c:extLst>
            <c:ext xmlns:c16="http://schemas.microsoft.com/office/drawing/2014/chart" uri="{C3380CC4-5D6E-409C-BE32-E72D297353CC}">
              <c16:uniqueId val="{00000000-C40B-B04E-9415-6368CF3B2852}"/>
            </c:ext>
          </c:extLst>
        </c:ser>
        <c:ser>
          <c:idx val="1"/>
          <c:order val="1"/>
          <c:tx>
            <c:strRef>
              <c:f>Sheet1!$N$1</c:f>
              <c:strCache>
                <c:ptCount val="1"/>
                <c:pt idx="0">
                  <c:v>AR Index</c:v>
                </c:pt>
              </c:strCache>
            </c:strRef>
          </c:tx>
          <c:spPr>
            <a:ln w="19050" cap="rnd">
              <a:solidFill>
                <a:schemeClr val="accent2"/>
              </a:solidFill>
              <a:round/>
            </a:ln>
            <a:effectLst/>
          </c:spPr>
          <c:marker>
            <c:symbol val="none"/>
          </c:marker>
          <c:cat>
            <c:strRef>
              <c:f>Sheet1!$L$2:$L$194</c:f>
              <c:strCache>
                <c:ptCount val="193"/>
                <c:pt idx="0">
                  <c:v>2005-12</c:v>
                </c:pt>
                <c:pt idx="1">
                  <c:v>2006-01</c:v>
                </c:pt>
                <c:pt idx="2">
                  <c:v>2006-02</c:v>
                </c:pt>
                <c:pt idx="3">
                  <c:v>2006-03</c:v>
                </c:pt>
                <c:pt idx="4">
                  <c:v>2006-04</c:v>
                </c:pt>
                <c:pt idx="5">
                  <c:v>2006-05</c:v>
                </c:pt>
                <c:pt idx="6">
                  <c:v>2006-06</c:v>
                </c:pt>
                <c:pt idx="7">
                  <c:v>2006-07</c:v>
                </c:pt>
                <c:pt idx="8">
                  <c:v>2006-08</c:v>
                </c:pt>
                <c:pt idx="9">
                  <c:v>2006-09</c:v>
                </c:pt>
                <c:pt idx="10">
                  <c:v>2006-10</c:v>
                </c:pt>
                <c:pt idx="11">
                  <c:v>2006-11</c:v>
                </c:pt>
                <c:pt idx="12">
                  <c:v>2006-12</c:v>
                </c:pt>
                <c:pt idx="13">
                  <c:v>2007-01</c:v>
                </c:pt>
                <c:pt idx="14">
                  <c:v>2007-02</c:v>
                </c:pt>
                <c:pt idx="15">
                  <c:v>2007-03</c:v>
                </c:pt>
                <c:pt idx="16">
                  <c:v>2007-04</c:v>
                </c:pt>
                <c:pt idx="17">
                  <c:v>2007-05</c:v>
                </c:pt>
                <c:pt idx="18">
                  <c:v>2007-06</c:v>
                </c:pt>
                <c:pt idx="19">
                  <c:v>2007-07</c:v>
                </c:pt>
                <c:pt idx="20">
                  <c:v>2007-08</c:v>
                </c:pt>
                <c:pt idx="21">
                  <c:v>2007-09</c:v>
                </c:pt>
                <c:pt idx="22">
                  <c:v>2007-10</c:v>
                </c:pt>
                <c:pt idx="23">
                  <c:v>2007-11</c:v>
                </c:pt>
                <c:pt idx="24">
                  <c:v>2007-12</c:v>
                </c:pt>
                <c:pt idx="25">
                  <c:v>2008-01</c:v>
                </c:pt>
                <c:pt idx="26">
                  <c:v>2008-02</c:v>
                </c:pt>
                <c:pt idx="27">
                  <c:v>2008-03</c:v>
                </c:pt>
                <c:pt idx="28">
                  <c:v>2008-04</c:v>
                </c:pt>
                <c:pt idx="29">
                  <c:v>2008-05</c:v>
                </c:pt>
                <c:pt idx="30">
                  <c:v>2008-06</c:v>
                </c:pt>
                <c:pt idx="31">
                  <c:v>2008-07</c:v>
                </c:pt>
                <c:pt idx="32">
                  <c:v>2008-08</c:v>
                </c:pt>
                <c:pt idx="33">
                  <c:v>2008-09</c:v>
                </c:pt>
                <c:pt idx="34">
                  <c:v>2008-10</c:v>
                </c:pt>
                <c:pt idx="35">
                  <c:v>2008-11</c:v>
                </c:pt>
                <c:pt idx="36">
                  <c:v>2008-12</c:v>
                </c:pt>
                <c:pt idx="37">
                  <c:v>2009-01</c:v>
                </c:pt>
                <c:pt idx="38">
                  <c:v>2009-02</c:v>
                </c:pt>
                <c:pt idx="39">
                  <c:v>2009-03</c:v>
                </c:pt>
                <c:pt idx="40">
                  <c:v>2009-04</c:v>
                </c:pt>
                <c:pt idx="41">
                  <c:v>2009-05</c:v>
                </c:pt>
                <c:pt idx="42">
                  <c:v>2009-06</c:v>
                </c:pt>
                <c:pt idx="43">
                  <c:v>2009-07</c:v>
                </c:pt>
                <c:pt idx="44">
                  <c:v>2009-08</c:v>
                </c:pt>
                <c:pt idx="45">
                  <c:v>2009-09</c:v>
                </c:pt>
                <c:pt idx="46">
                  <c:v>2009-10</c:v>
                </c:pt>
                <c:pt idx="47">
                  <c:v>2009-11</c:v>
                </c:pt>
                <c:pt idx="48">
                  <c:v>2009-12</c:v>
                </c:pt>
                <c:pt idx="49">
                  <c:v>2010-01</c:v>
                </c:pt>
                <c:pt idx="50">
                  <c:v>2010-02</c:v>
                </c:pt>
                <c:pt idx="51">
                  <c:v>2010-03</c:v>
                </c:pt>
                <c:pt idx="52">
                  <c:v>2010-04</c:v>
                </c:pt>
                <c:pt idx="53">
                  <c:v>2010-05</c:v>
                </c:pt>
                <c:pt idx="54">
                  <c:v>2010-06</c:v>
                </c:pt>
                <c:pt idx="55">
                  <c:v>2010-07</c:v>
                </c:pt>
                <c:pt idx="56">
                  <c:v>2010-08</c:v>
                </c:pt>
                <c:pt idx="57">
                  <c:v>2010-09</c:v>
                </c:pt>
                <c:pt idx="58">
                  <c:v>2010-10</c:v>
                </c:pt>
                <c:pt idx="59">
                  <c:v>2010-11</c:v>
                </c:pt>
                <c:pt idx="60">
                  <c:v>2010-12</c:v>
                </c:pt>
                <c:pt idx="61">
                  <c:v>2011-01</c:v>
                </c:pt>
                <c:pt idx="62">
                  <c:v>2011-02</c:v>
                </c:pt>
                <c:pt idx="63">
                  <c:v>2011-03</c:v>
                </c:pt>
                <c:pt idx="64">
                  <c:v>2011-04</c:v>
                </c:pt>
                <c:pt idx="65">
                  <c:v>2011-05</c:v>
                </c:pt>
                <c:pt idx="66">
                  <c:v>2011-06</c:v>
                </c:pt>
                <c:pt idx="67">
                  <c:v>2011-07</c:v>
                </c:pt>
                <c:pt idx="68">
                  <c:v>2011-08</c:v>
                </c:pt>
                <c:pt idx="69">
                  <c:v>2011-09</c:v>
                </c:pt>
                <c:pt idx="70">
                  <c:v>2011-10</c:v>
                </c:pt>
                <c:pt idx="71">
                  <c:v>2011-11</c:v>
                </c:pt>
                <c:pt idx="72">
                  <c:v>2011-12</c:v>
                </c:pt>
                <c:pt idx="73">
                  <c:v>2012-01</c:v>
                </c:pt>
                <c:pt idx="74">
                  <c:v>2012-02</c:v>
                </c:pt>
                <c:pt idx="75">
                  <c:v>2012-03</c:v>
                </c:pt>
                <c:pt idx="76">
                  <c:v>2012-04</c:v>
                </c:pt>
                <c:pt idx="77">
                  <c:v>2012-05</c:v>
                </c:pt>
                <c:pt idx="78">
                  <c:v>2012-06</c:v>
                </c:pt>
                <c:pt idx="79">
                  <c:v>2012-07</c:v>
                </c:pt>
                <c:pt idx="80">
                  <c:v>2012-08</c:v>
                </c:pt>
                <c:pt idx="81">
                  <c:v>2012-09</c:v>
                </c:pt>
                <c:pt idx="82">
                  <c:v>2012-10</c:v>
                </c:pt>
                <c:pt idx="83">
                  <c:v>2012-11</c:v>
                </c:pt>
                <c:pt idx="84">
                  <c:v>2012-12</c:v>
                </c:pt>
                <c:pt idx="85">
                  <c:v>2013-01</c:v>
                </c:pt>
                <c:pt idx="86">
                  <c:v>2013-02</c:v>
                </c:pt>
                <c:pt idx="87">
                  <c:v>2013-03</c:v>
                </c:pt>
                <c:pt idx="88">
                  <c:v>2013-04</c:v>
                </c:pt>
                <c:pt idx="89">
                  <c:v>2013-05</c:v>
                </c:pt>
                <c:pt idx="90">
                  <c:v>2013-06</c:v>
                </c:pt>
                <c:pt idx="91">
                  <c:v>2013-07</c:v>
                </c:pt>
                <c:pt idx="92">
                  <c:v>2013-08</c:v>
                </c:pt>
                <c:pt idx="93">
                  <c:v>2013-09</c:v>
                </c:pt>
                <c:pt idx="94">
                  <c:v>2013-10</c:v>
                </c:pt>
                <c:pt idx="95">
                  <c:v>2013-11</c:v>
                </c:pt>
                <c:pt idx="96">
                  <c:v>2013-12</c:v>
                </c:pt>
                <c:pt idx="97">
                  <c:v>2014-01</c:v>
                </c:pt>
                <c:pt idx="98">
                  <c:v>2014-02</c:v>
                </c:pt>
                <c:pt idx="99">
                  <c:v>2014-03</c:v>
                </c:pt>
                <c:pt idx="100">
                  <c:v>2014-04</c:v>
                </c:pt>
                <c:pt idx="101">
                  <c:v>2014-05</c:v>
                </c:pt>
                <c:pt idx="102">
                  <c:v>2014-06</c:v>
                </c:pt>
                <c:pt idx="103">
                  <c:v>2014-07</c:v>
                </c:pt>
                <c:pt idx="104">
                  <c:v>2014-08</c:v>
                </c:pt>
                <c:pt idx="105">
                  <c:v>2014-09</c:v>
                </c:pt>
                <c:pt idx="106">
                  <c:v>2014-10</c:v>
                </c:pt>
                <c:pt idx="107">
                  <c:v>2014-11</c:v>
                </c:pt>
                <c:pt idx="108">
                  <c:v>2014-12</c:v>
                </c:pt>
                <c:pt idx="109">
                  <c:v>2015-01</c:v>
                </c:pt>
                <c:pt idx="110">
                  <c:v>2015-02</c:v>
                </c:pt>
                <c:pt idx="111">
                  <c:v>2015-03</c:v>
                </c:pt>
                <c:pt idx="112">
                  <c:v>2015-04</c:v>
                </c:pt>
                <c:pt idx="113">
                  <c:v>2015-05</c:v>
                </c:pt>
                <c:pt idx="114">
                  <c:v>2015-06</c:v>
                </c:pt>
                <c:pt idx="115">
                  <c:v>2015-07</c:v>
                </c:pt>
                <c:pt idx="116">
                  <c:v>2015-08</c:v>
                </c:pt>
                <c:pt idx="117">
                  <c:v>2015-09</c:v>
                </c:pt>
                <c:pt idx="118">
                  <c:v>2015-10</c:v>
                </c:pt>
                <c:pt idx="119">
                  <c:v>2015-11</c:v>
                </c:pt>
                <c:pt idx="120">
                  <c:v>2015-12</c:v>
                </c:pt>
                <c:pt idx="121">
                  <c:v>2016-01</c:v>
                </c:pt>
                <c:pt idx="122">
                  <c:v>2016-02</c:v>
                </c:pt>
                <c:pt idx="123">
                  <c:v>2016-03</c:v>
                </c:pt>
                <c:pt idx="124">
                  <c:v>2016-04</c:v>
                </c:pt>
                <c:pt idx="125">
                  <c:v>2016-05</c:v>
                </c:pt>
                <c:pt idx="126">
                  <c:v>2016-06</c:v>
                </c:pt>
                <c:pt idx="127">
                  <c:v>2016-07</c:v>
                </c:pt>
                <c:pt idx="128">
                  <c:v>2016-08</c:v>
                </c:pt>
                <c:pt idx="129">
                  <c:v>2016-09</c:v>
                </c:pt>
                <c:pt idx="130">
                  <c:v>2016-10</c:v>
                </c:pt>
                <c:pt idx="131">
                  <c:v>2016-11</c:v>
                </c:pt>
                <c:pt idx="132">
                  <c:v>2016-12</c:v>
                </c:pt>
                <c:pt idx="133">
                  <c:v>2017-01</c:v>
                </c:pt>
                <c:pt idx="134">
                  <c:v>2017-02</c:v>
                </c:pt>
                <c:pt idx="135">
                  <c:v>2017-03</c:v>
                </c:pt>
                <c:pt idx="136">
                  <c:v>2017-04</c:v>
                </c:pt>
                <c:pt idx="137">
                  <c:v>2017-05</c:v>
                </c:pt>
                <c:pt idx="138">
                  <c:v>2017-06</c:v>
                </c:pt>
                <c:pt idx="139">
                  <c:v>2017-07</c:v>
                </c:pt>
                <c:pt idx="140">
                  <c:v>2017-08</c:v>
                </c:pt>
                <c:pt idx="141">
                  <c:v>2017-09</c:v>
                </c:pt>
                <c:pt idx="142">
                  <c:v>2017-10</c:v>
                </c:pt>
                <c:pt idx="143">
                  <c:v>2017-11</c:v>
                </c:pt>
                <c:pt idx="144">
                  <c:v>2017-12</c:v>
                </c:pt>
                <c:pt idx="145">
                  <c:v>2018-01</c:v>
                </c:pt>
                <c:pt idx="146">
                  <c:v>2018-02</c:v>
                </c:pt>
                <c:pt idx="147">
                  <c:v>2018-03</c:v>
                </c:pt>
                <c:pt idx="148">
                  <c:v>2018-04</c:v>
                </c:pt>
                <c:pt idx="149">
                  <c:v>2018-05</c:v>
                </c:pt>
                <c:pt idx="150">
                  <c:v>2018-06</c:v>
                </c:pt>
                <c:pt idx="151">
                  <c:v>2018-07</c:v>
                </c:pt>
                <c:pt idx="152">
                  <c:v>2018-08</c:v>
                </c:pt>
                <c:pt idx="153">
                  <c:v>2018-09</c:v>
                </c:pt>
                <c:pt idx="154">
                  <c:v>2018-10</c:v>
                </c:pt>
                <c:pt idx="155">
                  <c:v>2018-11</c:v>
                </c:pt>
                <c:pt idx="156">
                  <c:v>2018-12</c:v>
                </c:pt>
                <c:pt idx="157">
                  <c:v>2019-01</c:v>
                </c:pt>
                <c:pt idx="158">
                  <c:v>2019-02</c:v>
                </c:pt>
                <c:pt idx="159">
                  <c:v>2019-03</c:v>
                </c:pt>
                <c:pt idx="160">
                  <c:v>2019-04</c:v>
                </c:pt>
                <c:pt idx="161">
                  <c:v>2019-05</c:v>
                </c:pt>
                <c:pt idx="162">
                  <c:v>2019-06</c:v>
                </c:pt>
                <c:pt idx="163">
                  <c:v>2019-07</c:v>
                </c:pt>
                <c:pt idx="164">
                  <c:v>2019-08</c:v>
                </c:pt>
                <c:pt idx="165">
                  <c:v>2019-09</c:v>
                </c:pt>
                <c:pt idx="166">
                  <c:v>2019-10</c:v>
                </c:pt>
                <c:pt idx="167">
                  <c:v>2019-11</c:v>
                </c:pt>
                <c:pt idx="168">
                  <c:v>2019-12</c:v>
                </c:pt>
                <c:pt idx="169">
                  <c:v>2020-01</c:v>
                </c:pt>
                <c:pt idx="170">
                  <c:v>2020-02</c:v>
                </c:pt>
                <c:pt idx="171">
                  <c:v>2020-03</c:v>
                </c:pt>
                <c:pt idx="172">
                  <c:v>2020-04</c:v>
                </c:pt>
                <c:pt idx="173">
                  <c:v>2020-05</c:v>
                </c:pt>
                <c:pt idx="174">
                  <c:v>2020-06</c:v>
                </c:pt>
                <c:pt idx="175">
                  <c:v>2020-07</c:v>
                </c:pt>
                <c:pt idx="176">
                  <c:v>2020-08</c:v>
                </c:pt>
                <c:pt idx="177">
                  <c:v>2020-09</c:v>
                </c:pt>
                <c:pt idx="178">
                  <c:v>2020-10</c:v>
                </c:pt>
                <c:pt idx="179">
                  <c:v>2020-11</c:v>
                </c:pt>
                <c:pt idx="180">
                  <c:v>2020-12</c:v>
                </c:pt>
                <c:pt idx="181">
                  <c:v>2021-01</c:v>
                </c:pt>
                <c:pt idx="182">
                  <c:v>2021-02</c:v>
                </c:pt>
                <c:pt idx="183">
                  <c:v>2021-03</c:v>
                </c:pt>
                <c:pt idx="184">
                  <c:v>2021-04</c:v>
                </c:pt>
                <c:pt idx="185">
                  <c:v>2021-05</c:v>
                </c:pt>
                <c:pt idx="186">
                  <c:v>2021-06</c:v>
                </c:pt>
                <c:pt idx="187">
                  <c:v>2021-07</c:v>
                </c:pt>
                <c:pt idx="188">
                  <c:v>2021-08</c:v>
                </c:pt>
                <c:pt idx="189">
                  <c:v>2021-09</c:v>
                </c:pt>
                <c:pt idx="190">
                  <c:v>2021-10</c:v>
                </c:pt>
                <c:pt idx="191">
                  <c:v>2021-11</c:v>
                </c:pt>
                <c:pt idx="192">
                  <c:v>2021-12</c:v>
                </c:pt>
              </c:strCache>
            </c:strRef>
          </c:cat>
          <c:val>
            <c:numRef>
              <c:f>Sheet1!$N$2:$N$194</c:f>
              <c:numCache>
                <c:formatCode>General</c:formatCode>
                <c:ptCount val="193"/>
                <c:pt idx="0">
                  <c:v>117.7</c:v>
                </c:pt>
                <c:pt idx="1">
                  <c:v>124.3</c:v>
                </c:pt>
                <c:pt idx="2">
                  <c:v>124.5</c:v>
                </c:pt>
                <c:pt idx="3">
                  <c:v>124.4</c:v>
                </c:pt>
                <c:pt idx="4">
                  <c:v>120.1</c:v>
                </c:pt>
                <c:pt idx="5">
                  <c:v>106.8</c:v>
                </c:pt>
                <c:pt idx="6">
                  <c:v>115.1</c:v>
                </c:pt>
                <c:pt idx="7">
                  <c:v>118.1</c:v>
                </c:pt>
                <c:pt idx="8">
                  <c:v>103.7</c:v>
                </c:pt>
                <c:pt idx="9">
                  <c:v>108.6</c:v>
                </c:pt>
                <c:pt idx="10">
                  <c:v>115.8</c:v>
                </c:pt>
                <c:pt idx="11">
                  <c:v>111.5</c:v>
                </c:pt>
                <c:pt idx="12">
                  <c:v>117.4</c:v>
                </c:pt>
                <c:pt idx="13">
                  <c:v>123.9</c:v>
                </c:pt>
                <c:pt idx="14">
                  <c:v>123.8</c:v>
                </c:pt>
                <c:pt idx="15">
                  <c:v>120.7</c:v>
                </c:pt>
                <c:pt idx="16">
                  <c:v>124.3</c:v>
                </c:pt>
                <c:pt idx="17">
                  <c:v>122.5</c:v>
                </c:pt>
                <c:pt idx="18">
                  <c:v>122.3</c:v>
                </c:pt>
                <c:pt idx="19">
                  <c:v>126.8</c:v>
                </c:pt>
                <c:pt idx="20">
                  <c:v>125.2</c:v>
                </c:pt>
                <c:pt idx="21">
                  <c:v>118.2</c:v>
                </c:pt>
                <c:pt idx="22">
                  <c:v>126.2</c:v>
                </c:pt>
                <c:pt idx="23">
                  <c:v>124.9</c:v>
                </c:pt>
                <c:pt idx="24">
                  <c:v>126.8</c:v>
                </c:pt>
                <c:pt idx="25">
                  <c:v>118.6</c:v>
                </c:pt>
                <c:pt idx="26">
                  <c:v>115.8</c:v>
                </c:pt>
                <c:pt idx="27">
                  <c:v>109.5</c:v>
                </c:pt>
                <c:pt idx="28">
                  <c:v>100.1</c:v>
                </c:pt>
                <c:pt idx="29">
                  <c:v>97.1</c:v>
                </c:pt>
                <c:pt idx="30">
                  <c:v>90.7</c:v>
                </c:pt>
                <c:pt idx="31">
                  <c:v>92</c:v>
                </c:pt>
                <c:pt idx="32">
                  <c:v>94.7</c:v>
                </c:pt>
                <c:pt idx="33">
                  <c:v>101.2</c:v>
                </c:pt>
                <c:pt idx="34">
                  <c:v>90.4</c:v>
                </c:pt>
                <c:pt idx="35">
                  <c:v>93.1</c:v>
                </c:pt>
                <c:pt idx="36">
                  <c:v>99.8</c:v>
                </c:pt>
                <c:pt idx="37">
                  <c:v>101.1</c:v>
                </c:pt>
                <c:pt idx="38">
                  <c:v>94.9</c:v>
                </c:pt>
                <c:pt idx="39">
                  <c:v>95.8</c:v>
                </c:pt>
                <c:pt idx="40">
                  <c:v>102</c:v>
                </c:pt>
                <c:pt idx="41">
                  <c:v>101.8</c:v>
                </c:pt>
                <c:pt idx="42">
                  <c:v>109.6</c:v>
                </c:pt>
                <c:pt idx="43">
                  <c:v>114.9</c:v>
                </c:pt>
                <c:pt idx="44">
                  <c:v>121.4</c:v>
                </c:pt>
                <c:pt idx="45">
                  <c:v>122.9</c:v>
                </c:pt>
                <c:pt idx="46">
                  <c:v>127</c:v>
                </c:pt>
                <c:pt idx="47">
                  <c:v>125.9</c:v>
                </c:pt>
                <c:pt idx="48">
                  <c:v>123.2</c:v>
                </c:pt>
                <c:pt idx="49">
                  <c:v>128.69999999999999</c:v>
                </c:pt>
                <c:pt idx="50">
                  <c:v>126.3</c:v>
                </c:pt>
                <c:pt idx="51">
                  <c:v>127.6</c:v>
                </c:pt>
                <c:pt idx="52">
                  <c:v>125.4</c:v>
                </c:pt>
                <c:pt idx="53">
                  <c:v>119.9</c:v>
                </c:pt>
                <c:pt idx="54">
                  <c:v>119.2</c:v>
                </c:pt>
                <c:pt idx="55">
                  <c:v>123.9</c:v>
                </c:pt>
                <c:pt idx="56">
                  <c:v>125.6</c:v>
                </c:pt>
                <c:pt idx="57">
                  <c:v>123.5</c:v>
                </c:pt>
                <c:pt idx="58">
                  <c:v>127.5</c:v>
                </c:pt>
                <c:pt idx="59">
                  <c:v>123.7</c:v>
                </c:pt>
                <c:pt idx="60">
                  <c:v>120.6</c:v>
                </c:pt>
                <c:pt idx="61">
                  <c:v>122.3</c:v>
                </c:pt>
                <c:pt idx="62">
                  <c:v>118.5</c:v>
                </c:pt>
                <c:pt idx="63">
                  <c:v>117</c:v>
                </c:pt>
                <c:pt idx="64">
                  <c:v>119.3</c:v>
                </c:pt>
                <c:pt idx="65">
                  <c:v>117</c:v>
                </c:pt>
                <c:pt idx="66">
                  <c:v>111</c:v>
                </c:pt>
                <c:pt idx="67">
                  <c:v>108.6</c:v>
                </c:pt>
                <c:pt idx="68">
                  <c:v>107.8</c:v>
                </c:pt>
                <c:pt idx="69">
                  <c:v>112</c:v>
                </c:pt>
                <c:pt idx="70">
                  <c:v>111.3</c:v>
                </c:pt>
                <c:pt idx="71">
                  <c:v>114.6</c:v>
                </c:pt>
                <c:pt idx="72">
                  <c:v>111</c:v>
                </c:pt>
                <c:pt idx="73">
                  <c:v>117.5</c:v>
                </c:pt>
                <c:pt idx="74">
                  <c:v>114.9</c:v>
                </c:pt>
                <c:pt idx="75">
                  <c:v>111.6</c:v>
                </c:pt>
                <c:pt idx="76">
                  <c:v>110.7</c:v>
                </c:pt>
                <c:pt idx="77">
                  <c:v>110.6</c:v>
                </c:pt>
                <c:pt idx="78">
                  <c:v>109.7</c:v>
                </c:pt>
                <c:pt idx="79">
                  <c:v>109.8</c:v>
                </c:pt>
                <c:pt idx="80">
                  <c:v>113</c:v>
                </c:pt>
                <c:pt idx="81">
                  <c:v>114.1</c:v>
                </c:pt>
                <c:pt idx="82">
                  <c:v>114.8</c:v>
                </c:pt>
                <c:pt idx="83">
                  <c:v>114.1</c:v>
                </c:pt>
                <c:pt idx="84">
                  <c:v>115.7</c:v>
                </c:pt>
                <c:pt idx="85">
                  <c:v>120.9</c:v>
                </c:pt>
                <c:pt idx="86">
                  <c:v>119.7</c:v>
                </c:pt>
                <c:pt idx="87">
                  <c:v>121</c:v>
                </c:pt>
                <c:pt idx="88">
                  <c:v>121.9</c:v>
                </c:pt>
                <c:pt idx="89">
                  <c:v>115.3</c:v>
                </c:pt>
                <c:pt idx="90">
                  <c:v>114.6</c:v>
                </c:pt>
                <c:pt idx="91">
                  <c:v>116.2</c:v>
                </c:pt>
                <c:pt idx="92">
                  <c:v>115.6</c:v>
                </c:pt>
                <c:pt idx="93">
                  <c:v>122.3</c:v>
                </c:pt>
                <c:pt idx="94">
                  <c:v>121.8</c:v>
                </c:pt>
                <c:pt idx="95">
                  <c:v>121.1</c:v>
                </c:pt>
                <c:pt idx="96">
                  <c:v>116.3</c:v>
                </c:pt>
                <c:pt idx="97">
                  <c:v>116.7</c:v>
                </c:pt>
                <c:pt idx="98">
                  <c:v>113.4</c:v>
                </c:pt>
                <c:pt idx="99">
                  <c:v>112.8</c:v>
                </c:pt>
                <c:pt idx="100">
                  <c:v>113.4</c:v>
                </c:pt>
                <c:pt idx="101">
                  <c:v>102.4</c:v>
                </c:pt>
                <c:pt idx="102">
                  <c:v>103.3</c:v>
                </c:pt>
                <c:pt idx="103">
                  <c:v>109.8</c:v>
                </c:pt>
                <c:pt idx="104">
                  <c:v>112.4</c:v>
                </c:pt>
                <c:pt idx="105">
                  <c:v>112.5</c:v>
                </c:pt>
                <c:pt idx="106">
                  <c:v>112.9</c:v>
                </c:pt>
                <c:pt idx="107">
                  <c:v>114.2</c:v>
                </c:pt>
                <c:pt idx="108">
                  <c:v>112.2</c:v>
                </c:pt>
                <c:pt idx="109">
                  <c:v>112.6</c:v>
                </c:pt>
                <c:pt idx="110">
                  <c:v>111.2</c:v>
                </c:pt>
                <c:pt idx="111">
                  <c:v>111.3</c:v>
                </c:pt>
                <c:pt idx="112">
                  <c:v>110.5</c:v>
                </c:pt>
                <c:pt idx="113">
                  <c:v>111.9</c:v>
                </c:pt>
                <c:pt idx="114">
                  <c:v>113.5</c:v>
                </c:pt>
                <c:pt idx="115">
                  <c:v>111.7</c:v>
                </c:pt>
                <c:pt idx="116">
                  <c:v>112.9</c:v>
                </c:pt>
                <c:pt idx="117">
                  <c:v>110</c:v>
                </c:pt>
                <c:pt idx="118">
                  <c:v>112.4</c:v>
                </c:pt>
                <c:pt idx="119">
                  <c:v>115.3</c:v>
                </c:pt>
                <c:pt idx="120">
                  <c:v>114.8</c:v>
                </c:pt>
                <c:pt idx="121">
                  <c:v>114</c:v>
                </c:pt>
                <c:pt idx="122">
                  <c:v>112.7</c:v>
                </c:pt>
                <c:pt idx="123">
                  <c:v>114.6</c:v>
                </c:pt>
                <c:pt idx="124">
                  <c:v>113.5</c:v>
                </c:pt>
                <c:pt idx="125">
                  <c:v>114.6</c:v>
                </c:pt>
                <c:pt idx="126">
                  <c:v>116.3</c:v>
                </c:pt>
                <c:pt idx="127">
                  <c:v>115.6</c:v>
                </c:pt>
                <c:pt idx="128">
                  <c:v>118</c:v>
                </c:pt>
                <c:pt idx="129">
                  <c:v>116.6</c:v>
                </c:pt>
                <c:pt idx="130">
                  <c:v>118.5</c:v>
                </c:pt>
                <c:pt idx="131">
                  <c:v>115.9</c:v>
                </c:pt>
                <c:pt idx="132">
                  <c:v>115.8</c:v>
                </c:pt>
                <c:pt idx="133">
                  <c:v>118.6</c:v>
                </c:pt>
                <c:pt idx="134">
                  <c:v>116.7</c:v>
                </c:pt>
                <c:pt idx="135">
                  <c:v>113.2</c:v>
                </c:pt>
                <c:pt idx="136">
                  <c:v>112.2</c:v>
                </c:pt>
                <c:pt idx="137">
                  <c:v>111.1</c:v>
                </c:pt>
                <c:pt idx="138">
                  <c:v>112.5</c:v>
                </c:pt>
                <c:pt idx="139">
                  <c:v>114.7</c:v>
                </c:pt>
                <c:pt idx="140">
                  <c:v>112</c:v>
                </c:pt>
                <c:pt idx="141">
                  <c:v>113.2</c:v>
                </c:pt>
                <c:pt idx="142">
                  <c:v>113.3</c:v>
                </c:pt>
                <c:pt idx="143">
                  <c:v>114.3</c:v>
                </c:pt>
                <c:pt idx="144">
                  <c:v>115.6</c:v>
                </c:pt>
                <c:pt idx="145">
                  <c:v>121.4</c:v>
                </c:pt>
                <c:pt idx="146">
                  <c:v>118.9</c:v>
                </c:pt>
                <c:pt idx="147">
                  <c:v>117.7</c:v>
                </c:pt>
                <c:pt idx="148">
                  <c:v>116.8</c:v>
                </c:pt>
                <c:pt idx="149">
                  <c:v>119.9</c:v>
                </c:pt>
                <c:pt idx="150">
                  <c:v>120.7</c:v>
                </c:pt>
                <c:pt idx="151">
                  <c:v>120.1</c:v>
                </c:pt>
                <c:pt idx="152">
                  <c:v>116.9</c:v>
                </c:pt>
                <c:pt idx="153">
                  <c:v>117.3</c:v>
                </c:pt>
                <c:pt idx="154">
                  <c:v>116.8</c:v>
                </c:pt>
                <c:pt idx="155">
                  <c:v>117.2</c:v>
                </c:pt>
                <c:pt idx="156">
                  <c:v>118.4</c:v>
                </c:pt>
                <c:pt idx="157">
                  <c:v>116.1</c:v>
                </c:pt>
                <c:pt idx="158">
                  <c:v>115.4</c:v>
                </c:pt>
                <c:pt idx="159">
                  <c:v>112</c:v>
                </c:pt>
                <c:pt idx="160">
                  <c:v>115.7</c:v>
                </c:pt>
                <c:pt idx="161">
                  <c:v>116.7</c:v>
                </c:pt>
                <c:pt idx="162">
                  <c:v>116.1</c:v>
                </c:pt>
                <c:pt idx="163">
                  <c:v>116.6</c:v>
                </c:pt>
                <c:pt idx="164">
                  <c:v>115.7</c:v>
                </c:pt>
                <c:pt idx="165">
                  <c:v>112.8</c:v>
                </c:pt>
                <c:pt idx="166">
                  <c:v>111.9</c:v>
                </c:pt>
                <c:pt idx="167">
                  <c:v>111.2</c:v>
                </c:pt>
                <c:pt idx="168">
                  <c:v>108.4</c:v>
                </c:pt>
                <c:pt idx="169">
                  <c:v>107.4</c:v>
                </c:pt>
                <c:pt idx="170">
                  <c:v>108.4</c:v>
                </c:pt>
                <c:pt idx="171">
                  <c:v>88.5</c:v>
                </c:pt>
                <c:pt idx="172">
                  <c:v>79.8</c:v>
                </c:pt>
                <c:pt idx="173">
                  <c:v>92.6</c:v>
                </c:pt>
                <c:pt idx="174">
                  <c:v>96.3</c:v>
                </c:pt>
                <c:pt idx="175">
                  <c:v>90.8</c:v>
                </c:pt>
                <c:pt idx="176">
                  <c:v>89.1</c:v>
                </c:pt>
                <c:pt idx="177">
                  <c:v>91.8</c:v>
                </c:pt>
                <c:pt idx="178">
                  <c:v>96.6</c:v>
                </c:pt>
                <c:pt idx="179">
                  <c:v>102.3</c:v>
                </c:pt>
                <c:pt idx="180">
                  <c:v>109.8</c:v>
                </c:pt>
                <c:pt idx="181">
                  <c:v>109.6</c:v>
                </c:pt>
                <c:pt idx="182">
                  <c:v>110.6</c:v>
                </c:pt>
                <c:pt idx="183">
                  <c:v>110.9</c:v>
                </c:pt>
                <c:pt idx="184">
                  <c:v>112.1</c:v>
                </c:pt>
                <c:pt idx="185">
                  <c:v>112.8</c:v>
                </c:pt>
                <c:pt idx="186">
                  <c:v>111.4</c:v>
                </c:pt>
                <c:pt idx="187">
                  <c:v>108.6</c:v>
                </c:pt>
                <c:pt idx="188">
                  <c:v>100.6</c:v>
                </c:pt>
                <c:pt idx="189">
                  <c:v>101.6</c:v>
                </c:pt>
                <c:pt idx="190">
                  <c:v>104.9</c:v>
                </c:pt>
                <c:pt idx="191">
                  <c:v>107.5</c:v>
                </c:pt>
                <c:pt idx="192">
                  <c:v>107.5</c:v>
                </c:pt>
              </c:numCache>
            </c:numRef>
          </c:val>
          <c:smooth val="0"/>
          <c:extLst>
            <c:ext xmlns:c16="http://schemas.microsoft.com/office/drawing/2014/chart" uri="{C3380CC4-5D6E-409C-BE32-E72D297353CC}">
              <c16:uniqueId val="{00000001-C40B-B04E-9415-6368CF3B2852}"/>
            </c:ext>
          </c:extLst>
        </c:ser>
        <c:dLbls>
          <c:showLegendKey val="0"/>
          <c:showVal val="0"/>
          <c:showCatName val="0"/>
          <c:showSerName val="0"/>
          <c:showPercent val="0"/>
          <c:showBubbleSize val="0"/>
        </c:dLbls>
        <c:smooth val="0"/>
        <c:axId val="2082905968"/>
        <c:axId val="2082907696"/>
      </c:lineChart>
      <c:catAx>
        <c:axId val="208290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82907696"/>
        <c:crosses val="autoZero"/>
        <c:auto val="1"/>
        <c:lblAlgn val="ctr"/>
        <c:lblOffset val="100"/>
        <c:noMultiLvlLbl val="0"/>
      </c:catAx>
      <c:valAx>
        <c:axId val="2082907696"/>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8290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c:f>
              <c:strCache>
                <c:ptCount val="1"/>
                <c:pt idx="0">
                  <c:v>WM Index</c:v>
                </c:pt>
              </c:strCache>
            </c:strRef>
          </c:tx>
          <c:spPr>
            <a:ln w="12700" cap="rnd">
              <a:solidFill>
                <a:schemeClr val="accent1"/>
              </a:solidFill>
              <a:round/>
            </a:ln>
            <a:effectLst/>
          </c:spPr>
          <c:marker>
            <c:symbol val="none"/>
          </c:marker>
          <c:cat>
            <c:strRef>
              <c:f>Sheet1!$E$2:$E$194</c:f>
              <c:strCache>
                <c:ptCount val="193"/>
                <c:pt idx="1">
                  <c:v>2006-01</c:v>
                </c:pt>
                <c:pt idx="2">
                  <c:v>2006-02</c:v>
                </c:pt>
                <c:pt idx="3">
                  <c:v>2006-03</c:v>
                </c:pt>
                <c:pt idx="4">
                  <c:v>2006-04</c:v>
                </c:pt>
                <c:pt idx="5">
                  <c:v>2006-05</c:v>
                </c:pt>
                <c:pt idx="6">
                  <c:v>2006-06</c:v>
                </c:pt>
                <c:pt idx="7">
                  <c:v>2006-07</c:v>
                </c:pt>
                <c:pt idx="8">
                  <c:v>2006-08</c:v>
                </c:pt>
                <c:pt idx="9">
                  <c:v>2006-09</c:v>
                </c:pt>
                <c:pt idx="10">
                  <c:v>2006-10</c:v>
                </c:pt>
                <c:pt idx="11">
                  <c:v>2006-11</c:v>
                </c:pt>
                <c:pt idx="12">
                  <c:v>2006-12</c:v>
                </c:pt>
                <c:pt idx="13">
                  <c:v>2007-01</c:v>
                </c:pt>
                <c:pt idx="14">
                  <c:v>2007-02</c:v>
                </c:pt>
                <c:pt idx="15">
                  <c:v>2007-03</c:v>
                </c:pt>
                <c:pt idx="16">
                  <c:v>2007-04</c:v>
                </c:pt>
                <c:pt idx="17">
                  <c:v>2007-05</c:v>
                </c:pt>
                <c:pt idx="18">
                  <c:v>2007-06</c:v>
                </c:pt>
                <c:pt idx="19">
                  <c:v>2007-07</c:v>
                </c:pt>
                <c:pt idx="20">
                  <c:v>2007-08</c:v>
                </c:pt>
                <c:pt idx="21">
                  <c:v>2007-09</c:v>
                </c:pt>
                <c:pt idx="22">
                  <c:v>2007-10</c:v>
                </c:pt>
                <c:pt idx="23">
                  <c:v>2007-11</c:v>
                </c:pt>
                <c:pt idx="24">
                  <c:v>2007-12</c:v>
                </c:pt>
                <c:pt idx="25">
                  <c:v>2008-01</c:v>
                </c:pt>
                <c:pt idx="26">
                  <c:v>2008-02</c:v>
                </c:pt>
                <c:pt idx="27">
                  <c:v>2008-03</c:v>
                </c:pt>
                <c:pt idx="28">
                  <c:v>2008-04</c:v>
                </c:pt>
                <c:pt idx="29">
                  <c:v>2008-05</c:v>
                </c:pt>
                <c:pt idx="30">
                  <c:v>2008-06</c:v>
                </c:pt>
                <c:pt idx="31">
                  <c:v>2008-07</c:v>
                </c:pt>
                <c:pt idx="32">
                  <c:v>2008-08</c:v>
                </c:pt>
                <c:pt idx="33">
                  <c:v>2008-09</c:v>
                </c:pt>
                <c:pt idx="34">
                  <c:v>2008-10</c:v>
                </c:pt>
                <c:pt idx="35">
                  <c:v>2008-11</c:v>
                </c:pt>
                <c:pt idx="36">
                  <c:v>2008-12</c:v>
                </c:pt>
                <c:pt idx="37">
                  <c:v>2009-01</c:v>
                </c:pt>
                <c:pt idx="38">
                  <c:v>2009-02</c:v>
                </c:pt>
                <c:pt idx="39">
                  <c:v>2009-03</c:v>
                </c:pt>
                <c:pt idx="40">
                  <c:v>2009-04</c:v>
                </c:pt>
                <c:pt idx="41">
                  <c:v>2009-05</c:v>
                </c:pt>
                <c:pt idx="42">
                  <c:v>2009-06</c:v>
                </c:pt>
                <c:pt idx="43">
                  <c:v>2009-07</c:v>
                </c:pt>
                <c:pt idx="44">
                  <c:v>2009-08</c:v>
                </c:pt>
                <c:pt idx="45">
                  <c:v>2009-09</c:v>
                </c:pt>
                <c:pt idx="46">
                  <c:v>2009-10</c:v>
                </c:pt>
                <c:pt idx="47">
                  <c:v>2009-11</c:v>
                </c:pt>
                <c:pt idx="48">
                  <c:v>2009-12</c:v>
                </c:pt>
                <c:pt idx="49">
                  <c:v>2010-01</c:v>
                </c:pt>
                <c:pt idx="50">
                  <c:v>2010-02</c:v>
                </c:pt>
                <c:pt idx="51">
                  <c:v>2010-03</c:v>
                </c:pt>
                <c:pt idx="52">
                  <c:v>2010-04</c:v>
                </c:pt>
                <c:pt idx="53">
                  <c:v>2010-05</c:v>
                </c:pt>
                <c:pt idx="54">
                  <c:v>2010-06</c:v>
                </c:pt>
                <c:pt idx="55">
                  <c:v>2010-07</c:v>
                </c:pt>
                <c:pt idx="56">
                  <c:v>2010-08</c:v>
                </c:pt>
                <c:pt idx="57">
                  <c:v>2010-09</c:v>
                </c:pt>
                <c:pt idx="58">
                  <c:v>2010-10</c:v>
                </c:pt>
                <c:pt idx="59">
                  <c:v>2010-11</c:v>
                </c:pt>
                <c:pt idx="60">
                  <c:v>2010-12</c:v>
                </c:pt>
                <c:pt idx="61">
                  <c:v>2011-01</c:v>
                </c:pt>
                <c:pt idx="62">
                  <c:v>2011-02</c:v>
                </c:pt>
                <c:pt idx="63">
                  <c:v>2011-03</c:v>
                </c:pt>
                <c:pt idx="64">
                  <c:v>2011-04</c:v>
                </c:pt>
                <c:pt idx="65">
                  <c:v>2011-05</c:v>
                </c:pt>
                <c:pt idx="66">
                  <c:v>2011-06</c:v>
                </c:pt>
                <c:pt idx="67">
                  <c:v>2011-07</c:v>
                </c:pt>
                <c:pt idx="68">
                  <c:v>2011-08</c:v>
                </c:pt>
                <c:pt idx="69">
                  <c:v>2011-09</c:v>
                </c:pt>
                <c:pt idx="70">
                  <c:v>2011-10</c:v>
                </c:pt>
                <c:pt idx="71">
                  <c:v>2011-11</c:v>
                </c:pt>
                <c:pt idx="72">
                  <c:v>2011-12</c:v>
                </c:pt>
                <c:pt idx="73">
                  <c:v>2012-01</c:v>
                </c:pt>
                <c:pt idx="74">
                  <c:v>2012-02</c:v>
                </c:pt>
                <c:pt idx="75">
                  <c:v>2012-03</c:v>
                </c:pt>
                <c:pt idx="76">
                  <c:v>2012-04</c:v>
                </c:pt>
                <c:pt idx="77">
                  <c:v>2012-05</c:v>
                </c:pt>
                <c:pt idx="78">
                  <c:v>2012-06</c:v>
                </c:pt>
                <c:pt idx="79">
                  <c:v>2012-07</c:v>
                </c:pt>
                <c:pt idx="80">
                  <c:v>2012-08</c:v>
                </c:pt>
                <c:pt idx="81">
                  <c:v>2012-09</c:v>
                </c:pt>
                <c:pt idx="82">
                  <c:v>2012-10</c:v>
                </c:pt>
                <c:pt idx="83">
                  <c:v>2012-11</c:v>
                </c:pt>
                <c:pt idx="84">
                  <c:v>2012-12</c:v>
                </c:pt>
                <c:pt idx="85">
                  <c:v>2013-01</c:v>
                </c:pt>
                <c:pt idx="86">
                  <c:v>2013-02</c:v>
                </c:pt>
                <c:pt idx="87">
                  <c:v>2013-03</c:v>
                </c:pt>
                <c:pt idx="88">
                  <c:v>2013-04</c:v>
                </c:pt>
                <c:pt idx="89">
                  <c:v>2013-05</c:v>
                </c:pt>
                <c:pt idx="90">
                  <c:v>2013-06</c:v>
                </c:pt>
                <c:pt idx="91">
                  <c:v>2013-07</c:v>
                </c:pt>
                <c:pt idx="92">
                  <c:v>2013-08</c:v>
                </c:pt>
                <c:pt idx="93">
                  <c:v>2013-09</c:v>
                </c:pt>
                <c:pt idx="94">
                  <c:v>2013-10</c:v>
                </c:pt>
                <c:pt idx="95">
                  <c:v>2013-11</c:v>
                </c:pt>
                <c:pt idx="96">
                  <c:v>2013-12</c:v>
                </c:pt>
                <c:pt idx="97">
                  <c:v>2014-01</c:v>
                </c:pt>
                <c:pt idx="98">
                  <c:v>2014-02</c:v>
                </c:pt>
                <c:pt idx="99">
                  <c:v>2014-03</c:v>
                </c:pt>
                <c:pt idx="100">
                  <c:v>2014-04</c:v>
                </c:pt>
                <c:pt idx="101">
                  <c:v>2014-05</c:v>
                </c:pt>
                <c:pt idx="102">
                  <c:v>2014-06</c:v>
                </c:pt>
                <c:pt idx="103">
                  <c:v>2014-07</c:v>
                </c:pt>
                <c:pt idx="104">
                  <c:v>2014-08</c:v>
                </c:pt>
                <c:pt idx="105">
                  <c:v>2014-09</c:v>
                </c:pt>
                <c:pt idx="106">
                  <c:v>2014-10</c:v>
                </c:pt>
                <c:pt idx="107">
                  <c:v>2014-11</c:v>
                </c:pt>
                <c:pt idx="108">
                  <c:v>2014-12</c:v>
                </c:pt>
                <c:pt idx="109">
                  <c:v>2015-01</c:v>
                </c:pt>
                <c:pt idx="110">
                  <c:v>2015-02</c:v>
                </c:pt>
                <c:pt idx="111">
                  <c:v>2015-03</c:v>
                </c:pt>
                <c:pt idx="112">
                  <c:v>2015-04</c:v>
                </c:pt>
                <c:pt idx="113">
                  <c:v>2015-05</c:v>
                </c:pt>
                <c:pt idx="114">
                  <c:v>2015-06</c:v>
                </c:pt>
                <c:pt idx="115">
                  <c:v>2015-07</c:v>
                </c:pt>
                <c:pt idx="116">
                  <c:v>2015-08</c:v>
                </c:pt>
                <c:pt idx="117">
                  <c:v>2015-09</c:v>
                </c:pt>
                <c:pt idx="118">
                  <c:v>2015-10</c:v>
                </c:pt>
                <c:pt idx="119">
                  <c:v>2015-11</c:v>
                </c:pt>
                <c:pt idx="120">
                  <c:v>2015-12</c:v>
                </c:pt>
                <c:pt idx="121">
                  <c:v>2016-01</c:v>
                </c:pt>
                <c:pt idx="122">
                  <c:v>2016-02</c:v>
                </c:pt>
                <c:pt idx="123">
                  <c:v>2016-03</c:v>
                </c:pt>
                <c:pt idx="124">
                  <c:v>2016-04</c:v>
                </c:pt>
                <c:pt idx="125">
                  <c:v>2016-05</c:v>
                </c:pt>
                <c:pt idx="126">
                  <c:v>2016-06</c:v>
                </c:pt>
                <c:pt idx="127">
                  <c:v>2016-07</c:v>
                </c:pt>
                <c:pt idx="128">
                  <c:v>2016-08</c:v>
                </c:pt>
                <c:pt idx="129">
                  <c:v>2016-09</c:v>
                </c:pt>
                <c:pt idx="130">
                  <c:v>2016-10</c:v>
                </c:pt>
                <c:pt idx="131">
                  <c:v>2016-11</c:v>
                </c:pt>
                <c:pt idx="132">
                  <c:v>2016-12</c:v>
                </c:pt>
                <c:pt idx="133">
                  <c:v>2017-01</c:v>
                </c:pt>
                <c:pt idx="134">
                  <c:v>2017-02</c:v>
                </c:pt>
                <c:pt idx="135">
                  <c:v>2017-03</c:v>
                </c:pt>
                <c:pt idx="136">
                  <c:v>2017-04</c:v>
                </c:pt>
                <c:pt idx="137">
                  <c:v>2017-05</c:v>
                </c:pt>
                <c:pt idx="138">
                  <c:v>2017-06</c:v>
                </c:pt>
                <c:pt idx="139">
                  <c:v>2017-07</c:v>
                </c:pt>
                <c:pt idx="140">
                  <c:v>2017-08</c:v>
                </c:pt>
                <c:pt idx="141">
                  <c:v>2017-09</c:v>
                </c:pt>
                <c:pt idx="142">
                  <c:v>2017-10</c:v>
                </c:pt>
                <c:pt idx="143">
                  <c:v>2017-11</c:v>
                </c:pt>
                <c:pt idx="144">
                  <c:v>2017-12</c:v>
                </c:pt>
                <c:pt idx="145">
                  <c:v>2018-01</c:v>
                </c:pt>
                <c:pt idx="146">
                  <c:v>2018-02</c:v>
                </c:pt>
                <c:pt idx="147">
                  <c:v>2018-03</c:v>
                </c:pt>
                <c:pt idx="148">
                  <c:v>2018-04</c:v>
                </c:pt>
                <c:pt idx="149">
                  <c:v>2018-05</c:v>
                </c:pt>
                <c:pt idx="150">
                  <c:v>2018-06</c:v>
                </c:pt>
                <c:pt idx="151">
                  <c:v>2018-07</c:v>
                </c:pt>
                <c:pt idx="152">
                  <c:v>2018-08</c:v>
                </c:pt>
                <c:pt idx="153">
                  <c:v>2018-09</c:v>
                </c:pt>
                <c:pt idx="154">
                  <c:v>2018-10</c:v>
                </c:pt>
                <c:pt idx="155">
                  <c:v>2018-11</c:v>
                </c:pt>
                <c:pt idx="156">
                  <c:v>2018-12</c:v>
                </c:pt>
                <c:pt idx="157">
                  <c:v>2019-01</c:v>
                </c:pt>
                <c:pt idx="158">
                  <c:v>2019-02</c:v>
                </c:pt>
                <c:pt idx="159">
                  <c:v>2019-03</c:v>
                </c:pt>
                <c:pt idx="160">
                  <c:v>2019-04</c:v>
                </c:pt>
                <c:pt idx="161">
                  <c:v>2019-05</c:v>
                </c:pt>
                <c:pt idx="162">
                  <c:v>2019-06</c:v>
                </c:pt>
                <c:pt idx="163">
                  <c:v>2019-07</c:v>
                </c:pt>
                <c:pt idx="164">
                  <c:v>2019-08</c:v>
                </c:pt>
                <c:pt idx="165">
                  <c:v>2019-09</c:v>
                </c:pt>
                <c:pt idx="166">
                  <c:v>2019-10</c:v>
                </c:pt>
                <c:pt idx="167">
                  <c:v>2019-11</c:v>
                </c:pt>
                <c:pt idx="168">
                  <c:v>2019-12</c:v>
                </c:pt>
                <c:pt idx="169">
                  <c:v>2020-01</c:v>
                </c:pt>
                <c:pt idx="170">
                  <c:v>2020-02</c:v>
                </c:pt>
                <c:pt idx="171">
                  <c:v>2020-03</c:v>
                </c:pt>
                <c:pt idx="172">
                  <c:v>2020-04</c:v>
                </c:pt>
                <c:pt idx="173">
                  <c:v>2020-05</c:v>
                </c:pt>
                <c:pt idx="174">
                  <c:v>2020-06</c:v>
                </c:pt>
                <c:pt idx="175">
                  <c:v>2020-07</c:v>
                </c:pt>
                <c:pt idx="176">
                  <c:v>2020-08</c:v>
                </c:pt>
                <c:pt idx="177">
                  <c:v>2020-09</c:v>
                </c:pt>
                <c:pt idx="178">
                  <c:v>2020-10</c:v>
                </c:pt>
                <c:pt idx="179">
                  <c:v>2020-11</c:v>
                </c:pt>
                <c:pt idx="180">
                  <c:v>2020-12</c:v>
                </c:pt>
                <c:pt idx="181">
                  <c:v>2021-01</c:v>
                </c:pt>
                <c:pt idx="182">
                  <c:v>2021-02</c:v>
                </c:pt>
                <c:pt idx="183">
                  <c:v>2021-03</c:v>
                </c:pt>
                <c:pt idx="184">
                  <c:v>2021-04</c:v>
                </c:pt>
                <c:pt idx="185">
                  <c:v>2021-05</c:v>
                </c:pt>
                <c:pt idx="186">
                  <c:v>2021-06</c:v>
                </c:pt>
                <c:pt idx="187">
                  <c:v>2021-07</c:v>
                </c:pt>
                <c:pt idx="188">
                  <c:v>2021-08</c:v>
                </c:pt>
                <c:pt idx="189">
                  <c:v>2021-09</c:v>
                </c:pt>
                <c:pt idx="190">
                  <c:v>2021-10</c:v>
                </c:pt>
                <c:pt idx="191">
                  <c:v>2021-11</c:v>
                </c:pt>
                <c:pt idx="192">
                  <c:v>2021-12</c:v>
                </c:pt>
              </c:strCache>
            </c:strRef>
          </c:cat>
          <c:val>
            <c:numRef>
              <c:f>Sheet1!$F$2:$F$194</c:f>
              <c:numCache>
                <c:formatCode>0.00%</c:formatCode>
                <c:ptCount val="193"/>
                <c:pt idx="1">
                  <c:v>3.6888941808443272E-2</c:v>
                </c:pt>
                <c:pt idx="2">
                  <c:v>1.5612572511819888E-2</c:v>
                </c:pt>
                <c:pt idx="3">
                  <c:v>3.3555143651529153E-2</c:v>
                </c:pt>
                <c:pt idx="4">
                  <c:v>-7.1645955993776013E-4</c:v>
                </c:pt>
                <c:pt idx="5">
                  <c:v>-6.400534095711892E-2</c:v>
                </c:pt>
                <c:pt idx="6">
                  <c:v>-4.5193125352921753E-3</c:v>
                </c:pt>
                <c:pt idx="7">
                  <c:v>3.4714190096931281E-2</c:v>
                </c:pt>
                <c:pt idx="8">
                  <c:v>-0.16233173338694415</c:v>
                </c:pt>
                <c:pt idx="9">
                  <c:v>0.1245966666666667</c:v>
                </c:pt>
                <c:pt idx="10">
                  <c:v>3.9571718057930909E-2</c:v>
                </c:pt>
                <c:pt idx="11">
                  <c:v>-9.7120384265564505E-2</c:v>
                </c:pt>
                <c:pt idx="12">
                  <c:v>0.11789473684210529</c:v>
                </c:pt>
                <c:pt idx="13">
                  <c:v>3.2015065913370916E-2</c:v>
                </c:pt>
                <c:pt idx="14">
                  <c:v>1.6423357664233681E-2</c:v>
                </c:pt>
                <c:pt idx="15">
                  <c:v>3.6804308797127414E-2</c:v>
                </c:pt>
                <c:pt idx="16">
                  <c:v>-1.6865800865800932E-3</c:v>
                </c:pt>
                <c:pt idx="17">
                  <c:v>7.4886475197996266E-2</c:v>
                </c:pt>
                <c:pt idx="18">
                  <c:v>-1.9895110537356799E-2</c:v>
                </c:pt>
                <c:pt idx="19">
                  <c:v>-5.6217698902317481E-3</c:v>
                </c:pt>
                <c:pt idx="20">
                  <c:v>-8.0605142920061323E-2</c:v>
                </c:pt>
                <c:pt idx="21">
                  <c:v>4.2000848229119113E-2</c:v>
                </c:pt>
                <c:pt idx="22">
                  <c:v>-3.4937992193178348E-3</c:v>
                </c:pt>
                <c:pt idx="23">
                  <c:v>-4.1824567489051667E-2</c:v>
                </c:pt>
                <c:pt idx="24">
                  <c:v>1.7818484596169873E-2</c:v>
                </c:pt>
                <c:pt idx="25">
                  <c:v>-8.3261011837013468E-2</c:v>
                </c:pt>
                <c:pt idx="26">
                  <c:v>-5.5221674303472884E-2</c:v>
                </c:pt>
                <c:pt idx="27">
                  <c:v>-9.0720093630651727E-2</c:v>
                </c:pt>
                <c:pt idx="28">
                  <c:v>-1.2711208964913746E-2</c:v>
                </c:pt>
                <c:pt idx="29">
                  <c:v>2.6509091200193933E-2</c:v>
                </c:pt>
                <c:pt idx="30">
                  <c:v>-5.6065249772447943E-2</c:v>
                </c:pt>
                <c:pt idx="31">
                  <c:v>-6.7497725054380411E-2</c:v>
                </c:pt>
                <c:pt idx="32">
                  <c:v>9.062327549982041E-2</c:v>
                </c:pt>
                <c:pt idx="33">
                  <c:v>7.0065128283686259E-2</c:v>
                </c:pt>
                <c:pt idx="34">
                  <c:v>-0.11037049730060365</c:v>
                </c:pt>
                <c:pt idx="35">
                  <c:v>4.2745858172109859E-2</c:v>
                </c:pt>
                <c:pt idx="36">
                  <c:v>7.5233178309799281E-2</c:v>
                </c:pt>
                <c:pt idx="37">
                  <c:v>-2.2286494038849428E-2</c:v>
                </c:pt>
                <c:pt idx="38">
                  <c:v>-4.5973790268769854E-2</c:v>
                </c:pt>
                <c:pt idx="39">
                  <c:v>-2.3803195829661459E-3</c:v>
                </c:pt>
                <c:pt idx="40">
                  <c:v>8.3493607345418372E-2</c:v>
                </c:pt>
                <c:pt idx="41">
                  <c:v>-4.2696827933681403E-2</c:v>
                </c:pt>
                <c:pt idx="42">
                  <c:v>0.12714235825569734</c:v>
                </c:pt>
                <c:pt idx="43">
                  <c:v>9.3339383321023497E-2</c:v>
                </c:pt>
                <c:pt idx="44">
                  <c:v>3.6885800370037219E-2</c:v>
                </c:pt>
                <c:pt idx="45">
                  <c:v>5.2015569142066169E-2</c:v>
                </c:pt>
                <c:pt idx="46">
                  <c:v>1.6962262506536555E-2</c:v>
                </c:pt>
                <c:pt idx="47">
                  <c:v>-2.4995529596542974E-2</c:v>
                </c:pt>
                <c:pt idx="48">
                  <c:v>-3.8448991044655038E-2</c:v>
                </c:pt>
                <c:pt idx="49">
                  <c:v>5.5845465148882271E-2</c:v>
                </c:pt>
                <c:pt idx="50">
                  <c:v>-2.5646682156126178E-2</c:v>
                </c:pt>
                <c:pt idx="51">
                  <c:v>2.1350963185609068E-3</c:v>
                </c:pt>
                <c:pt idx="52">
                  <c:v>-1.035860377956894E-2</c:v>
                </c:pt>
                <c:pt idx="53">
                  <c:v>-6.9915436755031965E-2</c:v>
                </c:pt>
                <c:pt idx="54">
                  <c:v>-5.6568401611291223E-2</c:v>
                </c:pt>
                <c:pt idx="55">
                  <c:v>0.11054746023299608</c:v>
                </c:pt>
                <c:pt idx="56">
                  <c:v>5.3549595679467994E-2</c:v>
                </c:pt>
                <c:pt idx="57">
                  <c:v>-4.9911473236387408E-2</c:v>
                </c:pt>
                <c:pt idx="58">
                  <c:v>3.3157017581821643E-2</c:v>
                </c:pt>
                <c:pt idx="59">
                  <c:v>-5.3430912017616787E-2</c:v>
                </c:pt>
                <c:pt idx="60">
                  <c:v>2.3083425450288178E-3</c:v>
                </c:pt>
                <c:pt idx="61">
                  <c:v>-5.7091807497269838E-2</c:v>
                </c:pt>
                <c:pt idx="62">
                  <c:v>1.8587055092256777E-2</c:v>
                </c:pt>
                <c:pt idx="63">
                  <c:v>-2.3834541040141377E-2</c:v>
                </c:pt>
                <c:pt idx="64">
                  <c:v>1.2037181194895637E-2</c:v>
                </c:pt>
                <c:pt idx="65">
                  <c:v>-1.3006017752226543E-2</c:v>
                </c:pt>
                <c:pt idx="66">
                  <c:v>-2.6342298829562665E-2</c:v>
                </c:pt>
                <c:pt idx="67">
                  <c:v>-8.2506897396776135E-2</c:v>
                </c:pt>
                <c:pt idx="68">
                  <c:v>-3.49807912062821E-2</c:v>
                </c:pt>
                <c:pt idx="69">
                  <c:v>8.1320130981850453E-2</c:v>
                </c:pt>
                <c:pt idx="70">
                  <c:v>3.7260092995412592E-3</c:v>
                </c:pt>
                <c:pt idx="71">
                  <c:v>6.2773850227512182E-2</c:v>
                </c:pt>
                <c:pt idx="72">
                  <c:v>-8.3268748288617217E-2</c:v>
                </c:pt>
                <c:pt idx="73">
                  <c:v>2.4460109703723906E-2</c:v>
                </c:pt>
                <c:pt idx="74">
                  <c:v>4.1501654585241035E-2</c:v>
                </c:pt>
                <c:pt idx="75">
                  <c:v>-4.9651851434189986E-2</c:v>
                </c:pt>
                <c:pt idx="76">
                  <c:v>-1.5947331442400268E-2</c:v>
                </c:pt>
                <c:pt idx="77">
                  <c:v>7.7956090729465362E-3</c:v>
                </c:pt>
                <c:pt idx="78">
                  <c:v>3.0175046758202295E-3</c:v>
                </c:pt>
                <c:pt idx="79">
                  <c:v>3.7321234051414361E-2</c:v>
                </c:pt>
                <c:pt idx="80">
                  <c:v>-2.5376393981731398E-2</c:v>
                </c:pt>
                <c:pt idx="81">
                  <c:v>1.6283034158973832E-2</c:v>
                </c:pt>
                <c:pt idx="82">
                  <c:v>9.9114871202608604E-3</c:v>
                </c:pt>
                <c:pt idx="83">
                  <c:v>5.1617398951012604E-2</c:v>
                </c:pt>
                <c:pt idx="84">
                  <c:v>-4.0731371450928672E-2</c:v>
                </c:pt>
                <c:pt idx="85">
                  <c:v>5.899035621138228E-3</c:v>
                </c:pt>
                <c:pt idx="86">
                  <c:v>7.6547801008512939E-2</c:v>
                </c:pt>
                <c:pt idx="87">
                  <c:v>2.0417093234397252E-2</c:v>
                </c:pt>
                <c:pt idx="88">
                  <c:v>-5.0782720088006245E-2</c:v>
                </c:pt>
                <c:pt idx="89">
                  <c:v>-6.9893313458668269E-2</c:v>
                </c:pt>
                <c:pt idx="90">
                  <c:v>4.7051614549337248E-2</c:v>
                </c:pt>
                <c:pt idx="91">
                  <c:v>-4.8344873143645593E-4</c:v>
                </c:pt>
                <c:pt idx="92">
                  <c:v>3.4771293537550485E-2</c:v>
                </c:pt>
                <c:pt idx="93">
                  <c:v>4.6833780576887446E-2</c:v>
                </c:pt>
                <c:pt idx="94">
                  <c:v>-2.0886888298353133E-2</c:v>
                </c:pt>
                <c:pt idx="95">
                  <c:v>1.8689440489202711E-2</c:v>
                </c:pt>
                <c:pt idx="96">
                  <c:v>-4.821305745384815E-2</c:v>
                </c:pt>
                <c:pt idx="97">
                  <c:v>-1.6510913808288286E-2</c:v>
                </c:pt>
                <c:pt idx="98">
                  <c:v>-3.0419174894039686E-2</c:v>
                </c:pt>
                <c:pt idx="99">
                  <c:v>-6.9255216856895863E-3</c:v>
                </c:pt>
                <c:pt idx="100">
                  <c:v>2.782087259206588E-3</c:v>
                </c:pt>
                <c:pt idx="101">
                  <c:v>-6.8096865274168084E-2</c:v>
                </c:pt>
                <c:pt idx="102">
                  <c:v>2.4294512323707962E-3</c:v>
                </c:pt>
                <c:pt idx="103">
                  <c:v>1.8641473629527571E-2</c:v>
                </c:pt>
                <c:pt idx="104">
                  <c:v>3.7545808773789456E-2</c:v>
                </c:pt>
                <c:pt idx="105">
                  <c:v>-4.5673396724035142E-2</c:v>
                </c:pt>
                <c:pt idx="106">
                  <c:v>8.9452843580965138E-3</c:v>
                </c:pt>
                <c:pt idx="107">
                  <c:v>1.8573617868643175E-2</c:v>
                </c:pt>
                <c:pt idx="108">
                  <c:v>-5.7062592093641173E-2</c:v>
                </c:pt>
                <c:pt idx="109">
                  <c:v>2.3832062041110297E-2</c:v>
                </c:pt>
                <c:pt idx="110">
                  <c:v>8.0366911073832731E-2</c:v>
                </c:pt>
                <c:pt idx="111">
                  <c:v>-1.2445743468367458E-2</c:v>
                </c:pt>
                <c:pt idx="112">
                  <c:v>-3.2398192046775048E-2</c:v>
                </c:pt>
                <c:pt idx="113">
                  <c:v>6.3589298163407471E-2</c:v>
                </c:pt>
                <c:pt idx="114">
                  <c:v>-6.8858534736488314E-2</c:v>
                </c:pt>
                <c:pt idx="115">
                  <c:v>-3.2234476811340382E-2</c:v>
                </c:pt>
                <c:pt idx="116">
                  <c:v>7.8160214292605792E-2</c:v>
                </c:pt>
                <c:pt idx="117">
                  <c:v>-5.6201725757054823E-2</c:v>
                </c:pt>
                <c:pt idx="118">
                  <c:v>4.2131458930137138E-2</c:v>
                </c:pt>
                <c:pt idx="119">
                  <c:v>3.9181009763562431E-2</c:v>
                </c:pt>
                <c:pt idx="120">
                  <c:v>-8.0192256804093639E-3</c:v>
                </c:pt>
                <c:pt idx="121">
                  <c:v>-3.532806759189016E-2</c:v>
                </c:pt>
                <c:pt idx="122">
                  <c:v>4.1580830197989249E-2</c:v>
                </c:pt>
                <c:pt idx="123">
                  <c:v>-2.1757174340647674E-2</c:v>
                </c:pt>
                <c:pt idx="124">
                  <c:v>-4.011263297228361E-2</c:v>
                </c:pt>
                <c:pt idx="125">
                  <c:v>8.4521638594739504E-2</c:v>
                </c:pt>
                <c:pt idx="126">
                  <c:v>-9.8745833902704212E-3</c:v>
                </c:pt>
                <c:pt idx="127">
                  <c:v>-2.9954426751966405E-2</c:v>
                </c:pt>
                <c:pt idx="128">
                  <c:v>1.957319971060972E-2</c:v>
                </c:pt>
                <c:pt idx="129">
                  <c:v>3.0996182877478461E-3</c:v>
                </c:pt>
                <c:pt idx="130">
                  <c:v>1.0512254101554985E-2</c:v>
                </c:pt>
                <c:pt idx="131">
                  <c:v>-1.1278672647070959E-2</c:v>
                </c:pt>
                <c:pt idx="132">
                  <c:v>-3.88384507673682E-2</c:v>
                </c:pt>
                <c:pt idx="133">
                  <c:v>9.2053123693307292E-4</c:v>
                </c:pt>
                <c:pt idx="134">
                  <c:v>2.2699582344107818E-2</c:v>
                </c:pt>
                <c:pt idx="135">
                  <c:v>7.4872385739323428E-4</c:v>
                </c:pt>
                <c:pt idx="136">
                  <c:v>-6.7625573157571927E-3</c:v>
                </c:pt>
                <c:pt idx="137">
                  <c:v>-1.0552675023854891E-2</c:v>
                </c:pt>
                <c:pt idx="138">
                  <c:v>-1.7937288374285904E-2</c:v>
                </c:pt>
                <c:pt idx="139">
                  <c:v>3.7647934143652871E-3</c:v>
                </c:pt>
                <c:pt idx="140">
                  <c:v>-1.1822435711623775E-2</c:v>
                </c:pt>
                <c:pt idx="141">
                  <c:v>2.5284430196744121E-2</c:v>
                </c:pt>
                <c:pt idx="142">
                  <c:v>3.5597108335249067E-2</c:v>
                </c:pt>
                <c:pt idx="143">
                  <c:v>-1.6524701705848771E-2</c:v>
                </c:pt>
                <c:pt idx="144">
                  <c:v>3.6099782797349371E-2</c:v>
                </c:pt>
                <c:pt idx="145">
                  <c:v>1.7973406871763502E-2</c:v>
                </c:pt>
                <c:pt idx="146">
                  <c:v>-2.2693591804510593E-2</c:v>
                </c:pt>
                <c:pt idx="147">
                  <c:v>2.0584903236355655E-3</c:v>
                </c:pt>
                <c:pt idx="148">
                  <c:v>-5.5858433691055752E-3</c:v>
                </c:pt>
                <c:pt idx="149">
                  <c:v>-5.8936371379232954E-3</c:v>
                </c:pt>
                <c:pt idx="150">
                  <c:v>3.4624310510502536E-3</c:v>
                </c:pt>
                <c:pt idx="151">
                  <c:v>3.8507557969893455E-2</c:v>
                </c:pt>
                <c:pt idx="152">
                  <c:v>-2.2918367693285382E-2</c:v>
                </c:pt>
                <c:pt idx="153">
                  <c:v>-3.0080302916263804E-2</c:v>
                </c:pt>
                <c:pt idx="154">
                  <c:v>9.7129491729120755E-3</c:v>
                </c:pt>
                <c:pt idx="155">
                  <c:v>2.8082126993761034E-2</c:v>
                </c:pt>
                <c:pt idx="156">
                  <c:v>8.7980165168855895E-4</c:v>
                </c:pt>
                <c:pt idx="157">
                  <c:v>-4.6653612107226058E-2</c:v>
                </c:pt>
                <c:pt idx="158">
                  <c:v>4.2538616912394592E-2</c:v>
                </c:pt>
                <c:pt idx="159">
                  <c:v>-4.7915873849310925E-2</c:v>
                </c:pt>
                <c:pt idx="160">
                  <c:v>1.8515932525829067E-2</c:v>
                </c:pt>
                <c:pt idx="161">
                  <c:v>6.1329640109366078E-3</c:v>
                </c:pt>
                <c:pt idx="162">
                  <c:v>-6.0452196650344122E-3</c:v>
                </c:pt>
                <c:pt idx="163">
                  <c:v>-4.120491287817446E-2</c:v>
                </c:pt>
                <c:pt idx="164">
                  <c:v>3.571328656112345E-2</c:v>
                </c:pt>
                <c:pt idx="165">
                  <c:v>-1.7224406494792746E-2</c:v>
                </c:pt>
                <c:pt idx="166">
                  <c:v>-5.5394547581164792E-2</c:v>
                </c:pt>
                <c:pt idx="167">
                  <c:v>4.5336100765570091E-2</c:v>
                </c:pt>
                <c:pt idx="168">
                  <c:v>-1.9277220220514341E-2</c:v>
                </c:pt>
                <c:pt idx="169">
                  <c:v>-1.836948363618018E-2</c:v>
                </c:pt>
                <c:pt idx="170">
                  <c:v>2.2930273250727391E-2</c:v>
                </c:pt>
                <c:pt idx="171">
                  <c:v>-3.75076943691873E-2</c:v>
                </c:pt>
                <c:pt idx="172">
                  <c:v>-0.17726162831800663</c:v>
                </c:pt>
                <c:pt idx="173">
                  <c:v>0.16419455394890259</c:v>
                </c:pt>
                <c:pt idx="174">
                  <c:v>6.344810200751505E-2</c:v>
                </c:pt>
                <c:pt idx="175">
                  <c:v>-6.1184218956216486E-2</c:v>
                </c:pt>
                <c:pt idx="176">
                  <c:v>-9.5424787537988359E-2</c:v>
                </c:pt>
                <c:pt idx="177">
                  <c:v>0.17999112303647474</c:v>
                </c:pt>
                <c:pt idx="178">
                  <c:v>0.11907184802449094</c:v>
                </c:pt>
                <c:pt idx="179">
                  <c:v>2.5173964875663327E-2</c:v>
                </c:pt>
                <c:pt idx="180">
                  <c:v>4.0621371847861354E-2</c:v>
                </c:pt>
                <c:pt idx="181">
                  <c:v>-4.5096997906969465E-2</c:v>
                </c:pt>
                <c:pt idx="182">
                  <c:v>1.9389470948975491E-2</c:v>
                </c:pt>
                <c:pt idx="183">
                  <c:v>2.5514325561180395E-2</c:v>
                </c:pt>
                <c:pt idx="184">
                  <c:v>6.2001253544033609E-2</c:v>
                </c:pt>
                <c:pt idx="185">
                  <c:v>-4.7583166143699132E-2</c:v>
                </c:pt>
                <c:pt idx="186">
                  <c:v>-5.2268498260781233E-2</c:v>
                </c:pt>
                <c:pt idx="187">
                  <c:v>1.5244476861861381E-2</c:v>
                </c:pt>
                <c:pt idx="188">
                  <c:v>-4.3678741720029036E-2</c:v>
                </c:pt>
                <c:pt idx="189">
                  <c:v>2.0484625723033421E-2</c:v>
                </c:pt>
                <c:pt idx="190">
                  <c:v>-1.4902329959990572E-2</c:v>
                </c:pt>
                <c:pt idx="191">
                  <c:v>6.2881061141797871E-3</c:v>
                </c:pt>
                <c:pt idx="192">
                  <c:v>-9.7141500474833137E-3</c:v>
                </c:pt>
              </c:numCache>
            </c:numRef>
          </c:val>
          <c:smooth val="0"/>
          <c:extLst>
            <c:ext xmlns:c16="http://schemas.microsoft.com/office/drawing/2014/chart" uri="{C3380CC4-5D6E-409C-BE32-E72D297353CC}">
              <c16:uniqueId val="{00000000-67A5-1D4D-8085-E6CEE826F682}"/>
            </c:ext>
          </c:extLst>
        </c:ser>
        <c:ser>
          <c:idx val="1"/>
          <c:order val="1"/>
          <c:tx>
            <c:strRef>
              <c:f>Sheet1!$G$1</c:f>
              <c:strCache>
                <c:ptCount val="1"/>
                <c:pt idx="0">
                  <c:v>AR Index</c:v>
                </c:pt>
              </c:strCache>
            </c:strRef>
          </c:tx>
          <c:spPr>
            <a:ln w="19050" cap="rnd">
              <a:solidFill>
                <a:schemeClr val="accent2"/>
              </a:solidFill>
              <a:round/>
            </a:ln>
            <a:effectLst/>
          </c:spPr>
          <c:marker>
            <c:symbol val="none"/>
          </c:marker>
          <c:dPt>
            <c:idx val="173"/>
            <c:marker>
              <c:symbol val="none"/>
            </c:marker>
            <c:bubble3D val="0"/>
            <c:spPr>
              <a:ln w="12700" cap="rnd">
                <a:solidFill>
                  <a:schemeClr val="accent2"/>
                </a:solidFill>
                <a:round/>
              </a:ln>
              <a:effectLst/>
            </c:spPr>
            <c:extLst>
              <c:ext xmlns:c16="http://schemas.microsoft.com/office/drawing/2014/chart" uri="{C3380CC4-5D6E-409C-BE32-E72D297353CC}">
                <c16:uniqueId val="{00000002-67A5-1D4D-8085-E6CEE826F682}"/>
              </c:ext>
            </c:extLst>
          </c:dPt>
          <c:cat>
            <c:strRef>
              <c:f>Sheet1!$E$2:$E$194</c:f>
              <c:strCache>
                <c:ptCount val="193"/>
                <c:pt idx="1">
                  <c:v>2006-01</c:v>
                </c:pt>
                <c:pt idx="2">
                  <c:v>2006-02</c:v>
                </c:pt>
                <c:pt idx="3">
                  <c:v>2006-03</c:v>
                </c:pt>
                <c:pt idx="4">
                  <c:v>2006-04</c:v>
                </c:pt>
                <c:pt idx="5">
                  <c:v>2006-05</c:v>
                </c:pt>
                <c:pt idx="6">
                  <c:v>2006-06</c:v>
                </c:pt>
                <c:pt idx="7">
                  <c:v>2006-07</c:v>
                </c:pt>
                <c:pt idx="8">
                  <c:v>2006-08</c:v>
                </c:pt>
                <c:pt idx="9">
                  <c:v>2006-09</c:v>
                </c:pt>
                <c:pt idx="10">
                  <c:v>2006-10</c:v>
                </c:pt>
                <c:pt idx="11">
                  <c:v>2006-11</c:v>
                </c:pt>
                <c:pt idx="12">
                  <c:v>2006-12</c:v>
                </c:pt>
                <c:pt idx="13">
                  <c:v>2007-01</c:v>
                </c:pt>
                <c:pt idx="14">
                  <c:v>2007-02</c:v>
                </c:pt>
                <c:pt idx="15">
                  <c:v>2007-03</c:v>
                </c:pt>
                <c:pt idx="16">
                  <c:v>2007-04</c:v>
                </c:pt>
                <c:pt idx="17">
                  <c:v>2007-05</c:v>
                </c:pt>
                <c:pt idx="18">
                  <c:v>2007-06</c:v>
                </c:pt>
                <c:pt idx="19">
                  <c:v>2007-07</c:v>
                </c:pt>
                <c:pt idx="20">
                  <c:v>2007-08</c:v>
                </c:pt>
                <c:pt idx="21">
                  <c:v>2007-09</c:v>
                </c:pt>
                <c:pt idx="22">
                  <c:v>2007-10</c:v>
                </c:pt>
                <c:pt idx="23">
                  <c:v>2007-11</c:v>
                </c:pt>
                <c:pt idx="24">
                  <c:v>2007-12</c:v>
                </c:pt>
                <c:pt idx="25">
                  <c:v>2008-01</c:v>
                </c:pt>
                <c:pt idx="26">
                  <c:v>2008-02</c:v>
                </c:pt>
                <c:pt idx="27">
                  <c:v>2008-03</c:v>
                </c:pt>
                <c:pt idx="28">
                  <c:v>2008-04</c:v>
                </c:pt>
                <c:pt idx="29">
                  <c:v>2008-05</c:v>
                </c:pt>
                <c:pt idx="30">
                  <c:v>2008-06</c:v>
                </c:pt>
                <c:pt idx="31">
                  <c:v>2008-07</c:v>
                </c:pt>
                <c:pt idx="32">
                  <c:v>2008-08</c:v>
                </c:pt>
                <c:pt idx="33">
                  <c:v>2008-09</c:v>
                </c:pt>
                <c:pt idx="34">
                  <c:v>2008-10</c:v>
                </c:pt>
                <c:pt idx="35">
                  <c:v>2008-11</c:v>
                </c:pt>
                <c:pt idx="36">
                  <c:v>2008-12</c:v>
                </c:pt>
                <c:pt idx="37">
                  <c:v>2009-01</c:v>
                </c:pt>
                <c:pt idx="38">
                  <c:v>2009-02</c:v>
                </c:pt>
                <c:pt idx="39">
                  <c:v>2009-03</c:v>
                </c:pt>
                <c:pt idx="40">
                  <c:v>2009-04</c:v>
                </c:pt>
                <c:pt idx="41">
                  <c:v>2009-05</c:v>
                </c:pt>
                <c:pt idx="42">
                  <c:v>2009-06</c:v>
                </c:pt>
                <c:pt idx="43">
                  <c:v>2009-07</c:v>
                </c:pt>
                <c:pt idx="44">
                  <c:v>2009-08</c:v>
                </c:pt>
                <c:pt idx="45">
                  <c:v>2009-09</c:v>
                </c:pt>
                <c:pt idx="46">
                  <c:v>2009-10</c:v>
                </c:pt>
                <c:pt idx="47">
                  <c:v>2009-11</c:v>
                </c:pt>
                <c:pt idx="48">
                  <c:v>2009-12</c:v>
                </c:pt>
                <c:pt idx="49">
                  <c:v>2010-01</c:v>
                </c:pt>
                <c:pt idx="50">
                  <c:v>2010-02</c:v>
                </c:pt>
                <c:pt idx="51">
                  <c:v>2010-03</c:v>
                </c:pt>
                <c:pt idx="52">
                  <c:v>2010-04</c:v>
                </c:pt>
                <c:pt idx="53">
                  <c:v>2010-05</c:v>
                </c:pt>
                <c:pt idx="54">
                  <c:v>2010-06</c:v>
                </c:pt>
                <c:pt idx="55">
                  <c:v>2010-07</c:v>
                </c:pt>
                <c:pt idx="56">
                  <c:v>2010-08</c:v>
                </c:pt>
                <c:pt idx="57">
                  <c:v>2010-09</c:v>
                </c:pt>
                <c:pt idx="58">
                  <c:v>2010-10</c:v>
                </c:pt>
                <c:pt idx="59">
                  <c:v>2010-11</c:v>
                </c:pt>
                <c:pt idx="60">
                  <c:v>2010-12</c:v>
                </c:pt>
                <c:pt idx="61">
                  <c:v>2011-01</c:v>
                </c:pt>
                <c:pt idx="62">
                  <c:v>2011-02</c:v>
                </c:pt>
                <c:pt idx="63">
                  <c:v>2011-03</c:v>
                </c:pt>
                <c:pt idx="64">
                  <c:v>2011-04</c:v>
                </c:pt>
                <c:pt idx="65">
                  <c:v>2011-05</c:v>
                </c:pt>
                <c:pt idx="66">
                  <c:v>2011-06</c:v>
                </c:pt>
                <c:pt idx="67">
                  <c:v>2011-07</c:v>
                </c:pt>
                <c:pt idx="68">
                  <c:v>2011-08</c:v>
                </c:pt>
                <c:pt idx="69">
                  <c:v>2011-09</c:v>
                </c:pt>
                <c:pt idx="70">
                  <c:v>2011-10</c:v>
                </c:pt>
                <c:pt idx="71">
                  <c:v>2011-11</c:v>
                </c:pt>
                <c:pt idx="72">
                  <c:v>2011-12</c:v>
                </c:pt>
                <c:pt idx="73">
                  <c:v>2012-01</c:v>
                </c:pt>
                <c:pt idx="74">
                  <c:v>2012-02</c:v>
                </c:pt>
                <c:pt idx="75">
                  <c:v>2012-03</c:v>
                </c:pt>
                <c:pt idx="76">
                  <c:v>2012-04</c:v>
                </c:pt>
                <c:pt idx="77">
                  <c:v>2012-05</c:v>
                </c:pt>
                <c:pt idx="78">
                  <c:v>2012-06</c:v>
                </c:pt>
                <c:pt idx="79">
                  <c:v>2012-07</c:v>
                </c:pt>
                <c:pt idx="80">
                  <c:v>2012-08</c:v>
                </c:pt>
                <c:pt idx="81">
                  <c:v>2012-09</c:v>
                </c:pt>
                <c:pt idx="82">
                  <c:v>2012-10</c:v>
                </c:pt>
                <c:pt idx="83">
                  <c:v>2012-11</c:v>
                </c:pt>
                <c:pt idx="84">
                  <c:v>2012-12</c:v>
                </c:pt>
                <c:pt idx="85">
                  <c:v>2013-01</c:v>
                </c:pt>
                <c:pt idx="86">
                  <c:v>2013-02</c:v>
                </c:pt>
                <c:pt idx="87">
                  <c:v>2013-03</c:v>
                </c:pt>
                <c:pt idx="88">
                  <c:v>2013-04</c:v>
                </c:pt>
                <c:pt idx="89">
                  <c:v>2013-05</c:v>
                </c:pt>
                <c:pt idx="90">
                  <c:v>2013-06</c:v>
                </c:pt>
                <c:pt idx="91">
                  <c:v>2013-07</c:v>
                </c:pt>
                <c:pt idx="92">
                  <c:v>2013-08</c:v>
                </c:pt>
                <c:pt idx="93">
                  <c:v>2013-09</c:v>
                </c:pt>
                <c:pt idx="94">
                  <c:v>2013-10</c:v>
                </c:pt>
                <c:pt idx="95">
                  <c:v>2013-11</c:v>
                </c:pt>
                <c:pt idx="96">
                  <c:v>2013-12</c:v>
                </c:pt>
                <c:pt idx="97">
                  <c:v>2014-01</c:v>
                </c:pt>
                <c:pt idx="98">
                  <c:v>2014-02</c:v>
                </c:pt>
                <c:pt idx="99">
                  <c:v>2014-03</c:v>
                </c:pt>
                <c:pt idx="100">
                  <c:v>2014-04</c:v>
                </c:pt>
                <c:pt idx="101">
                  <c:v>2014-05</c:v>
                </c:pt>
                <c:pt idx="102">
                  <c:v>2014-06</c:v>
                </c:pt>
                <c:pt idx="103">
                  <c:v>2014-07</c:v>
                </c:pt>
                <c:pt idx="104">
                  <c:v>2014-08</c:v>
                </c:pt>
                <c:pt idx="105">
                  <c:v>2014-09</c:v>
                </c:pt>
                <c:pt idx="106">
                  <c:v>2014-10</c:v>
                </c:pt>
                <c:pt idx="107">
                  <c:v>2014-11</c:v>
                </c:pt>
                <c:pt idx="108">
                  <c:v>2014-12</c:v>
                </c:pt>
                <c:pt idx="109">
                  <c:v>2015-01</c:v>
                </c:pt>
                <c:pt idx="110">
                  <c:v>2015-02</c:v>
                </c:pt>
                <c:pt idx="111">
                  <c:v>2015-03</c:v>
                </c:pt>
                <c:pt idx="112">
                  <c:v>2015-04</c:v>
                </c:pt>
                <c:pt idx="113">
                  <c:v>2015-05</c:v>
                </c:pt>
                <c:pt idx="114">
                  <c:v>2015-06</c:v>
                </c:pt>
                <c:pt idx="115">
                  <c:v>2015-07</c:v>
                </c:pt>
                <c:pt idx="116">
                  <c:v>2015-08</c:v>
                </c:pt>
                <c:pt idx="117">
                  <c:v>2015-09</c:v>
                </c:pt>
                <c:pt idx="118">
                  <c:v>2015-10</c:v>
                </c:pt>
                <c:pt idx="119">
                  <c:v>2015-11</c:v>
                </c:pt>
                <c:pt idx="120">
                  <c:v>2015-12</c:v>
                </c:pt>
                <c:pt idx="121">
                  <c:v>2016-01</c:v>
                </c:pt>
                <c:pt idx="122">
                  <c:v>2016-02</c:v>
                </c:pt>
                <c:pt idx="123">
                  <c:v>2016-03</c:v>
                </c:pt>
                <c:pt idx="124">
                  <c:v>2016-04</c:v>
                </c:pt>
                <c:pt idx="125">
                  <c:v>2016-05</c:v>
                </c:pt>
                <c:pt idx="126">
                  <c:v>2016-06</c:v>
                </c:pt>
                <c:pt idx="127">
                  <c:v>2016-07</c:v>
                </c:pt>
                <c:pt idx="128">
                  <c:v>2016-08</c:v>
                </c:pt>
                <c:pt idx="129">
                  <c:v>2016-09</c:v>
                </c:pt>
                <c:pt idx="130">
                  <c:v>2016-10</c:v>
                </c:pt>
                <c:pt idx="131">
                  <c:v>2016-11</c:v>
                </c:pt>
                <c:pt idx="132">
                  <c:v>2016-12</c:v>
                </c:pt>
                <c:pt idx="133">
                  <c:v>2017-01</c:v>
                </c:pt>
                <c:pt idx="134">
                  <c:v>2017-02</c:v>
                </c:pt>
                <c:pt idx="135">
                  <c:v>2017-03</c:v>
                </c:pt>
                <c:pt idx="136">
                  <c:v>2017-04</c:v>
                </c:pt>
                <c:pt idx="137">
                  <c:v>2017-05</c:v>
                </c:pt>
                <c:pt idx="138">
                  <c:v>2017-06</c:v>
                </c:pt>
                <c:pt idx="139">
                  <c:v>2017-07</c:v>
                </c:pt>
                <c:pt idx="140">
                  <c:v>2017-08</c:v>
                </c:pt>
                <c:pt idx="141">
                  <c:v>2017-09</c:v>
                </c:pt>
                <c:pt idx="142">
                  <c:v>2017-10</c:v>
                </c:pt>
                <c:pt idx="143">
                  <c:v>2017-11</c:v>
                </c:pt>
                <c:pt idx="144">
                  <c:v>2017-12</c:v>
                </c:pt>
                <c:pt idx="145">
                  <c:v>2018-01</c:v>
                </c:pt>
                <c:pt idx="146">
                  <c:v>2018-02</c:v>
                </c:pt>
                <c:pt idx="147">
                  <c:v>2018-03</c:v>
                </c:pt>
                <c:pt idx="148">
                  <c:v>2018-04</c:v>
                </c:pt>
                <c:pt idx="149">
                  <c:v>2018-05</c:v>
                </c:pt>
                <c:pt idx="150">
                  <c:v>2018-06</c:v>
                </c:pt>
                <c:pt idx="151">
                  <c:v>2018-07</c:v>
                </c:pt>
                <c:pt idx="152">
                  <c:v>2018-08</c:v>
                </c:pt>
                <c:pt idx="153">
                  <c:v>2018-09</c:v>
                </c:pt>
                <c:pt idx="154">
                  <c:v>2018-10</c:v>
                </c:pt>
                <c:pt idx="155">
                  <c:v>2018-11</c:v>
                </c:pt>
                <c:pt idx="156">
                  <c:v>2018-12</c:v>
                </c:pt>
                <c:pt idx="157">
                  <c:v>2019-01</c:v>
                </c:pt>
                <c:pt idx="158">
                  <c:v>2019-02</c:v>
                </c:pt>
                <c:pt idx="159">
                  <c:v>2019-03</c:v>
                </c:pt>
                <c:pt idx="160">
                  <c:v>2019-04</c:v>
                </c:pt>
                <c:pt idx="161">
                  <c:v>2019-05</c:v>
                </c:pt>
                <c:pt idx="162">
                  <c:v>2019-06</c:v>
                </c:pt>
                <c:pt idx="163">
                  <c:v>2019-07</c:v>
                </c:pt>
                <c:pt idx="164">
                  <c:v>2019-08</c:v>
                </c:pt>
                <c:pt idx="165">
                  <c:v>2019-09</c:v>
                </c:pt>
                <c:pt idx="166">
                  <c:v>2019-10</c:v>
                </c:pt>
                <c:pt idx="167">
                  <c:v>2019-11</c:v>
                </c:pt>
                <c:pt idx="168">
                  <c:v>2019-12</c:v>
                </c:pt>
                <c:pt idx="169">
                  <c:v>2020-01</c:v>
                </c:pt>
                <c:pt idx="170">
                  <c:v>2020-02</c:v>
                </c:pt>
                <c:pt idx="171">
                  <c:v>2020-03</c:v>
                </c:pt>
                <c:pt idx="172">
                  <c:v>2020-04</c:v>
                </c:pt>
                <c:pt idx="173">
                  <c:v>2020-05</c:v>
                </c:pt>
                <c:pt idx="174">
                  <c:v>2020-06</c:v>
                </c:pt>
                <c:pt idx="175">
                  <c:v>2020-07</c:v>
                </c:pt>
                <c:pt idx="176">
                  <c:v>2020-08</c:v>
                </c:pt>
                <c:pt idx="177">
                  <c:v>2020-09</c:v>
                </c:pt>
                <c:pt idx="178">
                  <c:v>2020-10</c:v>
                </c:pt>
                <c:pt idx="179">
                  <c:v>2020-11</c:v>
                </c:pt>
                <c:pt idx="180">
                  <c:v>2020-12</c:v>
                </c:pt>
                <c:pt idx="181">
                  <c:v>2021-01</c:v>
                </c:pt>
                <c:pt idx="182">
                  <c:v>2021-02</c:v>
                </c:pt>
                <c:pt idx="183">
                  <c:v>2021-03</c:v>
                </c:pt>
                <c:pt idx="184">
                  <c:v>2021-04</c:v>
                </c:pt>
                <c:pt idx="185">
                  <c:v>2021-05</c:v>
                </c:pt>
                <c:pt idx="186">
                  <c:v>2021-06</c:v>
                </c:pt>
                <c:pt idx="187">
                  <c:v>2021-07</c:v>
                </c:pt>
                <c:pt idx="188">
                  <c:v>2021-08</c:v>
                </c:pt>
                <c:pt idx="189">
                  <c:v>2021-09</c:v>
                </c:pt>
                <c:pt idx="190">
                  <c:v>2021-10</c:v>
                </c:pt>
                <c:pt idx="191">
                  <c:v>2021-11</c:v>
                </c:pt>
                <c:pt idx="192">
                  <c:v>2021-12</c:v>
                </c:pt>
              </c:strCache>
            </c:strRef>
          </c:cat>
          <c:val>
            <c:numRef>
              <c:f>Sheet1!$G$2:$G$194</c:f>
              <c:numCache>
                <c:formatCode>0.00%</c:formatCode>
                <c:ptCount val="193"/>
                <c:pt idx="1">
                  <c:v>5.6074766355140138E-2</c:v>
                </c:pt>
                <c:pt idx="2">
                  <c:v>1.6090104585680036E-3</c:v>
                </c:pt>
                <c:pt idx="3">
                  <c:v>-8.0321285140557688E-4</c:v>
                </c:pt>
                <c:pt idx="4">
                  <c:v>-3.4565916398713918E-2</c:v>
                </c:pt>
                <c:pt idx="5">
                  <c:v>-0.11074104912572855</c:v>
                </c:pt>
                <c:pt idx="6">
                  <c:v>7.7715355805243427E-2</c:v>
                </c:pt>
                <c:pt idx="7">
                  <c:v>2.6064291920069507E-2</c:v>
                </c:pt>
                <c:pt idx="8">
                  <c:v>-0.12193056731583397</c:v>
                </c:pt>
                <c:pt idx="9">
                  <c:v>4.7251687560269928E-2</c:v>
                </c:pt>
                <c:pt idx="10">
                  <c:v>6.6298342541436489E-2</c:v>
                </c:pt>
                <c:pt idx="11">
                  <c:v>-3.7132987910189957E-2</c:v>
                </c:pt>
                <c:pt idx="12">
                  <c:v>5.2914798206278077E-2</c:v>
                </c:pt>
                <c:pt idx="13">
                  <c:v>5.5366269165247013E-2</c:v>
                </c:pt>
                <c:pt idx="14">
                  <c:v>-8.0710250201782507E-4</c:v>
                </c:pt>
                <c:pt idx="15">
                  <c:v>-2.5040387722132428E-2</c:v>
                </c:pt>
                <c:pt idx="16">
                  <c:v>2.9826014913007407E-2</c:v>
                </c:pt>
                <c:pt idx="17">
                  <c:v>-1.4481094127111804E-2</c:v>
                </c:pt>
                <c:pt idx="18">
                  <c:v>-1.6326530612245131E-3</c:v>
                </c:pt>
                <c:pt idx="19">
                  <c:v>3.6794766966475878E-2</c:v>
                </c:pt>
                <c:pt idx="20">
                  <c:v>-1.2618296529968411E-2</c:v>
                </c:pt>
                <c:pt idx="21">
                  <c:v>-5.5910543130990413E-2</c:v>
                </c:pt>
                <c:pt idx="22">
                  <c:v>6.7681895093062605E-2</c:v>
                </c:pt>
                <c:pt idx="23">
                  <c:v>-1.0301109350237696E-2</c:v>
                </c:pt>
                <c:pt idx="24">
                  <c:v>1.5212169735788561E-2</c:v>
                </c:pt>
                <c:pt idx="25">
                  <c:v>-6.4668769716088356E-2</c:v>
                </c:pt>
                <c:pt idx="26">
                  <c:v>-2.3608768971332187E-2</c:v>
                </c:pt>
                <c:pt idx="27">
                  <c:v>-5.4404145077720185E-2</c:v>
                </c:pt>
                <c:pt idx="28">
                  <c:v>-8.5844748858447534E-2</c:v>
                </c:pt>
                <c:pt idx="29">
                  <c:v>-2.9970029970029972E-2</c:v>
                </c:pt>
                <c:pt idx="30">
                  <c:v>-6.5911431513903107E-2</c:v>
                </c:pt>
                <c:pt idx="31">
                  <c:v>1.4332965821389163E-2</c:v>
                </c:pt>
                <c:pt idx="32">
                  <c:v>2.9347826086956554E-2</c:v>
                </c:pt>
                <c:pt idx="33">
                  <c:v>6.863780359028511E-2</c:v>
                </c:pt>
                <c:pt idx="34">
                  <c:v>-0.10671936758893277</c:v>
                </c:pt>
                <c:pt idx="35">
                  <c:v>2.9867256637168015E-2</c:v>
                </c:pt>
                <c:pt idx="36">
                  <c:v>7.1965628356605832E-2</c:v>
                </c:pt>
                <c:pt idx="37">
                  <c:v>1.3026052104208388E-2</c:v>
                </c:pt>
                <c:pt idx="38">
                  <c:v>-6.1325420375865372E-2</c:v>
                </c:pt>
                <c:pt idx="39">
                  <c:v>9.4836670179135035E-3</c:v>
                </c:pt>
                <c:pt idx="40">
                  <c:v>6.4718162839248472E-2</c:v>
                </c:pt>
                <c:pt idx="41">
                  <c:v>-1.9607843137255179E-3</c:v>
                </c:pt>
                <c:pt idx="42">
                  <c:v>7.6620825147347721E-2</c:v>
                </c:pt>
                <c:pt idx="43">
                  <c:v>4.835766423357675E-2</c:v>
                </c:pt>
                <c:pt idx="44">
                  <c:v>5.6570931244560488E-2</c:v>
                </c:pt>
                <c:pt idx="45">
                  <c:v>1.2355848434925864E-2</c:v>
                </c:pt>
                <c:pt idx="46">
                  <c:v>3.336045565500402E-2</c:v>
                </c:pt>
                <c:pt idx="47">
                  <c:v>-8.6614173228346004E-3</c:v>
                </c:pt>
                <c:pt idx="48">
                  <c:v>-2.1445591739475797E-2</c:v>
                </c:pt>
                <c:pt idx="49">
                  <c:v>4.4642857142857026E-2</c:v>
                </c:pt>
                <c:pt idx="50">
                  <c:v>-1.8648018648018582E-2</c:v>
                </c:pt>
                <c:pt idx="51">
                  <c:v>1.0292953285827373E-2</c:v>
                </c:pt>
                <c:pt idx="52">
                  <c:v>-1.7241379310344741E-2</c:v>
                </c:pt>
                <c:pt idx="53">
                  <c:v>-4.3859649122807015E-2</c:v>
                </c:pt>
                <c:pt idx="54">
                  <c:v>-5.8381984987489807E-3</c:v>
                </c:pt>
                <c:pt idx="55">
                  <c:v>3.9429530201342308E-2</c:v>
                </c:pt>
                <c:pt idx="56">
                  <c:v>1.3720742534301764E-2</c:v>
                </c:pt>
                <c:pt idx="57">
                  <c:v>-1.6719745222929891E-2</c:v>
                </c:pt>
                <c:pt idx="58">
                  <c:v>3.2388663967611336E-2</c:v>
                </c:pt>
                <c:pt idx="59">
                  <c:v>-2.9803921568627427E-2</c:v>
                </c:pt>
                <c:pt idx="60">
                  <c:v>-2.5060630557801201E-2</c:v>
                </c:pt>
                <c:pt idx="61">
                  <c:v>1.4096185737976807E-2</c:v>
                </c:pt>
                <c:pt idx="62">
                  <c:v>-3.1071136549468498E-2</c:v>
                </c:pt>
                <c:pt idx="63">
                  <c:v>-1.2658227848101266E-2</c:v>
                </c:pt>
                <c:pt idx="64">
                  <c:v>1.9658119658119633E-2</c:v>
                </c:pt>
                <c:pt idx="65">
                  <c:v>-1.9279128248113973E-2</c:v>
                </c:pt>
                <c:pt idx="66">
                  <c:v>-5.128205128205128E-2</c:v>
                </c:pt>
                <c:pt idx="67">
                  <c:v>-2.1621621621621671E-2</c:v>
                </c:pt>
                <c:pt idx="68">
                  <c:v>-7.3664825046040258E-3</c:v>
                </c:pt>
                <c:pt idx="69">
                  <c:v>3.8961038961038988E-2</c:v>
                </c:pt>
                <c:pt idx="70">
                  <c:v>-6.2500000000000255E-3</c:v>
                </c:pt>
                <c:pt idx="71">
                  <c:v>2.9649595687331512E-2</c:v>
                </c:pt>
                <c:pt idx="72">
                  <c:v>-3.1413612565444976E-2</c:v>
                </c:pt>
                <c:pt idx="73">
                  <c:v>5.8558558558558557E-2</c:v>
                </c:pt>
                <c:pt idx="74">
                  <c:v>-2.2127659574468037E-2</c:v>
                </c:pt>
                <c:pt idx="75">
                  <c:v>-2.8720626631853884E-2</c:v>
                </c:pt>
                <c:pt idx="76">
                  <c:v>-8.0645161290321815E-3</c:v>
                </c:pt>
                <c:pt idx="77">
                  <c:v>-9.0334236675707795E-4</c:v>
                </c:pt>
                <c:pt idx="78">
                  <c:v>-8.1374321880650236E-3</c:v>
                </c:pt>
                <c:pt idx="79">
                  <c:v>9.1157702825883603E-4</c:v>
                </c:pt>
                <c:pt idx="80">
                  <c:v>2.914389799635704E-2</c:v>
                </c:pt>
                <c:pt idx="81">
                  <c:v>9.7345132743362327E-3</c:v>
                </c:pt>
                <c:pt idx="82">
                  <c:v>6.1349693251533995E-3</c:v>
                </c:pt>
                <c:pt idx="83">
                  <c:v>-6.0975609756097806E-3</c:v>
                </c:pt>
                <c:pt idx="84">
                  <c:v>1.4022787028922073E-2</c:v>
                </c:pt>
                <c:pt idx="85">
                  <c:v>4.4943820224719128E-2</c:v>
                </c:pt>
                <c:pt idx="86">
                  <c:v>-9.9255583126551094E-3</c:v>
                </c:pt>
                <c:pt idx="87">
                  <c:v>1.0860484544695048E-2</c:v>
                </c:pt>
                <c:pt idx="88">
                  <c:v>7.4380165289256667E-3</c:v>
                </c:pt>
                <c:pt idx="89">
                  <c:v>-5.4142739950779395E-2</c:v>
                </c:pt>
                <c:pt idx="90">
                  <c:v>-6.0711188204683681E-3</c:v>
                </c:pt>
                <c:pt idx="91">
                  <c:v>1.3961605584642309E-2</c:v>
                </c:pt>
                <c:pt idx="92">
                  <c:v>-5.1635111876076464E-3</c:v>
                </c:pt>
                <c:pt idx="93">
                  <c:v>5.7958477508650547E-2</c:v>
                </c:pt>
                <c:pt idx="94">
                  <c:v>-4.0883074407195418E-3</c:v>
                </c:pt>
                <c:pt idx="95">
                  <c:v>-5.7471264367816325E-3</c:v>
                </c:pt>
                <c:pt idx="96">
                  <c:v>-3.9636663914120539E-2</c:v>
                </c:pt>
                <c:pt idx="97">
                  <c:v>3.4393809114359906E-3</c:v>
                </c:pt>
                <c:pt idx="98">
                  <c:v>-2.8277634961439563E-2</c:v>
                </c:pt>
                <c:pt idx="99">
                  <c:v>-5.2910052910053662E-3</c:v>
                </c:pt>
                <c:pt idx="100">
                  <c:v>5.3191489361702881E-3</c:v>
                </c:pt>
                <c:pt idx="101">
                  <c:v>-9.700176366843033E-2</c:v>
                </c:pt>
                <c:pt idx="102">
                  <c:v>8.7890624999999167E-3</c:v>
                </c:pt>
                <c:pt idx="103">
                  <c:v>6.2923523717328178E-2</c:v>
                </c:pt>
                <c:pt idx="104">
                  <c:v>2.367941712204015E-2</c:v>
                </c:pt>
                <c:pt idx="105">
                  <c:v>8.8967971530244053E-4</c:v>
                </c:pt>
                <c:pt idx="106">
                  <c:v>3.555555555555606E-3</c:v>
                </c:pt>
                <c:pt idx="107">
                  <c:v>1.151461470327721E-2</c:v>
                </c:pt>
                <c:pt idx="108">
                  <c:v>-1.7513134851138354E-2</c:v>
                </c:pt>
                <c:pt idx="109">
                  <c:v>3.5650623885917243E-3</c:v>
                </c:pt>
                <c:pt idx="110">
                  <c:v>-1.2433392539964401E-2</c:v>
                </c:pt>
                <c:pt idx="111">
                  <c:v>8.9928057553951722E-4</c:v>
                </c:pt>
                <c:pt idx="112">
                  <c:v>-7.1877807726864074E-3</c:v>
                </c:pt>
                <c:pt idx="113">
                  <c:v>1.2669683257918604E-2</c:v>
                </c:pt>
                <c:pt idx="114">
                  <c:v>1.4298480786416391E-2</c:v>
                </c:pt>
                <c:pt idx="115">
                  <c:v>-1.5859030837004379E-2</c:v>
                </c:pt>
                <c:pt idx="116">
                  <c:v>1.0743061772605218E-2</c:v>
                </c:pt>
                <c:pt idx="117">
                  <c:v>-2.5686448184233886E-2</c:v>
                </c:pt>
                <c:pt idx="118">
                  <c:v>2.1818181818181868E-2</c:v>
                </c:pt>
                <c:pt idx="119">
                  <c:v>2.5800711743772166E-2</c:v>
                </c:pt>
                <c:pt idx="120">
                  <c:v>-4.3365134431916736E-3</c:v>
                </c:pt>
                <c:pt idx="121">
                  <c:v>-6.9686411149825541E-3</c:v>
                </c:pt>
                <c:pt idx="122">
                  <c:v>-1.1403508771929799E-2</c:v>
                </c:pt>
                <c:pt idx="123">
                  <c:v>1.6858917480035415E-2</c:v>
                </c:pt>
                <c:pt idx="124">
                  <c:v>-9.5986038394414875E-3</c:v>
                </c:pt>
                <c:pt idx="125">
                  <c:v>9.6916299559470873E-3</c:v>
                </c:pt>
                <c:pt idx="126">
                  <c:v>1.4834205933682398E-2</c:v>
                </c:pt>
                <c:pt idx="127">
                  <c:v>-6.0189165950129226E-3</c:v>
                </c:pt>
                <c:pt idx="128">
                  <c:v>2.0761245674740535E-2</c:v>
                </c:pt>
                <c:pt idx="129">
                  <c:v>-1.1864406779661066E-2</c:v>
                </c:pt>
                <c:pt idx="130">
                  <c:v>1.6295025728988041E-2</c:v>
                </c:pt>
                <c:pt idx="131">
                  <c:v>-2.1940928270042147E-2</c:v>
                </c:pt>
                <c:pt idx="132">
                  <c:v>-8.6281276962906406E-4</c:v>
                </c:pt>
                <c:pt idx="133">
                  <c:v>2.4179620034542292E-2</c:v>
                </c:pt>
                <c:pt idx="134">
                  <c:v>-1.602023608768964E-2</c:v>
                </c:pt>
                <c:pt idx="135">
                  <c:v>-2.9991431019708654E-2</c:v>
                </c:pt>
                <c:pt idx="136">
                  <c:v>-8.8339222614840993E-3</c:v>
                </c:pt>
                <c:pt idx="137">
                  <c:v>-9.8039215686275272E-3</c:v>
                </c:pt>
                <c:pt idx="138">
                  <c:v>1.2601260126012653E-2</c:v>
                </c:pt>
                <c:pt idx="139">
                  <c:v>1.9555555555555579E-2</c:v>
                </c:pt>
                <c:pt idx="140">
                  <c:v>-2.3539668700959047E-2</c:v>
                </c:pt>
                <c:pt idx="141">
                  <c:v>1.071428571428574E-2</c:v>
                </c:pt>
                <c:pt idx="142">
                  <c:v>8.8339222614835968E-4</c:v>
                </c:pt>
                <c:pt idx="143">
                  <c:v>8.8261253309797009E-3</c:v>
                </c:pt>
                <c:pt idx="144">
                  <c:v>1.1373578302712137E-2</c:v>
                </c:pt>
                <c:pt idx="145">
                  <c:v>5.017301038062294E-2</c:v>
                </c:pt>
                <c:pt idx="146">
                  <c:v>-2.059308072487644E-2</c:v>
                </c:pt>
                <c:pt idx="147">
                  <c:v>-1.0092514718250654E-2</c:v>
                </c:pt>
                <c:pt idx="148">
                  <c:v>-7.6465590484282552E-3</c:v>
                </c:pt>
                <c:pt idx="149">
                  <c:v>2.6541095890411034E-2</c:v>
                </c:pt>
                <c:pt idx="150">
                  <c:v>6.6722268557130706E-3</c:v>
                </c:pt>
                <c:pt idx="151">
                  <c:v>-4.9710024855013132E-3</c:v>
                </c:pt>
                <c:pt idx="152">
                  <c:v>-2.6644462947543621E-2</c:v>
                </c:pt>
                <c:pt idx="153">
                  <c:v>3.4217279726261032E-3</c:v>
                </c:pt>
                <c:pt idx="154">
                  <c:v>-4.2625745950554137E-3</c:v>
                </c:pt>
                <c:pt idx="155">
                  <c:v>3.4246575342466242E-3</c:v>
                </c:pt>
                <c:pt idx="156">
                  <c:v>1.0238907849829375E-2</c:v>
                </c:pt>
                <c:pt idx="157">
                  <c:v>-1.9425675675675772E-2</c:v>
                </c:pt>
                <c:pt idx="158">
                  <c:v>-6.029285099052443E-3</c:v>
                </c:pt>
                <c:pt idx="159">
                  <c:v>-2.9462738301559838E-2</c:v>
                </c:pt>
                <c:pt idx="160">
                  <c:v>3.3035714285714314E-2</c:v>
                </c:pt>
                <c:pt idx="161">
                  <c:v>8.6430423509075184E-3</c:v>
                </c:pt>
                <c:pt idx="162">
                  <c:v>-5.1413881748072713E-3</c:v>
                </c:pt>
                <c:pt idx="163">
                  <c:v>4.3066322136089581E-3</c:v>
                </c:pt>
                <c:pt idx="164">
                  <c:v>-7.7186963979416082E-3</c:v>
                </c:pt>
                <c:pt idx="165">
                  <c:v>-2.5064822817631855E-2</c:v>
                </c:pt>
                <c:pt idx="166">
                  <c:v>-7.9787234042552439E-3</c:v>
                </c:pt>
                <c:pt idx="167">
                  <c:v>-6.2555853440572186E-3</c:v>
                </c:pt>
                <c:pt idx="168">
                  <c:v>-2.5179856115107889E-2</c:v>
                </c:pt>
                <c:pt idx="169">
                  <c:v>-9.2250922509225092E-3</c:v>
                </c:pt>
                <c:pt idx="170">
                  <c:v>9.3109869646182484E-3</c:v>
                </c:pt>
                <c:pt idx="171">
                  <c:v>-0.18357933579335797</c:v>
                </c:pt>
                <c:pt idx="172">
                  <c:v>-9.8305084745762744E-2</c:v>
                </c:pt>
                <c:pt idx="173">
                  <c:v>0.16040100250626563</c:v>
                </c:pt>
                <c:pt idx="174">
                  <c:v>3.9956803455723576E-2</c:v>
                </c:pt>
                <c:pt idx="175">
                  <c:v>-5.7113187954309454E-2</c:v>
                </c:pt>
                <c:pt idx="176">
                  <c:v>-1.8722466960352454E-2</c:v>
                </c:pt>
                <c:pt idx="177">
                  <c:v>3.0303030303030339E-2</c:v>
                </c:pt>
                <c:pt idx="178">
                  <c:v>5.2287581699346379E-2</c:v>
                </c:pt>
                <c:pt idx="179">
                  <c:v>5.9006211180124259E-2</c:v>
                </c:pt>
                <c:pt idx="180">
                  <c:v>7.331378299120235E-2</c:v>
                </c:pt>
                <c:pt idx="181">
                  <c:v>-1.8214936247723393E-3</c:v>
                </c:pt>
                <c:pt idx="182">
                  <c:v>9.1240875912408769E-3</c:v>
                </c:pt>
                <c:pt idx="183">
                  <c:v>2.7124773960218026E-3</c:v>
                </c:pt>
                <c:pt idx="184">
                  <c:v>1.0820559062218111E-2</c:v>
                </c:pt>
                <c:pt idx="185">
                  <c:v>6.2444246208742454E-3</c:v>
                </c:pt>
                <c:pt idx="186">
                  <c:v>-1.2411347517730421E-2</c:v>
                </c:pt>
                <c:pt idx="187">
                  <c:v>-2.5134649910233495E-2</c:v>
                </c:pt>
                <c:pt idx="188">
                  <c:v>-7.3664825046040522E-2</c:v>
                </c:pt>
                <c:pt idx="189">
                  <c:v>9.9403578528827041E-3</c:v>
                </c:pt>
                <c:pt idx="190">
                  <c:v>3.2480314960630037E-2</c:v>
                </c:pt>
                <c:pt idx="191">
                  <c:v>2.4785510009532833E-2</c:v>
                </c:pt>
                <c:pt idx="192">
                  <c:v>0</c:v>
                </c:pt>
              </c:numCache>
            </c:numRef>
          </c:val>
          <c:smooth val="0"/>
          <c:extLst>
            <c:ext xmlns:c16="http://schemas.microsoft.com/office/drawing/2014/chart" uri="{C3380CC4-5D6E-409C-BE32-E72D297353CC}">
              <c16:uniqueId val="{00000003-67A5-1D4D-8085-E6CEE826F682}"/>
            </c:ext>
          </c:extLst>
        </c:ser>
        <c:dLbls>
          <c:showLegendKey val="0"/>
          <c:showVal val="0"/>
          <c:showCatName val="0"/>
          <c:showSerName val="0"/>
          <c:showPercent val="0"/>
          <c:showBubbleSize val="0"/>
        </c:dLbls>
        <c:smooth val="0"/>
        <c:axId val="2145538544"/>
        <c:axId val="338626639"/>
      </c:lineChart>
      <c:dateAx>
        <c:axId val="214553854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2"/>
                </a:solidFill>
                <a:latin typeface="+mn-lt"/>
                <a:ea typeface="+mn-ea"/>
                <a:cs typeface="+mn-cs"/>
              </a:defRPr>
            </a:pPr>
            <a:endParaRPr lang="en-US"/>
          </a:p>
        </c:txPr>
        <c:crossAx val="338626639"/>
        <c:crosses val="autoZero"/>
        <c:auto val="0"/>
        <c:lblOffset val="100"/>
        <c:baseTimeUnit val="days"/>
        <c:minorUnit val="2"/>
      </c:dateAx>
      <c:valAx>
        <c:axId val="338626639"/>
        <c:scaling>
          <c:orientation val="minMax"/>
          <c:min val="-0.2"/>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14553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db3e7d1e2555d84b851cea18c52656a">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5182aceb416bbaa7398c0186b3ed3043"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6094DA-23FB-44D7-9A29-691B66ED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4.xml><?xml version="1.0" encoding="utf-8"?>
<ds:datastoreItem xmlns:ds="http://schemas.openxmlformats.org/officeDocument/2006/customXml" ds:itemID="{557E4C44-1483-4F82-97AA-588C5584F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normal2.dot</Template>
  <TotalTime>291</TotalTime>
  <Pages>16</Pages>
  <Words>17367</Words>
  <Characters>98994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568</cp:revision>
  <cp:lastPrinted>2015-03-05T01:11:00Z</cp:lastPrinted>
  <dcterms:created xsi:type="dcterms:W3CDTF">2023-08-31T07:11:00Z</dcterms:created>
  <dcterms:modified xsi:type="dcterms:W3CDTF">2024-03-11T07:18:00Z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ies>
</file>