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2398" w14:textId="5092DAE3" w:rsidR="008E12A6" w:rsidRDefault="00544578" w:rsidP="008E12A6">
      <w:pPr>
        <w:pStyle w:val="Title"/>
      </w:pPr>
      <w:r>
        <w:t xml:space="preserve">occupational licensing </w:t>
      </w:r>
      <w:r w:rsidR="00496B09">
        <w:t>–</w:t>
      </w:r>
      <w:r>
        <w:t xml:space="preserve"> </w:t>
      </w:r>
      <w:r w:rsidR="00496B09">
        <w:t>education</w:t>
      </w:r>
      <w:r w:rsidR="0008059D">
        <w:t>AL</w:t>
      </w:r>
      <w:r w:rsidR="00496B09">
        <w:t xml:space="preserve"> </w:t>
      </w:r>
      <w:r w:rsidR="00C30EA4">
        <w:t xml:space="preserve">reforms </w:t>
      </w:r>
      <w:r w:rsidR="00496B09">
        <w:t xml:space="preserve">for </w:t>
      </w:r>
      <w:r>
        <w:t xml:space="preserve">property </w:t>
      </w:r>
      <w:r w:rsidR="00C30EA4">
        <w:t xml:space="preserve"> licensing</w:t>
      </w:r>
    </w:p>
    <w:p w14:paraId="03B9379E" w14:textId="5450FF40" w:rsidR="008E12A6" w:rsidRPr="00D761A1" w:rsidRDefault="00D761A1" w:rsidP="00D761A1">
      <w:pPr>
        <w:pStyle w:val="Authors"/>
        <w:shd w:val="clear" w:color="auto" w:fill="FFFFFF" w:themeFill="background1"/>
      </w:pPr>
      <w:r w:rsidRPr="00D761A1">
        <w:t>Hera Antoniades</w:t>
      </w:r>
      <w:r w:rsidR="00ED1D42" w:rsidRPr="00D761A1">
        <w:rPr>
          <w:rStyle w:val="FootnoteReference"/>
        </w:rPr>
        <w:footnoteReference w:id="1"/>
      </w:r>
      <w:r w:rsidRPr="00D761A1">
        <w:t xml:space="preserve"> and Chris Eves</w:t>
      </w:r>
      <w:r w:rsidRPr="00D761A1">
        <w:rPr>
          <w:vertAlign w:val="superscript"/>
        </w:rPr>
        <w:t>2</w:t>
      </w:r>
      <w:r w:rsidR="008E12A6" w:rsidRPr="00D761A1">
        <w:t xml:space="preserve"> </w:t>
      </w:r>
    </w:p>
    <w:p w14:paraId="7397611E" w14:textId="084A81F3" w:rsidR="008E12A6" w:rsidRDefault="00D761A1" w:rsidP="008E12A6">
      <w:pPr>
        <w:pStyle w:val="Authors"/>
      </w:pPr>
      <w:r w:rsidRPr="00D761A1">
        <w:rPr>
          <w:vertAlign w:val="superscript"/>
        </w:rPr>
        <w:t>1</w:t>
      </w:r>
      <w:r>
        <w:t xml:space="preserve"> University of Technology Sydney</w:t>
      </w:r>
    </w:p>
    <w:p w14:paraId="0BFF8DC7" w14:textId="3DA06DF3" w:rsidR="00D761A1" w:rsidRPr="00D761A1" w:rsidRDefault="00D761A1" w:rsidP="008E12A6">
      <w:pPr>
        <w:pStyle w:val="Authors"/>
      </w:pPr>
      <w:r w:rsidRPr="00D761A1">
        <w:rPr>
          <w:vertAlign w:val="superscript"/>
        </w:rPr>
        <w:t xml:space="preserve">2 </w:t>
      </w:r>
      <w:r>
        <w:t>RMIT</w:t>
      </w:r>
    </w:p>
    <w:p w14:paraId="1175A8FF" w14:textId="77777777" w:rsidR="008E12A6" w:rsidRDefault="008E12A6" w:rsidP="008E12A6">
      <w:pPr>
        <w:pStyle w:val="Heading1"/>
      </w:pPr>
      <w:r>
        <w:t>Abstr</w:t>
      </w:r>
      <w:r w:rsidRPr="00FC7D67">
        <w:t>act</w:t>
      </w:r>
      <w:r w:rsidR="00496F0D">
        <w:t xml:space="preserve"> </w:t>
      </w:r>
    </w:p>
    <w:p w14:paraId="49B01B87" w14:textId="134DD3AD" w:rsidR="0071041F" w:rsidRPr="003E5BE9" w:rsidRDefault="004F2278" w:rsidP="0008059D">
      <w:pPr>
        <w:pStyle w:val="PhDNormal"/>
        <w:spacing w:after="0" w:line="240" w:lineRule="auto"/>
        <w:ind w:firstLine="0"/>
        <w:contextualSpacing/>
        <w:rPr>
          <w:i/>
          <w:sz w:val="22"/>
        </w:rPr>
      </w:pPr>
      <w:r w:rsidRPr="003E5BE9">
        <w:rPr>
          <w:i/>
          <w:sz w:val="22"/>
        </w:rPr>
        <w:t xml:space="preserve">In the </w:t>
      </w:r>
      <w:r w:rsidR="003F6D80" w:rsidRPr="003E5BE9">
        <w:rPr>
          <w:i/>
          <w:sz w:val="22"/>
        </w:rPr>
        <w:t xml:space="preserve">profession of property agency, </w:t>
      </w:r>
      <w:r w:rsidRPr="003E5BE9">
        <w:rPr>
          <w:i/>
          <w:sz w:val="22"/>
        </w:rPr>
        <w:t>the need for occupational licensing is widely used in Australia and also overseas.  In particular the property sector in NSW has been regulated for over 120 years.  The mishandling of trust money is a criminal offence and this is usually accompanied by a jail sentence. Additionally non ethical behaviour such as the agent acting negligently or breaching the duty of care to their principal is also considered a breach of the law.  In this regard NSW Fair Trading will take disciplinary action against the agent according to the severity of the breach.</w:t>
      </w:r>
      <w:r w:rsidR="003F6D80" w:rsidRPr="003E5BE9">
        <w:rPr>
          <w:i/>
          <w:sz w:val="22"/>
        </w:rPr>
        <w:t xml:space="preserve"> The aim of this research is to provide an introductory overview of trust fraud over a 20 year data set</w:t>
      </w:r>
      <w:r w:rsidR="0071041F" w:rsidRPr="003E5BE9">
        <w:rPr>
          <w:i/>
          <w:sz w:val="22"/>
        </w:rPr>
        <w:t>, analysed pre and post 2003</w:t>
      </w:r>
      <w:r w:rsidR="00544578">
        <w:rPr>
          <w:i/>
          <w:sz w:val="22"/>
        </w:rPr>
        <w:t xml:space="preserve"> </w:t>
      </w:r>
      <w:r w:rsidR="003F6D80" w:rsidRPr="003E5BE9">
        <w:rPr>
          <w:i/>
          <w:sz w:val="22"/>
        </w:rPr>
        <w:t xml:space="preserve">to determine if changes in educational requirements </w:t>
      </w:r>
      <w:r w:rsidR="0071041F" w:rsidRPr="003E5BE9">
        <w:rPr>
          <w:i/>
          <w:sz w:val="22"/>
        </w:rPr>
        <w:t xml:space="preserve">introduced in 2003 </w:t>
      </w:r>
      <w:r w:rsidR="003F6D80" w:rsidRPr="003E5BE9">
        <w:rPr>
          <w:i/>
          <w:sz w:val="22"/>
        </w:rPr>
        <w:t xml:space="preserve">were a contributing factor accounting for the increase with misappropriation of trust fraud. </w:t>
      </w:r>
      <w:r w:rsidR="0071041F" w:rsidRPr="003E5BE9">
        <w:rPr>
          <w:i/>
          <w:sz w:val="22"/>
        </w:rPr>
        <w:t xml:space="preserve">The findings identified a total of 140 instances of fraud, involving 171 individuals.   An analysis of the pre and post 2003 fraud activities, i.e. the 15 year subset within the larger 20 year data set, indicated that a higher percentage of individuals who obtained their licence from 2003 were involved in the fraud instances occurring between 2003 and 2017.  The data </w:t>
      </w:r>
      <w:r w:rsidR="007E1D87">
        <w:rPr>
          <w:i/>
          <w:sz w:val="22"/>
        </w:rPr>
        <w:t xml:space="preserve">from the 15 year subset </w:t>
      </w:r>
      <w:r w:rsidR="0071041F" w:rsidRPr="003E5BE9">
        <w:rPr>
          <w:i/>
          <w:sz w:val="22"/>
        </w:rPr>
        <w:t>showed 45.54% individuals were licenced prior to 2003 and 54.46% individuals were licenced from 2003.</w:t>
      </w:r>
    </w:p>
    <w:p w14:paraId="3AA45CCB" w14:textId="77777777" w:rsidR="0071041F" w:rsidRPr="0071041F" w:rsidRDefault="0071041F" w:rsidP="0008059D">
      <w:pPr>
        <w:pStyle w:val="PhDNormal"/>
        <w:spacing w:after="0" w:line="240" w:lineRule="auto"/>
        <w:ind w:firstLine="0"/>
        <w:contextualSpacing/>
        <w:rPr>
          <w:i/>
        </w:rPr>
      </w:pPr>
    </w:p>
    <w:p w14:paraId="0505129D" w14:textId="506A3C86" w:rsidR="0071041F" w:rsidRDefault="0071041F" w:rsidP="0008059D">
      <w:pPr>
        <w:pStyle w:val="AbstractPRRES2023"/>
        <w:spacing w:after="0" w:line="240" w:lineRule="auto"/>
        <w:contextualSpacing/>
        <w:rPr>
          <w:i/>
          <w:sz w:val="22"/>
        </w:rPr>
      </w:pPr>
    </w:p>
    <w:p w14:paraId="5C23FDFD" w14:textId="03912CC2" w:rsidR="004F2278" w:rsidRPr="003E5BE9" w:rsidRDefault="003E5BE9" w:rsidP="0008059D">
      <w:pPr>
        <w:pStyle w:val="AbstractPRRES2023"/>
        <w:spacing w:after="0" w:line="240" w:lineRule="auto"/>
        <w:contextualSpacing/>
        <w:rPr>
          <w:i/>
          <w:sz w:val="22"/>
        </w:rPr>
      </w:pPr>
      <w:r w:rsidRPr="003E5BE9">
        <w:rPr>
          <w:sz w:val="22"/>
        </w:rPr>
        <w:t xml:space="preserve">Keywords: </w:t>
      </w:r>
      <w:r w:rsidR="0071041F" w:rsidRPr="003E5BE9">
        <w:rPr>
          <w:sz w:val="22"/>
        </w:rPr>
        <w:t xml:space="preserve">Consumer Protection, Education, </w:t>
      </w:r>
      <w:r w:rsidRPr="003E5BE9">
        <w:rPr>
          <w:sz w:val="22"/>
        </w:rPr>
        <w:t xml:space="preserve"> </w:t>
      </w:r>
      <w:r w:rsidR="0071041F" w:rsidRPr="003E5BE9">
        <w:rPr>
          <w:sz w:val="22"/>
        </w:rPr>
        <w:t xml:space="preserve">Occupational Licensing, Property Agency, Real Estate Agent, Regulation, Trust Accounting, </w:t>
      </w:r>
    </w:p>
    <w:p w14:paraId="262ACEE8" w14:textId="09B3A07F" w:rsidR="00ED1D42" w:rsidRPr="0008059D" w:rsidRDefault="003E5BE9" w:rsidP="00D428DE">
      <w:pPr>
        <w:pStyle w:val="AbstractPRRES2023"/>
      </w:pPr>
      <w:r w:rsidRPr="0008059D">
        <w:rPr>
          <w:sz w:val="22"/>
        </w:rPr>
        <w:t xml:space="preserve">  </w:t>
      </w:r>
      <w:r w:rsidR="00D428DE" w:rsidRPr="0008059D">
        <w:t xml:space="preserve"> </w:t>
      </w:r>
    </w:p>
    <w:p w14:paraId="4F495137" w14:textId="065B353A" w:rsidR="006D0161" w:rsidRPr="0008059D" w:rsidRDefault="00D761A1" w:rsidP="0008059D">
      <w:pPr>
        <w:pStyle w:val="PRRESIncmainbody"/>
        <w:rPr>
          <w:b/>
        </w:rPr>
      </w:pPr>
      <w:r>
        <w:rPr>
          <w:b/>
        </w:rPr>
        <w:t>I</w:t>
      </w:r>
      <w:r w:rsidR="006D0161" w:rsidRPr="0008059D">
        <w:rPr>
          <w:b/>
        </w:rPr>
        <w:t>NTRODUCTION</w:t>
      </w:r>
    </w:p>
    <w:p w14:paraId="41C4530D" w14:textId="77777777" w:rsidR="00496B09" w:rsidRDefault="00496B09" w:rsidP="0008059D">
      <w:pPr>
        <w:pStyle w:val="PRRESIncmainbody"/>
      </w:pPr>
    </w:p>
    <w:p w14:paraId="07386E24" w14:textId="77777777" w:rsidR="00F2384E" w:rsidRDefault="00D408CA" w:rsidP="0008059D">
      <w:pPr>
        <w:pStyle w:val="PRRESIncmainbody"/>
      </w:pPr>
      <w:r>
        <w:t>The property industry ha</w:t>
      </w:r>
      <w:r w:rsidR="00544578">
        <w:t>s</w:t>
      </w:r>
      <w:r>
        <w:t xml:space="preserve"> undergone many changes due to innovative planning laws, multi-storey apartment dwellings and the general changing nature of society</w:t>
      </w:r>
      <w:r w:rsidR="00D428DE">
        <w:t xml:space="preserve">.  This includes the needs of consumers with transactions such as </w:t>
      </w:r>
      <w:r>
        <w:t>seeking rental and permanent accommodation</w:t>
      </w:r>
      <w:r w:rsidR="00544578">
        <w:t xml:space="preserve">, </w:t>
      </w:r>
      <w:r w:rsidR="00D428DE">
        <w:t>and the desire to purchase and/or sell property to satisfy the n</w:t>
      </w:r>
      <w:r w:rsidR="00DD3F47">
        <w:t xml:space="preserve">ecessity </w:t>
      </w:r>
      <w:r w:rsidR="00D428DE">
        <w:t>for shelter</w:t>
      </w:r>
      <w:r w:rsidR="002E23A2">
        <w:t xml:space="preserve"> and/or investment</w:t>
      </w:r>
      <w:r w:rsidR="00D428DE">
        <w:t>.</w:t>
      </w:r>
      <w:r w:rsidR="00F2384E">
        <w:t xml:space="preserve">  </w:t>
      </w:r>
    </w:p>
    <w:p w14:paraId="09920F30" w14:textId="77777777" w:rsidR="00F2384E" w:rsidRDefault="00F2384E" w:rsidP="00252DDF">
      <w:pPr>
        <w:pStyle w:val="PRRESIncmainbody"/>
      </w:pPr>
    </w:p>
    <w:p w14:paraId="62E4DBAC" w14:textId="2D82C17A" w:rsidR="00F23775" w:rsidRDefault="00E80509" w:rsidP="00880A27">
      <w:pPr>
        <w:pStyle w:val="PRRESIncmainbody"/>
      </w:pPr>
      <w:r>
        <w:t xml:space="preserve">Licensing of property agents in Australia is regulated under the auspices of individual state and territory Offices of Fair Trading. </w:t>
      </w:r>
      <w:r w:rsidR="00880A27">
        <w:t xml:space="preserve"> </w:t>
      </w:r>
      <w:r w:rsidR="00F2384E">
        <w:t xml:space="preserve">For </w:t>
      </w:r>
      <w:r w:rsidR="00D428DE">
        <w:t xml:space="preserve">many decades pre 2003, the 1941 legislation </w:t>
      </w:r>
      <w:r w:rsidR="00174652" w:rsidRPr="00F2384E">
        <w:t>Auctioneers, Stock and Station and Real Estate Agents Act</w:t>
      </w:r>
      <w:r w:rsidR="00F2384E">
        <w:t xml:space="preserve"> and later renamed to the 1994</w:t>
      </w:r>
      <w:r w:rsidR="00F2384E" w:rsidRPr="00F2384E">
        <w:rPr>
          <w:sz w:val="16"/>
          <w:szCs w:val="16"/>
        </w:rPr>
        <w:t xml:space="preserve"> </w:t>
      </w:r>
      <w:r w:rsidR="00174652" w:rsidRPr="00F2384E">
        <w:t xml:space="preserve">Property, Stock and Business Agents Act </w:t>
      </w:r>
      <w:r w:rsidR="00F2384E">
        <w:t>oversaw the le</w:t>
      </w:r>
      <w:r w:rsidR="00F2384E" w:rsidRPr="00DC4928">
        <w:t xml:space="preserve">gislative requirements for the property industry. </w:t>
      </w:r>
      <w:r w:rsidR="00D428DE" w:rsidRPr="00DC4928">
        <w:t xml:space="preserve">However the legislation was considered too outdated and did not meet the needs of various industry and consumer groups, and again </w:t>
      </w:r>
      <w:r w:rsidR="00F23775">
        <w:t xml:space="preserve">the </w:t>
      </w:r>
      <w:r w:rsidR="00D428DE" w:rsidRPr="00DC4928">
        <w:t xml:space="preserve">primary consideration related to enhancing consumer protection.  </w:t>
      </w:r>
      <w:r w:rsidR="00F2384E" w:rsidRPr="00DC4928">
        <w:t>Therefore, the</w:t>
      </w:r>
      <w:r w:rsidR="00A1590B">
        <w:t xml:space="preserve"> new legislation, known as the</w:t>
      </w:r>
      <w:r w:rsidR="00DC4928" w:rsidRPr="00DC4928">
        <w:t xml:space="preserve"> </w:t>
      </w:r>
      <w:r w:rsidR="00F2384E" w:rsidRPr="00DC4928">
        <w:t xml:space="preserve">Property, Stock and Business Acts Act 2002, and the 2003 Regulations to the Act (PSBA Act 2002) were passed through parliament.  </w:t>
      </w:r>
    </w:p>
    <w:p w14:paraId="357AB92B" w14:textId="77777777" w:rsidR="00F23775" w:rsidRDefault="00F23775" w:rsidP="00DC4928">
      <w:pPr>
        <w:pStyle w:val="PhDNormal"/>
        <w:spacing w:after="0" w:line="240" w:lineRule="auto"/>
        <w:ind w:firstLine="0"/>
      </w:pPr>
    </w:p>
    <w:p w14:paraId="043638EB" w14:textId="54CF7134" w:rsidR="00F23775" w:rsidRPr="0008059D" w:rsidRDefault="00F23775" w:rsidP="0008059D">
      <w:pPr>
        <w:pStyle w:val="PRRESIncmainbody"/>
        <w:rPr>
          <w:b/>
        </w:rPr>
      </w:pPr>
      <w:r w:rsidRPr="0008059D">
        <w:rPr>
          <w:b/>
        </w:rPr>
        <w:t>Property, Stock and Business Acts Act 2002</w:t>
      </w:r>
    </w:p>
    <w:p w14:paraId="59A222FE" w14:textId="6BC40195" w:rsidR="00DC4928" w:rsidRDefault="00F2384E" w:rsidP="0008059D">
      <w:pPr>
        <w:pStyle w:val="PRRESIncmainbody"/>
      </w:pPr>
      <w:r w:rsidRPr="00DC4928">
        <w:lastRenderedPageBreak/>
        <w:t xml:space="preserve">When the bill </w:t>
      </w:r>
      <w:r w:rsidR="000648F4">
        <w:t xml:space="preserve">for the PSBA Act 2002, </w:t>
      </w:r>
      <w:r w:rsidRPr="00DC4928">
        <w:t xml:space="preserve">was initially </w:t>
      </w:r>
      <w:r w:rsidR="00D428DE" w:rsidRPr="00DC4928">
        <w:t>introduced to</w:t>
      </w:r>
      <w:r w:rsidRPr="00DC4928">
        <w:t xml:space="preserve"> Parliament in 2001, the intention was</w:t>
      </w:r>
      <w:r w:rsidR="00D428DE" w:rsidRPr="00DC4928">
        <w:t xml:space="preserve"> “...take the regulation of property services in NSW over the threshold of the twenty-first century. ...far-reaching and innovative proposals, which raise consumer protection to a level that recognises the importance of property transactions in people’s lives” (Parliament 2001:19862).  </w:t>
      </w:r>
    </w:p>
    <w:p w14:paraId="67A2E979" w14:textId="77777777" w:rsidR="002C1C4A" w:rsidRDefault="000648F4" w:rsidP="002C1C4A">
      <w:pPr>
        <w:pStyle w:val="PRRESIncmainbody"/>
      </w:pPr>
      <w:r>
        <w:t xml:space="preserve"> </w:t>
      </w:r>
    </w:p>
    <w:p w14:paraId="7C6D7045" w14:textId="669E0B6F" w:rsidR="000648F4" w:rsidRDefault="000648F4" w:rsidP="0008059D">
      <w:pPr>
        <w:pStyle w:val="PRRESIncmainbody"/>
      </w:pPr>
      <w:r>
        <w:t xml:space="preserve">However, the 2001 bill proposed </w:t>
      </w:r>
      <w:r w:rsidR="002C1C4A">
        <w:t xml:space="preserve">changes to the overall educational requirements, with only entry-level competencies and the abolishment of mandated industry experience.  Therefore, the more </w:t>
      </w:r>
      <w:r>
        <w:t xml:space="preserve">flexible competency approach for educational standards was introduced. </w:t>
      </w:r>
    </w:p>
    <w:p w14:paraId="0CE6E967" w14:textId="1194CAE5" w:rsidR="002C1C4A" w:rsidRDefault="002C1C4A" w:rsidP="002C1C4A">
      <w:pPr>
        <w:pStyle w:val="PRRESIncmainbody"/>
      </w:pPr>
    </w:p>
    <w:p w14:paraId="7D0DAD01" w14:textId="4B4CC195" w:rsidR="002C1C4A" w:rsidRDefault="002C1C4A" w:rsidP="0008059D">
      <w:pPr>
        <w:pStyle w:val="PRRESIncmainbody"/>
      </w:pPr>
      <w:r>
        <w:t>In 2002 when industry and parliament were debating these changes to industry experience and educational qualifications the genuine intention had been to remove entry barriers associated with occupational licensing and streamline the licensing process.  It was also highlighted that due to the changing nature of the industry, Continuing Professional Development (CPD) was an important addition to educational requirements.  Furthermore, this was the norm in many other industries, to utilis</w:t>
      </w:r>
      <w:r w:rsidRPr="00E56D8F">
        <w:t>e CPD as a</w:t>
      </w:r>
      <w:r>
        <w:t xml:space="preserve"> mechanism for maintaining up to date knowledge. </w:t>
      </w:r>
    </w:p>
    <w:p w14:paraId="143868B1" w14:textId="53151C4D" w:rsidR="002C1C4A" w:rsidRDefault="002C1C4A" w:rsidP="002C1C4A">
      <w:pPr>
        <w:pStyle w:val="PRRESIncmainbody"/>
      </w:pPr>
    </w:p>
    <w:p w14:paraId="6E59CDD2" w14:textId="79C0423E" w:rsidR="002C1C4A" w:rsidRDefault="000648F4" w:rsidP="0008059D">
      <w:pPr>
        <w:pStyle w:val="PRRESIncmainbody"/>
      </w:pPr>
      <w:r>
        <w:t>There were further discussions and minor changes within Parliament relating to these issues, with the bill passing approval in 2002, but enforceable on the 1</w:t>
      </w:r>
      <w:r>
        <w:rPr>
          <w:vertAlign w:val="superscript"/>
        </w:rPr>
        <w:t>st</w:t>
      </w:r>
      <w:r>
        <w:t xml:space="preserve"> September 2003, when the regulations to the Act were finalised.  </w:t>
      </w:r>
      <w:r w:rsidR="002C1C4A" w:rsidRPr="00DC4928">
        <w:t xml:space="preserve">However, the well-intended approach with changes to industry experience criteria and educational qualifications appeared to have adverse implications during the last two recent decades.  </w:t>
      </w:r>
      <w:r w:rsidR="002C1C4A">
        <w:t xml:space="preserve">Trust </w:t>
      </w:r>
      <w:r>
        <w:t xml:space="preserve"> accounting fraud continued to increase, and particularly from this time frame when educational requirements and industry experience were changed.  </w:t>
      </w:r>
      <w:r w:rsidR="000D2B0E" w:rsidRPr="00DC4928">
        <w:t>For instance, a</w:t>
      </w:r>
      <w:r w:rsidR="00D408CA" w:rsidRPr="00DC4928">
        <w:t xml:space="preserve"> profound negative impact on consumer protection resulted with claims on the compensation fund totalling $362,400</w:t>
      </w:r>
      <w:r w:rsidR="002C1C4A">
        <w:t xml:space="preserve"> for the year 2003, </w:t>
      </w:r>
      <w:r w:rsidR="00D408CA" w:rsidRPr="00DC4928">
        <w:t xml:space="preserve"> and </w:t>
      </w:r>
      <w:r w:rsidR="002C1C4A">
        <w:t xml:space="preserve">escalating to a record </w:t>
      </w:r>
      <w:r w:rsidR="00D408CA" w:rsidRPr="00DC4928">
        <w:t xml:space="preserve">$2,400,00 </w:t>
      </w:r>
      <w:r w:rsidR="002C1C4A">
        <w:t xml:space="preserve">during the year </w:t>
      </w:r>
      <w:r w:rsidR="00D408CA" w:rsidRPr="00DC4928">
        <w:t xml:space="preserve">in 2016. </w:t>
      </w:r>
      <w:r w:rsidR="00DC4928" w:rsidRPr="00F264ED">
        <w:t>(</w:t>
      </w:r>
      <w:r w:rsidR="00F264ED" w:rsidRPr="00F264ED">
        <w:t>Fair Trading NSW 2003, 2016</w:t>
      </w:r>
      <w:r w:rsidR="00DC4928" w:rsidRPr="00F264ED">
        <w:t>)</w:t>
      </w:r>
      <w:r w:rsidR="00D408CA" w:rsidRPr="00DC4928">
        <w:t xml:space="preserve"> </w:t>
      </w:r>
      <w:r w:rsidR="000D2B0E" w:rsidRPr="00DC4928">
        <w:t xml:space="preserve">  </w:t>
      </w:r>
    </w:p>
    <w:p w14:paraId="765CF2D4" w14:textId="77777777" w:rsidR="002C1C4A" w:rsidRDefault="002C1C4A" w:rsidP="00DC4928">
      <w:pPr>
        <w:pStyle w:val="PhDNormal"/>
        <w:spacing w:after="0" w:line="240" w:lineRule="auto"/>
        <w:ind w:firstLine="0"/>
      </w:pPr>
    </w:p>
    <w:p w14:paraId="39C6CACE" w14:textId="5665B0CE" w:rsidR="00D408CA" w:rsidRPr="009B6BB3" w:rsidRDefault="002C1C4A" w:rsidP="0008059D">
      <w:pPr>
        <w:pStyle w:val="PRRESIncmainbody"/>
      </w:pPr>
      <w:r>
        <w:t xml:space="preserve">Subsequently, as </w:t>
      </w:r>
      <w:r w:rsidR="000D2B0E" w:rsidRPr="00DC4928">
        <w:t xml:space="preserve">a result of </w:t>
      </w:r>
      <w:r>
        <w:t xml:space="preserve">continuous </w:t>
      </w:r>
      <w:r w:rsidR="000D2B0E" w:rsidRPr="00DC4928">
        <w:t>intens</w:t>
      </w:r>
      <w:r w:rsidR="00D428DE" w:rsidRPr="00DC4928">
        <w:t>e</w:t>
      </w:r>
      <w:r w:rsidR="000D2B0E" w:rsidRPr="00DC4928">
        <w:t xml:space="preserve"> lobby</w:t>
      </w:r>
      <w:r w:rsidR="00D428DE" w:rsidRPr="00DC4928">
        <w:t>ing</w:t>
      </w:r>
      <w:r w:rsidR="000D2B0E" w:rsidRPr="00DC4928">
        <w:t xml:space="preserve"> by community groups and professional bodies, in 2015, the </w:t>
      </w:r>
      <w:r w:rsidR="00D408CA" w:rsidRPr="00DC4928">
        <w:t xml:space="preserve">government formed an independent panel to assess the educational training standards for the property industry and determine the necessary improvements. </w:t>
      </w:r>
      <w:r w:rsidR="000D2B0E" w:rsidRPr="00DC4928">
        <w:t>The reco</w:t>
      </w:r>
      <w:r w:rsidR="00D408CA" w:rsidRPr="00DC4928">
        <w:t>mmendations</w:t>
      </w:r>
      <w:r w:rsidR="00DC4928">
        <w:t xml:space="preserve"> from the panel</w:t>
      </w:r>
      <w:r w:rsidR="00D408CA" w:rsidRPr="00DC4928">
        <w:t xml:space="preserve"> included changes for licence categories, educational standards and work experience (NSW Fair Trading 2016a) which consequently inform</w:t>
      </w:r>
      <w:r w:rsidR="00D408CA" w:rsidRPr="009B6BB3">
        <w:t xml:space="preserve">ed the reform proposals released later in 2016 by Fair Trading NSW. </w:t>
      </w:r>
      <w:r w:rsidR="00D408CA" w:rsidRPr="009B6BB3">
        <w:rPr>
          <w:i/>
        </w:rPr>
        <w:t xml:space="preserve"> </w:t>
      </w:r>
      <w:r w:rsidR="000D2B0E" w:rsidRPr="009B6BB3">
        <w:t xml:space="preserve"> </w:t>
      </w:r>
    </w:p>
    <w:p w14:paraId="6EBCC3AB" w14:textId="77777777" w:rsidR="00C30EA4" w:rsidRPr="009B6BB3" w:rsidRDefault="00C30EA4" w:rsidP="009B6BB3">
      <w:pPr>
        <w:pStyle w:val="PRRESIncmainbody"/>
      </w:pPr>
    </w:p>
    <w:p w14:paraId="29DA41ED" w14:textId="3E917EDD" w:rsidR="00F23775" w:rsidRPr="009B6BB3" w:rsidRDefault="00F23775" w:rsidP="00DC4928">
      <w:pPr>
        <w:pStyle w:val="PhDNormal"/>
        <w:spacing w:after="0" w:line="240" w:lineRule="auto"/>
        <w:ind w:firstLine="0"/>
        <w:rPr>
          <w:b/>
          <w:sz w:val="22"/>
        </w:rPr>
      </w:pPr>
      <w:r w:rsidRPr="009B6BB3">
        <w:rPr>
          <w:b/>
          <w:sz w:val="22"/>
        </w:rPr>
        <w:t>Reform Proposals</w:t>
      </w:r>
    </w:p>
    <w:p w14:paraId="35013BC5" w14:textId="1D3DE51D" w:rsidR="00D408CA" w:rsidRDefault="00DC4928" w:rsidP="0008059D">
      <w:pPr>
        <w:pStyle w:val="PRRESIncmainbody"/>
      </w:pPr>
      <w:r w:rsidRPr="009B6BB3">
        <w:t>These reform proposals were detaile</w:t>
      </w:r>
      <w:r>
        <w:t xml:space="preserve">d in the </w:t>
      </w:r>
      <w:r w:rsidR="000648F4">
        <w:t xml:space="preserve">2016 </w:t>
      </w:r>
      <w:r w:rsidR="00D408CA" w:rsidRPr="00DC4928">
        <w:t>Real Estate and Property Services Industry Reform paper.  The reforms were aimed to improve the property industry, highlighting issues such as skills, streamlining licenses, overhauling educational requirements and generally raising the profile of the profession to a higher standard.  This reform paper made reference to the panels</w:t>
      </w:r>
      <w:r w:rsidR="0008059D">
        <w:t>’</w:t>
      </w:r>
      <w:r w:rsidR="00D408CA" w:rsidRPr="00DC4928">
        <w:t xml:space="preserve"> March 2016 report, “… that the major function of educational standards should be to protect the public and that mandatory training can be supported where the benefit of reducing the risks outweighs the costs to business.”  (NSW Fair Trading 2016b:12).</w:t>
      </w:r>
    </w:p>
    <w:p w14:paraId="6A8B4015" w14:textId="77777777" w:rsidR="00880A27" w:rsidRDefault="00880A27" w:rsidP="0008059D">
      <w:pPr>
        <w:pStyle w:val="PRRESIncmainbody"/>
      </w:pPr>
    </w:p>
    <w:p w14:paraId="7A9204AB" w14:textId="77777777" w:rsidR="003538DF" w:rsidRPr="000648F4" w:rsidRDefault="003538DF" w:rsidP="003538DF">
      <w:pPr>
        <w:pStyle w:val="PRRESIncmainbody"/>
        <w:rPr>
          <w:b/>
        </w:rPr>
      </w:pPr>
      <w:r w:rsidRPr="000648F4">
        <w:rPr>
          <w:b/>
        </w:rPr>
        <w:t>Educational Impact</w:t>
      </w:r>
    </w:p>
    <w:p w14:paraId="0B5EC172" w14:textId="076C4B14" w:rsidR="00D408CA" w:rsidRDefault="00D408CA" w:rsidP="0008059D">
      <w:pPr>
        <w:pStyle w:val="PRRESIncmainbody"/>
      </w:pPr>
      <w:r w:rsidRPr="00DC4928">
        <w:t>The proposed reforms were significant to the extent that twelve (12) months practical experience was introduced as a pre-requisite criteria. Additionally, evidence of the work experience had to accompany the licence application submitted to NSW Fair Trading. The evidence aspect was considered very important as the applicant was required to specify the competencies achieved during the twelve (12) months practical experience.  This was to incorporate a range from activities from sales processes to property management.  Interestingly this turnaround was a relapse back to the pre 2003 legislative changes – although the industry experience during that time frame stipulated 24 months practical industry experience whereas the latest reforms were only mandating twelve (12) months practical industry experience.</w:t>
      </w:r>
      <w:r>
        <w:t xml:space="preserve"> </w:t>
      </w:r>
    </w:p>
    <w:p w14:paraId="6088F6AF" w14:textId="77777777" w:rsidR="00DC4928" w:rsidRDefault="00DC4928" w:rsidP="009B6BB3">
      <w:pPr>
        <w:pStyle w:val="PRRESIncmainbody"/>
      </w:pPr>
    </w:p>
    <w:p w14:paraId="4CD6499D" w14:textId="0F356D9A" w:rsidR="00F23775" w:rsidRDefault="00D408CA" w:rsidP="0008059D">
      <w:pPr>
        <w:pStyle w:val="PRRESIncmainbody"/>
        <w:contextualSpacing/>
      </w:pPr>
      <w:r w:rsidRPr="0008195B">
        <w:t>The panel review report had also noted that additional training incorporating business management for licensees-in-charge was recommended, and noted this was necessary “… because it formed the view that there is a direct link between business failure and trust account defalcation. The review considered that licensees in charge should hold a diplom</w:t>
      </w:r>
      <w:r w:rsidRPr="005A6B78">
        <w:t>a qualification</w:t>
      </w:r>
      <w:r>
        <w:t>”. (</w:t>
      </w:r>
      <w:r w:rsidRPr="00F23775">
        <w:t xml:space="preserve">NSW Fair Trading 2016b:14).   </w:t>
      </w:r>
      <w:r w:rsidRPr="00F23775">
        <w:lastRenderedPageBreak/>
        <w:t>Therefore, very significantly, industry experience and diploma qualifications – both of these were mandated prior to the 2003 implementation of the PSBA Act 2002 legislation – were proposed to be reintroduced for occupational licensing.</w:t>
      </w:r>
    </w:p>
    <w:p w14:paraId="4D2FF3D3" w14:textId="73A1AC12" w:rsidR="00D408CA" w:rsidRDefault="00D408CA" w:rsidP="009B6BB3">
      <w:pPr>
        <w:pStyle w:val="PRRESIncmainbody"/>
      </w:pPr>
      <w:r w:rsidRPr="00F23775">
        <w:t xml:space="preserve">  </w:t>
      </w:r>
      <w:r w:rsidR="00F23775">
        <w:t xml:space="preserve"> </w:t>
      </w:r>
    </w:p>
    <w:p w14:paraId="2CD1583E" w14:textId="1C837C0E" w:rsidR="00D408CA" w:rsidRDefault="00D408CA" w:rsidP="0008059D">
      <w:pPr>
        <w:pStyle w:val="Heading3"/>
        <w:spacing w:before="0" w:after="0"/>
        <w:contextualSpacing/>
      </w:pPr>
      <w:bookmarkStart w:id="0" w:name="_Toc76476138"/>
      <w:r>
        <w:t>Property, Stock and Business Agents Amendment Act 2018 (abbrev.)</w:t>
      </w:r>
      <w:bookmarkEnd w:id="0"/>
    </w:p>
    <w:p w14:paraId="3B8706DB" w14:textId="77777777" w:rsidR="00643DE9" w:rsidRDefault="00643DE9" w:rsidP="00643DE9">
      <w:pPr>
        <w:pStyle w:val="PRRESIncmainbody"/>
      </w:pPr>
      <w:r w:rsidRPr="003905C6">
        <w:t xml:space="preserve">The 2017 bill with the recommended reforms, was eventually passed through Parliament on 7th March   2018.  </w:t>
      </w:r>
      <w:r>
        <w:t>However,</w:t>
      </w:r>
      <w:r w:rsidRPr="003905C6">
        <w:t xml:space="preserve"> it was not until 18 months later, that </w:t>
      </w:r>
      <w:r>
        <w:t xml:space="preserve">NSW </w:t>
      </w:r>
      <w:r w:rsidRPr="003905C6">
        <w:t xml:space="preserve">Fair Trading </w:t>
      </w:r>
      <w:r>
        <w:t>h</w:t>
      </w:r>
      <w:r w:rsidRPr="003905C6">
        <w:t xml:space="preserve">eld public consultation for the implementation and grandfathering transitions for the newly appointed reforms (Parliament (b) 2019).  </w:t>
      </w:r>
    </w:p>
    <w:p w14:paraId="56E7047E" w14:textId="77777777" w:rsidR="00643DE9" w:rsidRDefault="00643DE9" w:rsidP="00643DE9">
      <w:pPr>
        <w:pStyle w:val="PRRESIncmainbody"/>
      </w:pPr>
    </w:p>
    <w:p w14:paraId="4685A9C9" w14:textId="666D82CF" w:rsidR="00643DE9" w:rsidRPr="003905C6" w:rsidRDefault="00B11291" w:rsidP="00643DE9">
      <w:pPr>
        <w:pStyle w:val="PRRESIncmainbody"/>
      </w:pPr>
      <w:r>
        <w:t>Subsequently, d</w:t>
      </w:r>
      <w:r w:rsidR="00643DE9" w:rsidRPr="003905C6">
        <w:t>uring 2019, Fair Trading completed the regulations to the 2018 Act and on the 23rd March 2020, the new legislation and regulations were introduced.  The PSBA Act 2002 underwent a name change and is known as the Property and Stock Agents Act 2002 (PSA Act 2002).  Similarly</w:t>
      </w:r>
      <w:r w:rsidR="00643DE9">
        <w:t>,</w:t>
      </w:r>
      <w:r w:rsidR="00643DE9" w:rsidRPr="003905C6">
        <w:t xml:space="preserve"> the accompanying regulation is known as the Property and Stock Agents Regulatio</w:t>
      </w:r>
      <w:r w:rsidR="00643DE9" w:rsidRPr="00B4414A">
        <w:t>n 2014.</w:t>
      </w:r>
    </w:p>
    <w:p w14:paraId="7635DF82" w14:textId="0C88F990" w:rsidR="00643DE9" w:rsidRDefault="00B11291" w:rsidP="000648F4">
      <w:pPr>
        <w:pStyle w:val="PRRESIncmainbody"/>
      </w:pPr>
      <w:r>
        <w:t xml:space="preserve"> </w:t>
      </w:r>
    </w:p>
    <w:p w14:paraId="1EE5AF37" w14:textId="256FA124" w:rsidR="00D408CA" w:rsidRDefault="00D408CA" w:rsidP="000648F4">
      <w:pPr>
        <w:pStyle w:val="PRRESIncmainbody"/>
      </w:pPr>
      <w:r>
        <w:t>The PSA Act 2002 changes included new licence categories, audit requirements, educational qualifications and transitional requirements.  Nevertheless, whilst COVID-19 greatly impacted on all aspects of society in 2020, the 23</w:t>
      </w:r>
      <w:r w:rsidRPr="00934CF4">
        <w:rPr>
          <w:vertAlign w:val="superscript"/>
        </w:rPr>
        <w:t>rd</w:t>
      </w:r>
      <w:r>
        <w:t xml:space="preserve"> March 2020 represented a turning point for the property sector with these changes.  It had taken key stakeholders approximately five (5) years of constant lobbying, for the industry to reach this much needed milestone. </w:t>
      </w:r>
    </w:p>
    <w:p w14:paraId="0DE7F896" w14:textId="40260182" w:rsidR="00C30EA4" w:rsidRDefault="00C30EA4" w:rsidP="00496B09">
      <w:pPr>
        <w:pStyle w:val="PRRESIncmainbody"/>
      </w:pPr>
    </w:p>
    <w:p w14:paraId="05F7CAE2" w14:textId="0C929564" w:rsidR="00B11291" w:rsidRDefault="00496B09" w:rsidP="0008059D">
      <w:pPr>
        <w:pStyle w:val="PRRESIncmainbody"/>
      </w:pPr>
      <w:r>
        <w:t xml:space="preserve">The </w:t>
      </w:r>
      <w:r w:rsidR="00C30EA4">
        <w:t>aim</w:t>
      </w:r>
      <w:r>
        <w:t xml:space="preserve"> of the research is to </w:t>
      </w:r>
      <w:r w:rsidR="00DF3CEC">
        <w:t xml:space="preserve">provide an introductory overview of trust fraud over a 20 year data set, analysed pre and post 2003 to determine if changes in educational requirements introduced in 2003 were a contributing factor accounting for the increase with misappropriation of trust fraud.  Therefore, </w:t>
      </w:r>
      <w:r w:rsidR="003538DF">
        <w:t xml:space="preserve">the </w:t>
      </w:r>
      <w:r w:rsidR="00C30EA4">
        <w:t>main purpose and objective of the research will be to undertake an analysis of the changes in the educational requirements for property agency licensing, and map the data against a document an</w:t>
      </w:r>
      <w:r w:rsidR="00D93C1D">
        <w:t>a</w:t>
      </w:r>
      <w:r w:rsidR="00C30EA4">
        <w:t>lysis of public records, such as court cases an</w:t>
      </w:r>
      <w:r w:rsidR="00D93C1D">
        <w:t>d</w:t>
      </w:r>
      <w:r w:rsidR="00C30EA4">
        <w:t xml:space="preserve"> enforcement notices relating to the misappropriation of trust account funds.  </w:t>
      </w:r>
      <w:r w:rsidR="00C30EA4" w:rsidRPr="00834010">
        <w:t xml:space="preserve">Due to the complexity of each jurisdiction mandating varying compliance for trust accounting </w:t>
      </w:r>
      <w:r w:rsidR="00C30EA4" w:rsidRPr="00F9300D">
        <w:t>records</w:t>
      </w:r>
      <w:r w:rsidR="00C30EA4" w:rsidRPr="00834010">
        <w:t xml:space="preserve"> and procedures, the research focus</w:t>
      </w:r>
      <w:r w:rsidR="00C30EA4">
        <w:t>es</w:t>
      </w:r>
      <w:r w:rsidR="00C30EA4" w:rsidRPr="00834010">
        <w:t xml:space="preserve"> on the legislative requirements and data for the state of N</w:t>
      </w:r>
      <w:r w:rsidR="00C30EA4">
        <w:t xml:space="preserve">ew South Wales </w:t>
      </w:r>
      <w:r w:rsidR="00C30EA4" w:rsidRPr="00834010">
        <w:t xml:space="preserve">only. </w:t>
      </w:r>
      <w:r w:rsidR="00C30EA4">
        <w:t xml:space="preserve">However, </w:t>
      </w:r>
      <w:r w:rsidR="00C30EA4" w:rsidRPr="00834010">
        <w:t xml:space="preserve">comparisons </w:t>
      </w:r>
      <w:r w:rsidR="00C30EA4">
        <w:t xml:space="preserve">within Australia and overseas, </w:t>
      </w:r>
      <w:r w:rsidR="00C30EA4" w:rsidRPr="00834010">
        <w:t>are provided</w:t>
      </w:r>
      <w:r w:rsidR="00C30EA4">
        <w:t xml:space="preserve"> where this is relevant.</w:t>
      </w:r>
      <w:r w:rsidR="00C30EA4" w:rsidRPr="00834010">
        <w:t xml:space="preserve"> </w:t>
      </w:r>
      <w:r w:rsidR="00C30EA4">
        <w:t xml:space="preserve"> The first part of the research discuss</w:t>
      </w:r>
      <w:r w:rsidR="00D93C1D">
        <w:t>es</w:t>
      </w:r>
      <w:r w:rsidR="00C30EA4">
        <w:t xml:space="preserve"> the literature relating to occupational licensing and educational requirements.  The paper continues with the analysis and discussion</w:t>
      </w:r>
      <w:r w:rsidR="0008059D">
        <w:t xml:space="preserve"> of the main concepts emerging</w:t>
      </w:r>
      <w:r w:rsidR="003538DF">
        <w:t xml:space="preserve"> from the 20 year data set linked to the educational requirements for pre and post 2003.</w:t>
      </w:r>
      <w:r w:rsidR="0008059D">
        <w:t xml:space="preserve">. </w:t>
      </w:r>
      <w:r w:rsidR="00C30EA4">
        <w:t xml:space="preserve"> The conclusion summarises the findings.</w:t>
      </w:r>
    </w:p>
    <w:p w14:paraId="3C2087F7" w14:textId="470CD640" w:rsidR="00B11291" w:rsidRDefault="00B11291" w:rsidP="00643DE9">
      <w:pPr>
        <w:pStyle w:val="PRRESIncmainbody"/>
      </w:pPr>
    </w:p>
    <w:p w14:paraId="49B59510" w14:textId="6F7A2099" w:rsidR="0008059D" w:rsidRDefault="00C30EA4" w:rsidP="00DF3CEC">
      <w:pPr>
        <w:pStyle w:val="Style1"/>
      </w:pPr>
      <w:r>
        <w:t xml:space="preserve"> </w:t>
      </w:r>
      <w:r w:rsidR="0008059D">
        <w:t xml:space="preserve"> </w:t>
      </w:r>
    </w:p>
    <w:p w14:paraId="7DE78DFD" w14:textId="77777777" w:rsidR="006D0161" w:rsidRDefault="006D0161" w:rsidP="00ED1D42">
      <w:pPr>
        <w:pStyle w:val="Heading1"/>
      </w:pPr>
      <w:r>
        <w:t>LITERATURE REVIEW</w:t>
      </w:r>
    </w:p>
    <w:p w14:paraId="44D28CEB" w14:textId="543253CD" w:rsidR="00602C6C" w:rsidRDefault="00880A27" w:rsidP="00880A27">
      <w:pPr>
        <w:pStyle w:val="PRRESIncmainbody"/>
      </w:pPr>
      <w:r>
        <w:t xml:space="preserve">It </w:t>
      </w:r>
      <w:r w:rsidR="00AB13DD" w:rsidRPr="0005245D">
        <w:t>can be said that regulation of an</w:t>
      </w:r>
      <w:r w:rsidR="00AB13DD">
        <w:t>y industry requires a control mechanism</w:t>
      </w:r>
      <w:r w:rsidR="00AB13DD" w:rsidRPr="0005245D">
        <w:t xml:space="preserve"> from the regulator.  In the case of occupational licensing, there does appear </w:t>
      </w:r>
      <w:r w:rsidR="003538DF">
        <w:t>the</w:t>
      </w:r>
      <w:r w:rsidR="00AB13DD" w:rsidRPr="0005245D">
        <w:t xml:space="preserve"> trend to use educational requirements as the vehicle to determine acceptance of a licence.</w:t>
      </w:r>
      <w:r w:rsidR="00AB13DD">
        <w:t xml:space="preserve"> </w:t>
      </w:r>
    </w:p>
    <w:p w14:paraId="0F55046B" w14:textId="77777777" w:rsidR="00602C6C" w:rsidRDefault="00602C6C" w:rsidP="00880A27">
      <w:pPr>
        <w:pStyle w:val="PRRESIncmainbody"/>
      </w:pPr>
    </w:p>
    <w:p w14:paraId="6F4D8BAD" w14:textId="43851921" w:rsidR="00AB13DD" w:rsidRDefault="00AB13DD" w:rsidP="009B6BB3">
      <w:pPr>
        <w:pStyle w:val="PRRESIncmainbody"/>
        <w:contextualSpacing/>
      </w:pPr>
      <w:r>
        <w:t>Similarly, i</w:t>
      </w:r>
      <w:r w:rsidRPr="00E11F6B">
        <w:t xml:space="preserve">n Australia, during the last </w:t>
      </w:r>
      <w:r w:rsidR="00C4269A">
        <w:t>6</w:t>
      </w:r>
      <w:r w:rsidRPr="00E11F6B">
        <w:t xml:space="preserve">0 years, various occupational licenses including the property industry, have gradually introduced formal educational requirements as a pre-requisite for occupational licensing and in the last </w:t>
      </w:r>
      <w:r>
        <w:t>fifteen</w:t>
      </w:r>
      <w:r w:rsidRPr="00E11F6B">
        <w:t xml:space="preserve"> years legislation has been introduced to incorporate mandatory</w:t>
      </w:r>
      <w:r>
        <w:t xml:space="preserve"> </w:t>
      </w:r>
      <w:r w:rsidRPr="003538DF">
        <w:t>CPD.</w:t>
      </w:r>
      <w:r w:rsidRPr="00E11F6B">
        <w:t xml:space="preserve"> </w:t>
      </w:r>
      <w:r>
        <w:t>Therefore, w</w:t>
      </w:r>
      <w:r w:rsidRPr="00E11F6B">
        <w:t xml:space="preserve">hilst occupational licensing is generally considered a form of regulation, this is usually accompanied by minimum standards of educational qualifications and entry conditions such as industry experience.  </w:t>
      </w:r>
    </w:p>
    <w:p w14:paraId="6421DB81" w14:textId="77777777" w:rsidR="009B6BB3" w:rsidRDefault="009B6BB3" w:rsidP="009B6BB3">
      <w:pPr>
        <w:pStyle w:val="PRRESIncmainbody"/>
        <w:contextualSpacing/>
      </w:pPr>
    </w:p>
    <w:p w14:paraId="0CF4708D" w14:textId="4438FB69" w:rsidR="00AB13DD" w:rsidRDefault="00AB13DD" w:rsidP="007E1D87">
      <w:pPr>
        <w:pStyle w:val="Heading3"/>
        <w:spacing w:before="0" w:after="0"/>
        <w:contextualSpacing/>
        <w:rPr>
          <w:lang w:val="en-GB"/>
        </w:rPr>
      </w:pPr>
      <w:bookmarkStart w:id="1" w:name="_Toc76476159"/>
      <w:r>
        <w:rPr>
          <w:lang w:val="en-GB"/>
        </w:rPr>
        <w:t>Education for occupational licensing – does this benefit the consumer?</w:t>
      </w:r>
      <w:bookmarkEnd w:id="1"/>
    </w:p>
    <w:p w14:paraId="188E78B6" w14:textId="77C3DB1D" w:rsidR="00AB13DD" w:rsidRDefault="00AB13DD" w:rsidP="007E1D87">
      <w:pPr>
        <w:pStyle w:val="PRRESIncmainbody"/>
        <w:contextualSpacing/>
        <w:rPr>
          <w:lang w:val="en-GB"/>
        </w:rPr>
      </w:pPr>
      <w:r>
        <w:rPr>
          <w:lang w:val="en-GB"/>
        </w:rPr>
        <w:t xml:space="preserve">Education is acknowledged as a benefit for the consumer and provides better standards of service and expertise (Rudolph 1998). There is also evidence internationally which endorses compulsory education associated with technical knowledge, such as relevant laws (Oladokum &amp; Olatoye 2011).   Similarly, </w:t>
      </w:r>
      <w:r>
        <w:rPr>
          <w:lang w:val="en-GB"/>
        </w:rPr>
        <w:lastRenderedPageBreak/>
        <w:t>in New Zealand, where it is considered that there is a “…more sophisticated, better-educated profile of vendors and purchasers…”, the market demands advanced agents</w:t>
      </w:r>
      <w:r w:rsidR="00602C6C">
        <w:rPr>
          <w:lang w:val="en-GB"/>
        </w:rPr>
        <w:t>’</w:t>
      </w:r>
      <w:r>
        <w:rPr>
          <w:lang w:val="en-GB"/>
        </w:rPr>
        <w:t xml:space="preserve"> qualifications (Crews 2004:1).  </w:t>
      </w:r>
    </w:p>
    <w:p w14:paraId="2B440F96" w14:textId="77777777" w:rsidR="00880A27" w:rsidRPr="00880A27" w:rsidRDefault="00880A27" w:rsidP="00880A27">
      <w:pPr>
        <w:pStyle w:val="PhDNormal"/>
        <w:spacing w:after="0" w:line="240" w:lineRule="auto"/>
        <w:contextualSpacing/>
        <w:rPr>
          <w:sz w:val="22"/>
          <w:lang w:val="en-US"/>
        </w:rPr>
      </w:pPr>
    </w:p>
    <w:p w14:paraId="48BB5261" w14:textId="2FB9E81D" w:rsidR="00544578" w:rsidRPr="00FF365C" w:rsidRDefault="00AB13DD" w:rsidP="00880A27">
      <w:pPr>
        <w:pStyle w:val="PRRESIncmainbody"/>
        <w:contextualSpacing/>
        <w:rPr>
          <w:lang w:val="en-US"/>
        </w:rPr>
      </w:pPr>
      <w:r>
        <w:rPr>
          <w:lang w:val="en-US"/>
        </w:rPr>
        <w:t xml:space="preserve">Questions have arisen over the content of educational requirements.  For instance, does the trust accounting fraud relate to lack of educational knowledge and inadequate monitoring and reviewing of trust account procedures? (Office Fair Trading 2008b).  </w:t>
      </w:r>
      <w:r w:rsidR="00544578">
        <w:rPr>
          <w:lang w:val="en-GB"/>
        </w:rPr>
        <w:t xml:space="preserve">Furthermore, the occupational </w:t>
      </w:r>
      <w:r w:rsidR="00544578" w:rsidRPr="0052028B">
        <w:rPr>
          <w:lang w:val="en-GB"/>
        </w:rPr>
        <w:t xml:space="preserve">licensing requirement is coupled with stringent rules associated with the record keeping of trust accounts. </w:t>
      </w:r>
      <w:r w:rsidR="00544578">
        <w:rPr>
          <w:lang w:val="en-GB"/>
        </w:rPr>
        <w:t>Therefore</w:t>
      </w:r>
      <w:r w:rsidR="00602C6C">
        <w:rPr>
          <w:lang w:val="en-GB"/>
        </w:rPr>
        <w:t>,</w:t>
      </w:r>
      <w:r w:rsidR="00544578">
        <w:rPr>
          <w:lang w:val="en-GB"/>
        </w:rPr>
        <w:t xml:space="preserve"> the educational aspect and appropriate industry experience is considered necessary to strengthen consumer protection.</w:t>
      </w:r>
      <w:r w:rsidR="00544578" w:rsidRPr="0052028B">
        <w:rPr>
          <w:lang w:val="en-GB"/>
        </w:rPr>
        <w:t xml:space="preserve"> </w:t>
      </w:r>
    </w:p>
    <w:p w14:paraId="2B4360E3" w14:textId="1B4EE418" w:rsidR="00D20917" w:rsidRDefault="00544578" w:rsidP="00D20917">
      <w:r>
        <w:rPr>
          <w:lang w:val="en-US"/>
        </w:rPr>
        <w:t xml:space="preserve">Similar educational requirements are mandated in the U.S. where </w:t>
      </w:r>
      <w:r>
        <w:t>real estate agents must be licensed. However, there are different regulations and educational standards within each state.  Research from the various states in the U.S. (Barker 2008), indicates the hours of licensing educational tuition can range from 35 hours to 840 hours.</w:t>
      </w:r>
    </w:p>
    <w:p w14:paraId="3B083705" w14:textId="77777777" w:rsidR="00602C6C" w:rsidRDefault="00544578" w:rsidP="00602C6C">
      <w:pPr>
        <w:spacing w:before="0" w:after="0"/>
        <w:contextualSpacing/>
        <w:rPr>
          <w:lang w:val="en-US"/>
        </w:rPr>
      </w:pPr>
      <w:r>
        <w:t xml:space="preserve">Whilst the U.S. does have high educational standards and expectations, researchers have focused on the entry barriers, such as the educational requirements and the consequential impact for the labour economy; and omit any discussion considering the misappropriation of money in a property agents office (Barker 2008).   Similarly, </w:t>
      </w:r>
      <w:r>
        <w:rPr>
          <w:lang w:val="en-US"/>
        </w:rPr>
        <w:t xml:space="preserve">the consequential punishment for the offender, and whether or not the relevant themes are addressed in the educational curriculum for real estate agents is not included. </w:t>
      </w:r>
    </w:p>
    <w:p w14:paraId="64AD1BCA" w14:textId="77777777" w:rsidR="00602C6C" w:rsidRDefault="00602C6C" w:rsidP="00602C6C">
      <w:pPr>
        <w:spacing w:before="0" w:after="0"/>
        <w:contextualSpacing/>
        <w:rPr>
          <w:lang w:val="en-US"/>
        </w:rPr>
      </w:pPr>
    </w:p>
    <w:p w14:paraId="62CC8A1E" w14:textId="655B9770" w:rsidR="00544578" w:rsidRDefault="00544578" w:rsidP="00C4269A">
      <w:pPr>
        <w:spacing w:before="0" w:after="0"/>
        <w:contextualSpacing/>
        <w:rPr>
          <w:rFonts w:eastAsiaTheme="minorHAnsi"/>
        </w:rPr>
      </w:pPr>
      <w:r>
        <w:rPr>
          <w:lang w:val="en-US"/>
        </w:rPr>
        <w:t xml:space="preserve">Therefore should other qualities such as ethics and integrity be considered? </w:t>
      </w:r>
      <w:r>
        <w:rPr>
          <w:rFonts w:eastAsiaTheme="minorHAnsi"/>
        </w:rPr>
        <w:t xml:space="preserve">There is also evidence to suggest that agents have a conflict of interest and ethical considerations with their clients’ property agency transactions.  </w:t>
      </w:r>
      <w:r w:rsidRPr="0051579F">
        <w:rPr>
          <w:rFonts w:eastAsiaTheme="minorHAnsi"/>
        </w:rPr>
        <w:t xml:space="preserve">For instance, </w:t>
      </w:r>
      <w:r>
        <w:rPr>
          <w:rFonts w:eastAsiaTheme="minorHAnsi"/>
        </w:rPr>
        <w:t>i</w:t>
      </w:r>
      <w:r w:rsidRPr="004172BC">
        <w:rPr>
          <w:rFonts w:eastAsiaTheme="minorHAnsi"/>
        </w:rPr>
        <w:t>n the USA, Young (2011) identified the fact that agents were acting on behalf of a vendor wishing to sell their pro</w:t>
      </w:r>
      <w:r w:rsidRPr="0051579F">
        <w:rPr>
          <w:rFonts w:eastAsiaTheme="minorHAnsi"/>
        </w:rPr>
        <w:t>perty, whilst simultaneously advising potential homebuyers for the same property.</w:t>
      </w:r>
    </w:p>
    <w:p w14:paraId="3538B67A" w14:textId="77777777" w:rsidR="00602C6C" w:rsidRDefault="00602C6C" w:rsidP="00602C6C">
      <w:pPr>
        <w:pStyle w:val="PRRESIncmainbody"/>
        <w:rPr>
          <w:rFonts w:eastAsiaTheme="minorHAnsi"/>
        </w:rPr>
      </w:pPr>
    </w:p>
    <w:p w14:paraId="6914B298" w14:textId="77F61D01" w:rsidR="00544578" w:rsidRDefault="00544578" w:rsidP="00602C6C">
      <w:pPr>
        <w:pStyle w:val="PRRESIncmainbody"/>
        <w:rPr>
          <w:lang w:eastAsia="en-AU"/>
        </w:rPr>
      </w:pPr>
      <w:r>
        <w:t xml:space="preserve">However, education is one part of the equation, with consumer confidence and perceptions of the real estate agent coming under scrutiny in a 2010 study in Nigeria.  In this regard, the researchers </w:t>
      </w:r>
      <w:r>
        <w:rPr>
          <w:lang w:eastAsia="en-AU"/>
        </w:rPr>
        <w:t xml:space="preserve">examined consumers’ perceptions on real estate agents, and concluded that consumers rated agents’ ethics as average (Agboola et al. 2010).  Additionally, the longer the </w:t>
      </w:r>
      <w:r w:rsidRPr="001905DE">
        <w:rPr>
          <w:lang w:eastAsia="en-AU"/>
        </w:rPr>
        <w:t xml:space="preserve">consumer was dealing with the agent, it appeared that the consumer </w:t>
      </w:r>
      <w:r>
        <w:rPr>
          <w:lang w:eastAsia="en-AU"/>
        </w:rPr>
        <w:t xml:space="preserve">developed </w:t>
      </w:r>
      <w:r w:rsidRPr="001905DE">
        <w:rPr>
          <w:lang w:eastAsia="en-AU"/>
        </w:rPr>
        <w:t xml:space="preserve">a higher opinion of the ethics </w:t>
      </w:r>
      <w:r>
        <w:rPr>
          <w:lang w:eastAsia="en-AU"/>
        </w:rPr>
        <w:t xml:space="preserve">evident </w:t>
      </w:r>
      <w:r w:rsidRPr="001905DE">
        <w:rPr>
          <w:lang w:eastAsia="en-AU"/>
        </w:rPr>
        <w:t xml:space="preserve">within </w:t>
      </w:r>
      <w:r>
        <w:rPr>
          <w:lang w:eastAsia="en-AU"/>
        </w:rPr>
        <w:t>the individual</w:t>
      </w:r>
      <w:r w:rsidRPr="001905DE">
        <w:rPr>
          <w:lang w:eastAsia="en-AU"/>
        </w:rPr>
        <w:t xml:space="preserve"> real estate agent.  </w:t>
      </w:r>
      <w:r w:rsidR="00EA5726">
        <w:rPr>
          <w:lang w:eastAsia="en-AU"/>
        </w:rPr>
        <w:t xml:space="preserve"> </w:t>
      </w:r>
    </w:p>
    <w:p w14:paraId="36CAA8AC" w14:textId="77777777" w:rsidR="00880A27" w:rsidRDefault="00880A27" w:rsidP="00880A27">
      <w:pPr>
        <w:pStyle w:val="PRRESIncmainbody"/>
      </w:pPr>
    </w:p>
    <w:p w14:paraId="76FB11EA" w14:textId="192EE317" w:rsidR="00544578" w:rsidRPr="008D6669" w:rsidRDefault="00544578" w:rsidP="00880A27">
      <w:pPr>
        <w:pStyle w:val="PRRESIncmainbody"/>
        <w:rPr>
          <w:lang w:val="en-US"/>
        </w:rPr>
      </w:pPr>
      <w:r w:rsidRPr="00713AFE">
        <w:t xml:space="preserve">Within these thought parameters, </w:t>
      </w:r>
      <w:r w:rsidRPr="00713AFE">
        <w:rPr>
          <w:rFonts w:eastAsiaTheme="minorHAnsi"/>
        </w:rPr>
        <w:t>Brinkmann (2009) researched the ethics of Norwegian real estate agents and suggested action research as a method to add pro</w:t>
      </w:r>
      <w:r>
        <w:rPr>
          <w:rFonts w:eastAsiaTheme="minorHAnsi"/>
        </w:rPr>
        <w:t>f</w:t>
      </w:r>
      <w:r w:rsidRPr="00713AFE">
        <w:rPr>
          <w:rFonts w:eastAsiaTheme="minorHAnsi"/>
        </w:rPr>
        <w:t>e</w:t>
      </w:r>
      <w:r>
        <w:rPr>
          <w:rFonts w:eastAsiaTheme="minorHAnsi"/>
        </w:rPr>
        <w:t>s</w:t>
      </w:r>
      <w:r w:rsidRPr="00713AFE">
        <w:rPr>
          <w:rFonts w:eastAsiaTheme="minorHAnsi"/>
        </w:rPr>
        <w:t>sional ethics to the agents’ agenda.  For instance</w:t>
      </w:r>
      <w:r>
        <w:rPr>
          <w:rFonts w:eastAsiaTheme="minorHAnsi"/>
        </w:rPr>
        <w:t>,</w:t>
      </w:r>
      <w:r w:rsidRPr="00713AFE">
        <w:rPr>
          <w:rFonts w:eastAsiaTheme="minorHAnsi"/>
        </w:rPr>
        <w:t xml:space="preserve"> a recommendation was to provide an environment for the agent to critically self</w:t>
      </w:r>
      <w:r>
        <w:rPr>
          <w:rFonts w:eastAsiaTheme="minorHAnsi"/>
        </w:rPr>
        <w:t>-</w:t>
      </w:r>
      <w:r w:rsidRPr="00713AFE">
        <w:rPr>
          <w:rFonts w:eastAsiaTheme="minorHAnsi"/>
        </w:rPr>
        <w:t>evaluate their involvement within a variety of business transactions.  This trigger mechanism on self</w:t>
      </w:r>
      <w:r>
        <w:rPr>
          <w:rFonts w:eastAsiaTheme="minorHAnsi"/>
        </w:rPr>
        <w:t>-</w:t>
      </w:r>
      <w:r w:rsidRPr="00713AFE">
        <w:rPr>
          <w:rFonts w:eastAsiaTheme="minorHAnsi"/>
        </w:rPr>
        <w:t>reflection would focus on the sensitive issues which contained moral conflicts relating to the di</w:t>
      </w:r>
      <w:r>
        <w:rPr>
          <w:rFonts w:eastAsiaTheme="minorHAnsi"/>
        </w:rPr>
        <w:t xml:space="preserve">scharge of their daily duties. </w:t>
      </w:r>
      <w:r w:rsidRPr="00713AFE">
        <w:rPr>
          <w:rFonts w:eastAsiaTheme="minorHAnsi"/>
        </w:rPr>
        <w:t>In parallel</w:t>
      </w:r>
      <w:r>
        <w:rPr>
          <w:rFonts w:eastAsiaTheme="minorHAnsi"/>
        </w:rPr>
        <w:t>,</w:t>
      </w:r>
      <w:r w:rsidRPr="00713AFE">
        <w:rPr>
          <w:rFonts w:eastAsiaTheme="minorHAnsi"/>
        </w:rPr>
        <w:t xml:space="preserve"> this self</w:t>
      </w:r>
      <w:r>
        <w:rPr>
          <w:rFonts w:eastAsiaTheme="minorHAnsi"/>
        </w:rPr>
        <w:t>-</w:t>
      </w:r>
      <w:r w:rsidRPr="00713AFE">
        <w:rPr>
          <w:rFonts w:eastAsiaTheme="minorHAnsi"/>
        </w:rPr>
        <w:t>reflective process could be adopted fo</w:t>
      </w:r>
      <w:r w:rsidRPr="001560FA">
        <w:rPr>
          <w:rFonts w:eastAsiaTheme="minorHAnsi"/>
        </w:rPr>
        <w:t>r CPD topics</w:t>
      </w:r>
      <w:r w:rsidRPr="00713AFE">
        <w:rPr>
          <w:rFonts w:eastAsiaTheme="minorHAnsi"/>
        </w:rPr>
        <w:t xml:space="preserve">.  </w:t>
      </w:r>
    </w:p>
    <w:p w14:paraId="5AB77943" w14:textId="77777777" w:rsidR="00C4269A" w:rsidRDefault="00C4269A" w:rsidP="00C4269A">
      <w:pPr>
        <w:pStyle w:val="Heading3"/>
        <w:spacing w:before="0" w:after="0"/>
        <w:contextualSpacing/>
        <w:rPr>
          <w:lang w:val="en-GB"/>
        </w:rPr>
      </w:pPr>
      <w:bookmarkStart w:id="2" w:name="_Toc76476140"/>
    </w:p>
    <w:p w14:paraId="3656FFD3" w14:textId="5FA34B15" w:rsidR="00602C6C" w:rsidRDefault="00602C6C" w:rsidP="007E1D87">
      <w:pPr>
        <w:pStyle w:val="Heading3"/>
        <w:spacing w:before="0" w:after="0"/>
        <w:contextualSpacing/>
        <w:rPr>
          <w:lang w:val="en-GB"/>
        </w:rPr>
      </w:pPr>
      <w:r w:rsidRPr="00496B09">
        <w:rPr>
          <w:lang w:val="en-GB"/>
        </w:rPr>
        <w:t xml:space="preserve">Compulsory Education Diminishes </w:t>
      </w:r>
      <w:r>
        <w:rPr>
          <w:lang w:val="en-GB"/>
        </w:rPr>
        <w:t>–</w:t>
      </w:r>
      <w:r w:rsidRPr="00496B09">
        <w:rPr>
          <w:lang w:val="en-GB"/>
        </w:rPr>
        <w:t xml:space="preserve"> </w:t>
      </w:r>
      <w:bookmarkEnd w:id="2"/>
      <w:r>
        <w:rPr>
          <w:lang w:val="en-GB"/>
        </w:rPr>
        <w:t>NSW Overview</w:t>
      </w:r>
    </w:p>
    <w:p w14:paraId="33087FD4" w14:textId="6CF273EB" w:rsidR="00602C6C" w:rsidRPr="001966D2" w:rsidRDefault="0035719A" w:rsidP="007E1D87">
      <w:pPr>
        <w:pStyle w:val="PRRESIncmainbody"/>
        <w:contextualSpacing/>
        <w:rPr>
          <w:b/>
        </w:rPr>
      </w:pPr>
      <w:r>
        <w:rPr>
          <w:lang w:val="en-GB"/>
        </w:rPr>
        <w:t>In New South Wales, t</w:t>
      </w:r>
      <w:r w:rsidR="00602C6C">
        <w:rPr>
          <w:lang w:val="en-GB"/>
        </w:rPr>
        <w:t>he h</w:t>
      </w:r>
      <w:r w:rsidR="00602C6C" w:rsidRPr="00850200">
        <w:rPr>
          <w:lang w:val="en-GB"/>
        </w:rPr>
        <w:t xml:space="preserve">istorical progression for compulsory education in property related licence categories was identified from the 1960’s as part of the licensing regime.  During the </w:t>
      </w:r>
      <w:r w:rsidR="00602C6C">
        <w:rPr>
          <w:lang w:val="en-GB"/>
        </w:rPr>
        <w:t>next 6</w:t>
      </w:r>
      <w:r w:rsidR="00602C6C" w:rsidRPr="00850200">
        <w:rPr>
          <w:lang w:val="en-GB"/>
        </w:rPr>
        <w:t>0 years</w:t>
      </w:r>
      <w:r w:rsidR="00602C6C">
        <w:rPr>
          <w:lang w:val="en-GB"/>
        </w:rPr>
        <w:t>,</w:t>
      </w:r>
      <w:r w:rsidR="00602C6C" w:rsidRPr="00850200">
        <w:rPr>
          <w:lang w:val="en-GB"/>
        </w:rPr>
        <w:t xml:space="preserve"> there have been varying requirements for education and </w:t>
      </w:r>
      <w:r w:rsidR="003A794F">
        <w:rPr>
          <w:lang w:val="en-GB"/>
        </w:rPr>
        <w:t xml:space="preserve">the level of </w:t>
      </w:r>
      <w:r w:rsidR="00602C6C" w:rsidRPr="00850200">
        <w:rPr>
          <w:lang w:val="en-GB"/>
        </w:rPr>
        <w:t>attained qualifications.</w:t>
      </w:r>
    </w:p>
    <w:p w14:paraId="6C266D75" w14:textId="77777777" w:rsidR="00602C6C" w:rsidRDefault="00602C6C" w:rsidP="00602C6C">
      <w:pPr>
        <w:pStyle w:val="PRRESIncmainbody"/>
        <w:rPr>
          <w:lang w:val="en-GB"/>
        </w:rPr>
      </w:pPr>
    </w:p>
    <w:p w14:paraId="42A1247C" w14:textId="5F119D59" w:rsidR="00602C6C" w:rsidRDefault="00602C6C" w:rsidP="00602C6C">
      <w:pPr>
        <w:pStyle w:val="PRRESIncmainbody"/>
      </w:pPr>
      <w:r w:rsidRPr="00C30EA4">
        <w:t xml:space="preserve">Initially when compulsory educational requirements were introduced in the late 1960’s there was minimal course work requirement and a </w:t>
      </w:r>
      <w:r w:rsidRPr="00C30EA4">
        <w:rPr>
          <w:lang w:val="en-GB"/>
        </w:rPr>
        <w:t xml:space="preserve">six month part-time course at TAFE was introduced which covered basic subjects of accounting and agency practice.  </w:t>
      </w:r>
      <w:r w:rsidRPr="00C30EA4">
        <w:t xml:space="preserve">During the 1970’s the changes implemented ranged from an increase with the hours allocated for class attendance – this increased to 18 months part-time attendance - and the introduction of a more formal course content, such as relevant agency laws, conveyancing laws and trust accounting, with the course continuing to be available at the government TAFE colleges.  </w:t>
      </w:r>
      <w:r w:rsidRPr="00C30EA4">
        <w:rPr>
          <w:lang w:val="en-GB"/>
        </w:rPr>
        <w:t xml:space="preserve">During the 1990’s the TAFE attendance requirement increased to two years part time, and by the early 2000s, the course increased to three years of part time study. </w:t>
      </w:r>
      <w:r w:rsidRPr="00C30EA4">
        <w:t xml:space="preserve">Similarly, the level of qualification increased from a certificate course to a diploma course. </w:t>
      </w:r>
    </w:p>
    <w:p w14:paraId="157C2ED1" w14:textId="77777777" w:rsidR="00602C6C" w:rsidRPr="00C30EA4" w:rsidRDefault="00602C6C" w:rsidP="00602C6C">
      <w:pPr>
        <w:pStyle w:val="PRRESIncmainbody"/>
      </w:pPr>
    </w:p>
    <w:p w14:paraId="3B0172ED" w14:textId="471EDB8A" w:rsidR="00602C6C" w:rsidRDefault="00602C6C" w:rsidP="00602C6C">
      <w:pPr>
        <w:pStyle w:val="PRRESIncmainbody"/>
        <w:rPr>
          <w:highlight w:val="lightGray"/>
          <w:lang w:val="en-GB"/>
        </w:rPr>
      </w:pPr>
      <w:r w:rsidRPr="00C30EA4">
        <w:rPr>
          <w:lang w:val="en-GB"/>
        </w:rPr>
        <w:lastRenderedPageBreak/>
        <w:t>However, from approximately 2007/2008 the competency</w:t>
      </w:r>
      <w:r w:rsidR="00A84311">
        <w:rPr>
          <w:lang w:val="en-GB"/>
        </w:rPr>
        <w:t>-</w:t>
      </w:r>
      <w:r w:rsidRPr="00C30EA4">
        <w:rPr>
          <w:lang w:val="en-GB"/>
        </w:rPr>
        <w:t>based assessment approach was introduced, and the concept of recognition of prior learning (RPL) was accepted.  Previously prior learning acceptance was required over a ten year solid work experience time frame and then only for selected subjects.  However, this changed in the 2007s and onwards with educational qualifications able to be completed within six weeks of full time study – which was a definite change from the three year part time attendance requirements.  This shorter time frame was the result of other training organisations involved in the delivery of the property agency licensing courses and implementing RPLs to the extreme.  Thereby this enabled fast tracking of the course completion and as consumer competition increased, the completion of the licensing courses shortened (Antoniades 2013b; Antoniades and Eves 2013).</w:t>
      </w:r>
      <w:r w:rsidRPr="00DD460B">
        <w:rPr>
          <w:highlight w:val="lightGray"/>
          <w:lang w:val="en-GB"/>
        </w:rPr>
        <w:t xml:space="preserve">  </w:t>
      </w:r>
      <w:r>
        <w:rPr>
          <w:highlight w:val="lightGray"/>
          <w:lang w:val="en-GB"/>
        </w:rPr>
        <w:t xml:space="preserve"> </w:t>
      </w:r>
    </w:p>
    <w:p w14:paraId="2465DBC8" w14:textId="77777777" w:rsidR="0035719A" w:rsidRPr="00631FFA" w:rsidRDefault="0035719A" w:rsidP="00602C6C">
      <w:pPr>
        <w:pStyle w:val="PRRESIncmainbody"/>
        <w:rPr>
          <w:lang w:val="en-GB"/>
        </w:rPr>
      </w:pPr>
    </w:p>
    <w:p w14:paraId="620907AF" w14:textId="77777777" w:rsidR="00602C6C" w:rsidRDefault="00602C6C" w:rsidP="00602C6C">
      <w:pPr>
        <w:pStyle w:val="PRRESIncmainbody"/>
        <w:rPr>
          <w:lang w:val="en-GB"/>
        </w:rPr>
      </w:pPr>
      <w:r w:rsidRPr="00631FFA">
        <w:rPr>
          <w:lang w:val="en-GB"/>
        </w:rPr>
        <w:t>The accounting components also underwent changes, with the elimination of</w:t>
      </w:r>
      <w:r>
        <w:rPr>
          <w:lang w:val="en-GB"/>
        </w:rPr>
        <w:t xml:space="preserve"> the basic accounting processes, relating to the operations for the property agency business, and the correct accountability and maintenance of trust funds.  This approach was different when compared to the early 1990s when the topic of accounting was covered in more depth with separate subjects involving the financial and business management of running the agency practice, plus the correct procedures for trust accounting. </w:t>
      </w:r>
    </w:p>
    <w:p w14:paraId="216AB9CB" w14:textId="77777777" w:rsidR="00602C6C" w:rsidRDefault="00602C6C" w:rsidP="00602C6C">
      <w:pPr>
        <w:pStyle w:val="PRRESIncmainbody"/>
        <w:rPr>
          <w:lang w:val="en-GB"/>
        </w:rPr>
      </w:pPr>
    </w:p>
    <w:p w14:paraId="1D6CCD65" w14:textId="0ED17326" w:rsidR="00602C6C" w:rsidRDefault="00602C6C" w:rsidP="00602C6C">
      <w:pPr>
        <w:pStyle w:val="PRRESIncmainbody"/>
        <w:rPr>
          <w:lang w:val="en-GB"/>
        </w:rPr>
      </w:pPr>
      <w:r>
        <w:rPr>
          <w:lang w:val="en-GB"/>
        </w:rPr>
        <w:t xml:space="preserve">As noted by </w:t>
      </w:r>
      <w:r>
        <w:t>NSW Fair Trading</w:t>
      </w:r>
      <w:r w:rsidRPr="005A6B78">
        <w:t xml:space="preserve"> 2016</w:t>
      </w:r>
      <w:r>
        <w:t xml:space="preserve">b:14, </w:t>
      </w:r>
      <w:r>
        <w:rPr>
          <w:lang w:val="en-GB"/>
        </w:rPr>
        <w:t xml:space="preserve">the removal of business management from the educational requirements was cited as a cause for business failure and trust account misappropriation.     </w:t>
      </w:r>
      <w:r>
        <w:t xml:space="preserve"> </w:t>
      </w:r>
      <w:r>
        <w:rPr>
          <w:lang w:val="en-GB"/>
        </w:rPr>
        <w:t xml:space="preserve"> Additionally, TAFE was the major Vocational Education and Training (VET) provider of approved property occupational licencing courses, and TAFE held state wide exams for many of the core subjects, including the accounting modules. This was a good approach as the process strengthened consistency with the standard of exam questions and the depth of the topic content delivered to the students.  However,</w:t>
      </w:r>
      <w:r w:rsidRPr="002C6BFF">
        <w:rPr>
          <w:lang w:val="en-GB"/>
        </w:rPr>
        <w:t xml:space="preserve"> the VET se</w:t>
      </w:r>
      <w:r>
        <w:rPr>
          <w:lang w:val="en-GB"/>
        </w:rPr>
        <w:t>ctor was undergoing major changes, and coupled with the diminishing educational qualifications for property agency licensing, the industry unknowingly entered into a phase of trust account misappropriation that would have been unconceivable decades earlier.</w:t>
      </w:r>
    </w:p>
    <w:p w14:paraId="11F77706" w14:textId="5020E9C5" w:rsidR="00A84311" w:rsidRDefault="00A84311" w:rsidP="00602C6C">
      <w:pPr>
        <w:pStyle w:val="PRRESIncmainbody"/>
      </w:pPr>
    </w:p>
    <w:p w14:paraId="19B51771" w14:textId="17805011" w:rsidR="00A84311" w:rsidRPr="00A84311" w:rsidRDefault="00A84311" w:rsidP="00602C6C">
      <w:pPr>
        <w:pStyle w:val="PRRESIncmainbody"/>
        <w:rPr>
          <w:b/>
        </w:rPr>
      </w:pPr>
      <w:r w:rsidRPr="00A84311">
        <w:rPr>
          <w:b/>
        </w:rPr>
        <w:t xml:space="preserve">Community </w:t>
      </w:r>
      <w:r>
        <w:rPr>
          <w:b/>
        </w:rPr>
        <w:t>C</w:t>
      </w:r>
      <w:r w:rsidRPr="00A84311">
        <w:rPr>
          <w:b/>
        </w:rPr>
        <w:t xml:space="preserve">oncern with </w:t>
      </w:r>
      <w:r>
        <w:rPr>
          <w:b/>
        </w:rPr>
        <w:t>D</w:t>
      </w:r>
      <w:r w:rsidRPr="00A84311">
        <w:rPr>
          <w:b/>
        </w:rPr>
        <w:t>iminished</w:t>
      </w:r>
      <w:r>
        <w:rPr>
          <w:b/>
        </w:rPr>
        <w:t xml:space="preserve"> E</w:t>
      </w:r>
      <w:r w:rsidRPr="00A84311">
        <w:rPr>
          <w:b/>
        </w:rPr>
        <w:t>ducation</w:t>
      </w:r>
      <w:r>
        <w:rPr>
          <w:b/>
        </w:rPr>
        <w:t>al</w:t>
      </w:r>
      <w:r w:rsidRPr="00A84311">
        <w:rPr>
          <w:b/>
        </w:rPr>
        <w:t xml:space="preserve"> </w:t>
      </w:r>
      <w:r>
        <w:rPr>
          <w:b/>
        </w:rPr>
        <w:t>C</w:t>
      </w:r>
      <w:r w:rsidRPr="00A84311">
        <w:rPr>
          <w:b/>
        </w:rPr>
        <w:t>riteria</w:t>
      </w:r>
    </w:p>
    <w:p w14:paraId="6A2C1039" w14:textId="77777777" w:rsidR="003A794F" w:rsidRDefault="00602C6C" w:rsidP="00602C6C">
      <w:pPr>
        <w:pStyle w:val="PRRESIncmainbody"/>
      </w:pPr>
      <w:r w:rsidRPr="00DE6FA7">
        <w:t xml:space="preserve">The Real Estate Institute expressed concern that consumer protection was violated, due to the ease in obtaining a real estate licence. This led to the institute calling for an increase to the entry level training from four subjects to eleven subjects noting that, “Having a licence doesn’t necessarily mean you are a competent real estate agent.” (Northern Star 2014:6).  This was further supported in the same media release by the NSW Fair Trading Minister Matthew Mason-Cox “…has issued a blunt warning to agents old and young. Do not be mistaken, to misappropriate this money is fraud and agents can find themselves in prison if they break the law.” (Northern Star 2014:6).  </w:t>
      </w:r>
    </w:p>
    <w:p w14:paraId="76946915" w14:textId="77777777" w:rsidR="003A794F" w:rsidRDefault="003A794F" w:rsidP="00602C6C">
      <w:pPr>
        <w:pStyle w:val="PRRESIncmainbody"/>
      </w:pPr>
    </w:p>
    <w:p w14:paraId="25021F55" w14:textId="37774B66" w:rsidR="00602C6C" w:rsidRDefault="00602C6C" w:rsidP="00602C6C">
      <w:pPr>
        <w:pStyle w:val="PRRESIncmainbody"/>
      </w:pPr>
      <w:r w:rsidRPr="00DE6FA7">
        <w:t>The consumer awareness with the lack of agents’ education standards continued into 2015, with Mr Cunningham the president of the REI stating “The barista who makes your coffee has had more training than many real estate agents who are entrusted in selling your biggest asset…” (Manly Daily 2015).   Furthermore, in 2016 with the lead up to the property industry review mentioned previously, media reported, “Unfortunately, over the past 10 years the education standards delivery, especially in NSW, has been watered down and abused by many course providers.” (Southern Courier 2016:44).</w:t>
      </w:r>
    </w:p>
    <w:p w14:paraId="50F71304" w14:textId="77777777" w:rsidR="00602C6C" w:rsidRPr="00DE6FA7" w:rsidRDefault="00602C6C" w:rsidP="00602C6C">
      <w:pPr>
        <w:pStyle w:val="PRRESIncmainbody"/>
      </w:pPr>
    </w:p>
    <w:p w14:paraId="5D78CA22" w14:textId="70EFC893" w:rsidR="00602C6C" w:rsidRDefault="00602C6C" w:rsidP="00602C6C">
      <w:pPr>
        <w:pStyle w:val="PRRESIncmainbody"/>
      </w:pPr>
      <w:r w:rsidRPr="00DE6FA7">
        <w:t xml:space="preserve">Therefore, as with anything compromised, the industry experienced adverse commentary, including an increase of complaints from the consumer, such as issues relating to fraud occurrences, duty of care, negligence, and mismanagement of their clients’ financial requirements.  As a result, the </w:t>
      </w:r>
      <w:r w:rsidRPr="00DE6FA7">
        <w:rPr>
          <w:lang w:val="en-GB"/>
        </w:rPr>
        <w:t>professional bodi</w:t>
      </w:r>
      <w:r w:rsidRPr="00602C6C">
        <w:t xml:space="preserve">es and stakeholders lobbied the government for an overhaul of the educational qualifications applicable to property agency licencing.  Unfortunately, in the interim, trust accounting fraud continued to rise.  </w:t>
      </w:r>
      <w:r w:rsidR="0035719A">
        <w:t xml:space="preserve"> </w:t>
      </w:r>
    </w:p>
    <w:p w14:paraId="39EE9634" w14:textId="11052AD3" w:rsidR="00A84311" w:rsidRDefault="00A84311" w:rsidP="00602C6C">
      <w:pPr>
        <w:pStyle w:val="PRRESIncmainbody"/>
      </w:pPr>
    </w:p>
    <w:p w14:paraId="0E48A3A4" w14:textId="09E2A953" w:rsidR="00A84311" w:rsidRPr="00602C6C" w:rsidRDefault="00A84311" w:rsidP="00602C6C">
      <w:pPr>
        <w:pStyle w:val="PRRESIncmainbody"/>
      </w:pPr>
      <w:r>
        <w:t>The next section of the paper discusses the research methodology adopted, including the relevant limitations, followed by the analysis and discussion.</w:t>
      </w:r>
    </w:p>
    <w:p w14:paraId="5E2D98FD" w14:textId="77777777" w:rsidR="00602C6C" w:rsidRPr="00602C6C" w:rsidRDefault="00602C6C" w:rsidP="00602C6C">
      <w:pPr>
        <w:pStyle w:val="PRRESIncmainbody"/>
      </w:pPr>
    </w:p>
    <w:p w14:paraId="012A3E29" w14:textId="1A6BBCE7" w:rsidR="006D0161" w:rsidRDefault="006D0161" w:rsidP="00602C6C">
      <w:pPr>
        <w:pStyle w:val="PRRESIncmainbody"/>
        <w:rPr>
          <w:b/>
        </w:rPr>
      </w:pPr>
      <w:r w:rsidRPr="00602C6C">
        <w:rPr>
          <w:b/>
        </w:rPr>
        <w:t>RESEARCH METHODOLOGY</w:t>
      </w:r>
    </w:p>
    <w:p w14:paraId="323AA8C9" w14:textId="77777777" w:rsidR="00602C6C" w:rsidRPr="00602C6C" w:rsidRDefault="00602C6C" w:rsidP="00602C6C">
      <w:pPr>
        <w:pStyle w:val="PRRESIncmainbody"/>
        <w:rPr>
          <w:b/>
        </w:rPr>
      </w:pPr>
    </w:p>
    <w:p w14:paraId="37C10C59" w14:textId="72D82E30" w:rsidR="00D93C1D" w:rsidRDefault="00DF3CEC" w:rsidP="00602C6C">
      <w:pPr>
        <w:pStyle w:val="PRRESIncmainbody"/>
      </w:pPr>
      <w:r w:rsidRPr="00834010">
        <w:lastRenderedPageBreak/>
        <w:t xml:space="preserve">The research scope </w:t>
      </w:r>
      <w:r>
        <w:t>wa</w:t>
      </w:r>
      <w:r w:rsidRPr="00834010">
        <w:t xml:space="preserve">s focused on </w:t>
      </w:r>
      <w:r>
        <w:t xml:space="preserve">the </w:t>
      </w:r>
      <w:r w:rsidRPr="00834010">
        <w:t>misappropriation of trust fund</w:t>
      </w:r>
      <w:r w:rsidRPr="00930F43">
        <w:t xml:space="preserve">s in </w:t>
      </w:r>
      <w:r>
        <w:t xml:space="preserve">New South Wales </w:t>
      </w:r>
      <w:r w:rsidRPr="00930F43">
        <w:t xml:space="preserve">property </w:t>
      </w:r>
      <w:r>
        <w:t xml:space="preserve">agencies. </w:t>
      </w:r>
      <w:r w:rsidR="00D93C1D">
        <w:t xml:space="preserve">The methodology included the exploration of </w:t>
      </w:r>
      <w:r w:rsidR="00D93C1D" w:rsidRPr="002A0A42">
        <w:t xml:space="preserve">the relevant issues </w:t>
      </w:r>
      <w:r w:rsidR="00D93C1D">
        <w:t xml:space="preserve">emerging </w:t>
      </w:r>
      <w:r w:rsidR="00D93C1D" w:rsidRPr="002A0A42">
        <w:t xml:space="preserve">due to the gap in </w:t>
      </w:r>
      <w:r w:rsidR="00D93C1D">
        <w:t xml:space="preserve">the </w:t>
      </w:r>
      <w:r w:rsidR="00D93C1D" w:rsidRPr="002A0A42">
        <w:t>literature for this research topic (</w:t>
      </w:r>
      <w:bookmarkStart w:id="3" w:name="_Hlk121683723"/>
      <w:r w:rsidR="00D93C1D" w:rsidRPr="002A0A42">
        <w:t>Lincoln and Guba, 1985</w:t>
      </w:r>
      <w:bookmarkEnd w:id="3"/>
      <w:r w:rsidR="00D93C1D" w:rsidRPr="002A0A42">
        <w:t>).</w:t>
      </w:r>
      <w:r w:rsidR="00D93C1D" w:rsidRPr="00162BC0">
        <w:t xml:space="preserve"> </w:t>
      </w:r>
      <w:r w:rsidR="00D93C1D">
        <w:t xml:space="preserve">As the research method provided various insights into the research problem this method was considered exploratory and inductive </w:t>
      </w:r>
      <w:bookmarkStart w:id="4" w:name="_Hlk121683733"/>
      <w:r w:rsidR="00D93C1D">
        <w:t xml:space="preserve">(Williams 2007).  </w:t>
      </w:r>
      <w:bookmarkEnd w:id="4"/>
      <w:r w:rsidR="00D93C1D">
        <w:t xml:space="preserve">Therefore, the </w:t>
      </w:r>
      <w:r w:rsidR="00D93C1D" w:rsidRPr="00930F43">
        <w:t xml:space="preserve">research was undertaken using </w:t>
      </w:r>
      <w:r w:rsidR="00D93C1D">
        <w:t xml:space="preserve">a mixed method approach, with the qualitative research method dominant. </w:t>
      </w:r>
      <w:r w:rsidR="00D93C1D" w:rsidRPr="00930F43">
        <w:t xml:space="preserve">This </w:t>
      </w:r>
      <w:r w:rsidR="00D93C1D">
        <w:t xml:space="preserve">commenced with the incorporation of </w:t>
      </w:r>
      <w:r w:rsidR="00D93C1D" w:rsidRPr="00930F43">
        <w:t>archival research and document analysis</w:t>
      </w:r>
      <w:r w:rsidR="00D93C1D">
        <w:t xml:space="preserve">. The final stage of the research was limited to the application of </w:t>
      </w:r>
      <w:r w:rsidR="00D93C1D" w:rsidRPr="00930F43">
        <w:t>basic trend data analysis</w:t>
      </w:r>
      <w:r w:rsidR="00D93C1D">
        <w:t xml:space="preserve">. </w:t>
      </w:r>
      <w:r w:rsidR="00D93C1D" w:rsidRPr="00930F43">
        <w:t>The quantitative data analysis s</w:t>
      </w:r>
      <w:r w:rsidR="00D93C1D">
        <w:t>ought</w:t>
      </w:r>
      <w:r w:rsidR="00D93C1D" w:rsidRPr="00930F43">
        <w:t xml:space="preserve"> to present reality through numeric statistical value.</w:t>
      </w:r>
    </w:p>
    <w:p w14:paraId="3CC16936" w14:textId="77777777" w:rsidR="00D93C1D" w:rsidRDefault="00D93C1D" w:rsidP="00D93C1D">
      <w:pPr>
        <w:pStyle w:val="PRRESIncmainbody"/>
      </w:pPr>
    </w:p>
    <w:p w14:paraId="14622579" w14:textId="48876D90" w:rsidR="00D93C1D" w:rsidRDefault="00D93C1D" w:rsidP="00D93C1D">
      <w:pPr>
        <w:pStyle w:val="PRRESIncmainbody"/>
      </w:pPr>
      <w:r>
        <w:t>The archival research for the pilot study consisted of sources considered secondary data.  This included court cases, Fair Trading Annual Reports tabled at NSW Parliament;  minutes arising from the sitting of the NSW Parliamentary Assembly where there is mention of fraudulent activity for property agents; transcripts from the Court of Appeals on trust accounting fraud convictions; Fair Trading enforcement notices published quarterly; media releases by Fair Trading and newspapers;</w:t>
      </w:r>
      <w:r w:rsidR="00DF3CEC">
        <w:t xml:space="preserve"> t</w:t>
      </w:r>
      <w:r>
        <w:t xml:space="preserve">he data from the annual reports was sought as a check method against the courts reports and media releases; and where relevant to provide further insight regarding the trust account misappropriation, and other necessary data. </w:t>
      </w:r>
    </w:p>
    <w:p w14:paraId="6050F5A9" w14:textId="77777777" w:rsidR="00D93C1D" w:rsidRDefault="00D93C1D" w:rsidP="00D93C1D">
      <w:pPr>
        <w:pStyle w:val="PRRESIncmainbody"/>
      </w:pPr>
    </w:p>
    <w:p w14:paraId="4090B280" w14:textId="1F772EA2" w:rsidR="00DF3CEC" w:rsidRDefault="00D93C1D" w:rsidP="00DF3CEC">
      <w:pPr>
        <w:pStyle w:val="PRRESIncmainbody"/>
        <w:rPr>
          <w:rStyle w:val="PhDNormalChar"/>
          <w:rFonts w:eastAsia="Arial Unicode MS"/>
          <w:sz w:val="22"/>
        </w:rPr>
      </w:pPr>
      <w:r w:rsidRPr="00DF3CEC">
        <w:t xml:space="preserve">The time frame of the documented cases and notices ranged over 20-years commencing approximately in mid-1997 and ending in mid-2017. A </w:t>
      </w:r>
      <w:r w:rsidRPr="00DF3CEC">
        <w:rPr>
          <w:rStyle w:val="PhDNormalChar"/>
          <w:rFonts w:eastAsia="Arial Unicode MS"/>
          <w:sz w:val="22"/>
        </w:rPr>
        <w:t>pilot study was initiated to collect qualitative data and develop the coding system for the larger 20 year data set analysis</w:t>
      </w:r>
      <w:r w:rsidR="00DF3CEC">
        <w:rPr>
          <w:rStyle w:val="PhDNormalChar"/>
          <w:rFonts w:eastAsia="Arial Unicode MS"/>
          <w:sz w:val="22"/>
        </w:rPr>
        <w:t>, including the subset of pre and post 2003 data</w:t>
      </w:r>
      <w:r w:rsidRPr="00DF3CEC">
        <w:rPr>
          <w:rStyle w:val="PhDNormalChar"/>
          <w:rFonts w:eastAsia="Arial Unicode MS"/>
          <w:sz w:val="22"/>
        </w:rPr>
        <w:t xml:space="preserve">.  </w:t>
      </w:r>
      <w:r w:rsidR="00DF3CEC">
        <w:rPr>
          <w:rStyle w:val="PhDNormalChar"/>
          <w:rFonts w:eastAsia="Arial Unicode MS"/>
          <w:sz w:val="22"/>
        </w:rPr>
        <w:t xml:space="preserve">A limitation of the data was the </w:t>
      </w:r>
      <w:r w:rsidR="003245FD">
        <w:rPr>
          <w:rStyle w:val="PhDNormalChar"/>
          <w:rFonts w:eastAsia="Arial Unicode MS"/>
          <w:sz w:val="22"/>
        </w:rPr>
        <w:t xml:space="preserve">collection of the available </w:t>
      </w:r>
      <w:r w:rsidR="00DF3CEC">
        <w:rPr>
          <w:rStyle w:val="PhDNormalChar"/>
          <w:rFonts w:eastAsia="Arial Unicode MS"/>
          <w:sz w:val="22"/>
        </w:rPr>
        <w:t xml:space="preserve">information </w:t>
      </w:r>
      <w:r w:rsidR="003245FD">
        <w:rPr>
          <w:rStyle w:val="PhDNormalChar"/>
          <w:rFonts w:eastAsia="Arial Unicode MS"/>
          <w:sz w:val="22"/>
        </w:rPr>
        <w:t>during</w:t>
      </w:r>
      <w:r w:rsidR="00DF3CEC">
        <w:rPr>
          <w:rStyle w:val="PhDNormalChar"/>
          <w:rFonts w:eastAsia="Arial Unicode MS"/>
          <w:sz w:val="22"/>
        </w:rPr>
        <w:t xml:space="preserve"> 2018 to 2019 – i</w:t>
      </w:r>
      <w:r w:rsidR="003245FD">
        <w:rPr>
          <w:rStyle w:val="PhDNormalChar"/>
          <w:rFonts w:eastAsia="Arial Unicode MS"/>
          <w:sz w:val="22"/>
        </w:rPr>
        <w:t>.</w:t>
      </w:r>
      <w:r w:rsidR="00DF3CEC">
        <w:rPr>
          <w:rStyle w:val="PhDNormalChar"/>
          <w:rFonts w:eastAsia="Arial Unicode MS"/>
          <w:sz w:val="22"/>
        </w:rPr>
        <w:t>e. th</w:t>
      </w:r>
      <w:r w:rsidR="003245FD">
        <w:rPr>
          <w:rStyle w:val="PhDNormalChar"/>
          <w:rFonts w:eastAsia="Arial Unicode MS"/>
          <w:sz w:val="22"/>
        </w:rPr>
        <w:t>is</w:t>
      </w:r>
      <w:r w:rsidR="00DF3CEC">
        <w:rPr>
          <w:rStyle w:val="PhDNormalChar"/>
          <w:rFonts w:eastAsia="Arial Unicode MS"/>
          <w:sz w:val="22"/>
        </w:rPr>
        <w:t xml:space="preserve"> time frame </w:t>
      </w:r>
      <w:r w:rsidR="003245FD">
        <w:rPr>
          <w:rStyle w:val="PhDNormalChar"/>
          <w:rFonts w:eastAsia="Arial Unicode MS"/>
          <w:sz w:val="22"/>
        </w:rPr>
        <w:t xml:space="preserve">is </w:t>
      </w:r>
      <w:r w:rsidR="00DF3CEC">
        <w:rPr>
          <w:rStyle w:val="PhDNormalChar"/>
          <w:rFonts w:eastAsia="Arial Unicode MS"/>
          <w:sz w:val="22"/>
        </w:rPr>
        <w:t>prior to the introduction of the legislative changes in early 2020.</w:t>
      </w:r>
      <w:r w:rsidR="003245FD">
        <w:rPr>
          <w:rStyle w:val="PhDNormalChar"/>
          <w:rFonts w:eastAsia="Arial Unicode MS"/>
          <w:sz w:val="22"/>
        </w:rPr>
        <w:t xml:space="preserve"> However with the interruption of Covid19, the later data reporting was not available for this research project.  It is anticipated that an update of this additional data will be included in </w:t>
      </w:r>
      <w:r w:rsidR="00667F67">
        <w:rPr>
          <w:rStyle w:val="PhDNormalChar"/>
          <w:rFonts w:eastAsia="Arial Unicode MS"/>
          <w:sz w:val="22"/>
        </w:rPr>
        <w:t>future</w:t>
      </w:r>
      <w:r w:rsidR="003245FD">
        <w:rPr>
          <w:rStyle w:val="PhDNormalChar"/>
          <w:rFonts w:eastAsia="Arial Unicode MS"/>
          <w:sz w:val="22"/>
        </w:rPr>
        <w:t xml:space="preserve"> forthcoming research.</w:t>
      </w:r>
    </w:p>
    <w:p w14:paraId="056E3BB5" w14:textId="77777777" w:rsidR="003245FD" w:rsidRDefault="003245FD" w:rsidP="00DF3CEC">
      <w:pPr>
        <w:pStyle w:val="PRRESIncmainbody"/>
        <w:rPr>
          <w:rStyle w:val="PhDNormalChar"/>
          <w:rFonts w:eastAsia="Arial Unicode MS"/>
          <w:sz w:val="22"/>
        </w:rPr>
      </w:pPr>
    </w:p>
    <w:p w14:paraId="14445652" w14:textId="1C132E5D" w:rsidR="00D93C1D" w:rsidRPr="00DF3CEC" w:rsidRDefault="00D93C1D" w:rsidP="00DF3CEC">
      <w:pPr>
        <w:pStyle w:val="PRRESIncmainbody"/>
      </w:pPr>
      <w:r w:rsidRPr="00DF3CEC">
        <w:rPr>
          <w:rStyle w:val="PhDNormalChar"/>
          <w:rFonts w:eastAsia="Arial Unicode MS"/>
          <w:sz w:val="22"/>
        </w:rPr>
        <w:t xml:space="preserve">The </w:t>
      </w:r>
      <w:r w:rsidRPr="00DF3CEC">
        <w:t xml:space="preserve">coding system </w:t>
      </w:r>
      <w:r w:rsidR="00667F67">
        <w:t xml:space="preserve">for the archival research </w:t>
      </w:r>
      <w:r w:rsidRPr="00DF3CEC">
        <w:t>was refined where appropriate which led to the development of themes, patterns and trends.   A key characteristic of exploratory methods was the identification of the patterns and trends, which then became the foundational building blocks for emerging themes.  Therefore, coded data is considered the “building blocks for data analysis” (</w:t>
      </w:r>
      <w:bookmarkStart w:id="5" w:name="_Hlk121683753"/>
      <w:r w:rsidRPr="00DF3CEC">
        <w:t xml:space="preserve">Hennink et al. </w:t>
      </w:r>
      <w:bookmarkEnd w:id="5"/>
      <w:r w:rsidRPr="00DF3CEC">
        <w:t>2011:227).  During the analysis of the textual context, the codes were refined and sub divided (</w:t>
      </w:r>
      <w:bookmarkStart w:id="6" w:name="_Hlk121683767"/>
      <w:r w:rsidRPr="00DF3CEC">
        <w:t xml:space="preserve">Boyatzis 1998).  </w:t>
      </w:r>
      <w:bookmarkEnd w:id="6"/>
    </w:p>
    <w:p w14:paraId="54D6A5A7" w14:textId="77777777" w:rsidR="00D93C1D" w:rsidRDefault="00D93C1D" w:rsidP="00D93C1D">
      <w:pPr>
        <w:pStyle w:val="PRRESIncmainbody"/>
      </w:pPr>
    </w:p>
    <w:p w14:paraId="1CB04695" w14:textId="0DF01D8A" w:rsidR="00D93C1D" w:rsidRDefault="00D93C1D" w:rsidP="00D93C1D">
      <w:pPr>
        <w:pStyle w:val="PRRESIncmainbody"/>
      </w:pPr>
      <w:r w:rsidRPr="00417C3B">
        <w:t>In summary</w:t>
      </w:r>
      <w:r>
        <w:t>,</w:t>
      </w:r>
      <w:r w:rsidRPr="00417C3B">
        <w:t xml:space="preserve"> coding has been described as “... an exploratory problem-solving technique without specific formulas or algorithms to follow. Coding is only the initial step toward an even more rigorous and evocative analysis and interpretation for a report. Coding is not just labelling, it is </w:t>
      </w:r>
      <w:r w:rsidRPr="00624409">
        <w:rPr>
          <w:i/>
        </w:rPr>
        <w:t>linking</w:t>
      </w:r>
      <w:r w:rsidRPr="00417C3B">
        <w:t>”. (</w:t>
      </w:r>
      <w:bookmarkStart w:id="7" w:name="_Hlk121683781"/>
      <w:r w:rsidRPr="00417C3B">
        <w:t>Saldana</w:t>
      </w:r>
      <w:r>
        <w:t xml:space="preserve"> 2013</w:t>
      </w:r>
      <w:bookmarkEnd w:id="7"/>
      <w:r>
        <w:t>:8)</w:t>
      </w:r>
      <w:r w:rsidRPr="00417C3B">
        <w:t xml:space="preserve"> and ...“a method that enables you to organize and group similarly coded data into categories or “families” because they share some characteristic – the beginning of a pattern</w:t>
      </w:r>
      <w:r>
        <w:t>…”</w:t>
      </w:r>
      <w:r w:rsidRPr="00417C3B">
        <w:t xml:space="preserve"> (Saldana</w:t>
      </w:r>
      <w:r>
        <w:t xml:space="preserve"> 2013:9).  Therefore, it was possible to add codes throughout the project, or maybe to divide issues into two or three codes or even to merge codes where appropriate.  The code development continued until there was no further need to add codes i.e. “the point of saturation” (</w:t>
      </w:r>
      <w:bookmarkStart w:id="8" w:name="_Hlk121683797"/>
      <w:r>
        <w:t>Glaser and Strauss 1967</w:t>
      </w:r>
      <w:bookmarkEnd w:id="8"/>
      <w:r>
        <w:t xml:space="preserve">, Hennink et al. 2011:217).  </w:t>
      </w:r>
    </w:p>
    <w:p w14:paraId="4FA9F21A" w14:textId="77777777" w:rsidR="00D93C1D" w:rsidRDefault="00D93C1D" w:rsidP="00D93C1D">
      <w:pPr>
        <w:pStyle w:val="PRRESIncmainbody"/>
      </w:pPr>
    </w:p>
    <w:p w14:paraId="31907DD9" w14:textId="61A261AB" w:rsidR="00D93C1D" w:rsidRDefault="00667F67" w:rsidP="00936C6E">
      <w:pPr>
        <w:pStyle w:val="PRRESIncmainbody"/>
      </w:pPr>
      <w:r>
        <w:rPr>
          <w:rStyle w:val="Style1Char"/>
        </w:rPr>
        <w:t xml:space="preserve">Following the archival research, </w:t>
      </w:r>
      <w:r w:rsidR="00D93C1D" w:rsidRPr="00C0673E">
        <w:rPr>
          <w:rStyle w:val="Style1Char"/>
        </w:rPr>
        <w:t>licensing data from NSW Fair Trading</w:t>
      </w:r>
      <w:r>
        <w:rPr>
          <w:rStyle w:val="Style1Char"/>
        </w:rPr>
        <w:t xml:space="preserve"> was </w:t>
      </w:r>
      <w:r w:rsidR="003245FD">
        <w:rPr>
          <w:rStyle w:val="Style1Char"/>
        </w:rPr>
        <w:t xml:space="preserve">mapped against </w:t>
      </w:r>
      <w:r w:rsidR="00D93C1D" w:rsidRPr="00C0673E">
        <w:rPr>
          <w:rStyle w:val="Style1Char"/>
        </w:rPr>
        <w:t>the number of licences/certificates held or issued during each relevant year</w:t>
      </w:r>
      <w:r w:rsidR="003245FD">
        <w:rPr>
          <w:rStyle w:val="Style1Char"/>
        </w:rPr>
        <w:t xml:space="preserve"> and accounting for the pre and post 2003 data subset.  </w:t>
      </w:r>
      <w:r>
        <w:rPr>
          <w:rStyle w:val="Style1Char"/>
        </w:rPr>
        <w:t xml:space="preserve">An analysis of the educational changes was undertaken and in particular to identify the pre and post 2003 changes.  </w:t>
      </w:r>
      <w:r w:rsidR="00D93C1D" w:rsidRPr="00C0673E">
        <w:rPr>
          <w:rStyle w:val="Style1Char"/>
        </w:rPr>
        <w:t>Triangulating the data aimed to provide reinforcement towards the creditability of the outcomes identified</w:t>
      </w:r>
      <w:r w:rsidR="00D93C1D">
        <w:t xml:space="preserve"> in the </w:t>
      </w:r>
      <w:r w:rsidR="00D93C1D" w:rsidRPr="0045122C">
        <w:t>archival research process</w:t>
      </w:r>
      <w:r w:rsidR="00D93C1D">
        <w:t xml:space="preserve"> </w:t>
      </w:r>
      <w:r w:rsidR="00D93C1D" w:rsidRPr="0045122C">
        <w:t>(</w:t>
      </w:r>
      <w:bookmarkStart w:id="9" w:name="_Hlk121683811"/>
      <w:r w:rsidR="00D93C1D" w:rsidRPr="0045122C">
        <w:t>Patton, 1990; Eisner, 1991; Bowen, 2009</w:t>
      </w:r>
      <w:bookmarkEnd w:id="9"/>
      <w:r w:rsidR="00D93C1D">
        <w:t>).</w:t>
      </w:r>
    </w:p>
    <w:p w14:paraId="16A61009" w14:textId="77777777" w:rsidR="00995D55" w:rsidRDefault="00995D55" w:rsidP="00936C6E">
      <w:pPr>
        <w:pStyle w:val="PRRESIncmainbody"/>
      </w:pPr>
    </w:p>
    <w:p w14:paraId="7C23E11A" w14:textId="7CDE2309" w:rsidR="00DF3CEC" w:rsidRDefault="00D93C1D" w:rsidP="00936C6E">
      <w:pPr>
        <w:pStyle w:val="PRRESIncmainbody"/>
        <w:rPr>
          <w:i/>
        </w:rPr>
      </w:pPr>
      <w:r>
        <w:t xml:space="preserve">The next section discusses the analysis of the 20 year data set </w:t>
      </w:r>
      <w:r w:rsidR="003245FD">
        <w:t xml:space="preserve">together with the </w:t>
      </w:r>
      <w:r w:rsidR="003A794F">
        <w:t xml:space="preserve">15 year sub-data set and the association with the </w:t>
      </w:r>
      <w:r w:rsidR="003245FD">
        <w:t>educational changes undertaken for occupational licensing in the property sector.</w:t>
      </w:r>
    </w:p>
    <w:p w14:paraId="3B41840B" w14:textId="573B6548" w:rsidR="00DF3CEC" w:rsidRPr="008E504B" w:rsidRDefault="003245FD" w:rsidP="00936C6E">
      <w:pPr>
        <w:pStyle w:val="PRRESIncmainbody"/>
        <w:contextualSpacing/>
      </w:pPr>
      <w:r>
        <w:t xml:space="preserve"> </w:t>
      </w:r>
    </w:p>
    <w:p w14:paraId="793221AD" w14:textId="58D9BE35" w:rsidR="006D0161" w:rsidRDefault="006D0161" w:rsidP="00936C6E">
      <w:pPr>
        <w:pStyle w:val="Heading1"/>
        <w:spacing w:before="0" w:after="0"/>
        <w:contextualSpacing/>
      </w:pPr>
      <w:r>
        <w:t>RESULTS AND ANALYSIS</w:t>
      </w:r>
    </w:p>
    <w:p w14:paraId="515AFC23" w14:textId="77777777" w:rsidR="005170D8" w:rsidRDefault="005170D8" w:rsidP="000F14B8">
      <w:pPr>
        <w:pStyle w:val="PRRESIncmainbody"/>
        <w:contextualSpacing/>
      </w:pPr>
    </w:p>
    <w:p w14:paraId="3B25C31F" w14:textId="7AE3FB1D" w:rsidR="000F14B8" w:rsidRDefault="005170D8" w:rsidP="000F14B8">
      <w:pPr>
        <w:pStyle w:val="PRRESIncmainbody"/>
        <w:contextualSpacing/>
      </w:pPr>
      <w:r>
        <w:t>The 20-year data set analysis commenced from the 1</w:t>
      </w:r>
      <w:r>
        <w:rPr>
          <w:vertAlign w:val="superscript"/>
        </w:rPr>
        <w:t>st</w:t>
      </w:r>
      <w:r>
        <w:t xml:space="preserve"> July 1997 and ending on the 30</w:t>
      </w:r>
      <w:r>
        <w:rPr>
          <w:vertAlign w:val="superscript"/>
        </w:rPr>
        <w:t>th</w:t>
      </w:r>
      <w:r>
        <w:t xml:space="preserve"> June 2017. </w:t>
      </w:r>
      <w:r w:rsidR="000F2961">
        <w:t xml:space="preserve">The sub-data set related to the pre and post year 2003 which is when the legislation radically changed </w:t>
      </w:r>
      <w:r w:rsidR="00995D55">
        <w:t xml:space="preserve">with </w:t>
      </w:r>
      <w:r w:rsidR="000F2961">
        <w:lastRenderedPageBreak/>
        <w:t xml:space="preserve">the educational requirements for property agents licensing. </w:t>
      </w:r>
      <w:r>
        <w:t xml:space="preserve">Only data associated with the misappropriation of trust funds was considered. </w:t>
      </w:r>
      <w:r w:rsidR="000F2961">
        <w:t xml:space="preserve"> </w:t>
      </w:r>
      <w:r>
        <w:t xml:space="preserve">The code book developed during the pilot study phase formed the basis to commence coding the entire documents in the data set.  </w:t>
      </w:r>
    </w:p>
    <w:p w14:paraId="092B8E08" w14:textId="77777777" w:rsidR="00CD24E9" w:rsidRDefault="00CD24E9" w:rsidP="00CD24E9">
      <w:pPr>
        <w:pStyle w:val="Heading2"/>
      </w:pPr>
      <w:bookmarkStart w:id="10" w:name="_Toc76476211"/>
      <w:r>
        <w:t>Data-set results</w:t>
      </w:r>
      <w:bookmarkEnd w:id="10"/>
      <w:r>
        <w:t xml:space="preserve"> 1</w:t>
      </w:r>
      <w:r w:rsidRPr="00A16F87">
        <w:rPr>
          <w:vertAlign w:val="superscript"/>
        </w:rPr>
        <w:t>st</w:t>
      </w:r>
      <w:r>
        <w:t xml:space="preserve"> July 1997 to 30</w:t>
      </w:r>
      <w:r w:rsidRPr="00A16F87">
        <w:rPr>
          <w:vertAlign w:val="superscript"/>
        </w:rPr>
        <w:t>th</w:t>
      </w:r>
      <w:r>
        <w:t xml:space="preserve"> June 2017.</w:t>
      </w:r>
    </w:p>
    <w:p w14:paraId="78237474" w14:textId="74FEB3A2" w:rsidR="00851F66" w:rsidRDefault="00CD24E9" w:rsidP="00CD24E9">
      <w:pPr>
        <w:pStyle w:val="PRRESIncmainbody"/>
      </w:pPr>
      <w:r>
        <w:t xml:space="preserve">An </w:t>
      </w:r>
      <w:r w:rsidR="00851F66">
        <w:t xml:space="preserve">analysis </w:t>
      </w:r>
      <w:r>
        <w:t>of the archival results from the 1</w:t>
      </w:r>
      <w:r w:rsidRPr="003D7C4A">
        <w:rPr>
          <w:vertAlign w:val="superscript"/>
        </w:rPr>
        <w:t>st</w:t>
      </w:r>
      <w:r>
        <w:t xml:space="preserve"> July 1997 to 30</w:t>
      </w:r>
      <w:r w:rsidRPr="003D7C4A">
        <w:rPr>
          <w:vertAlign w:val="superscript"/>
        </w:rPr>
        <w:t>th</w:t>
      </w:r>
      <w:r>
        <w:t xml:space="preserve"> June 2017</w:t>
      </w:r>
      <w:r w:rsidR="000F2961">
        <w:t xml:space="preserve"> </w:t>
      </w:r>
      <w:r w:rsidR="00851F66">
        <w:t xml:space="preserve">identified 140 </w:t>
      </w:r>
      <w:r w:rsidR="00851F66" w:rsidRPr="003D7C4A">
        <w:rPr>
          <w:i/>
        </w:rPr>
        <w:t>instances</w:t>
      </w:r>
      <w:r w:rsidR="00851F66">
        <w:t xml:space="preserve"> of fraud reported representing 171 individuals.  The term </w:t>
      </w:r>
      <w:r w:rsidR="00851F66" w:rsidRPr="003D7C4A">
        <w:rPr>
          <w:i/>
        </w:rPr>
        <w:t>instances</w:t>
      </w:r>
      <w:r w:rsidR="00851F66">
        <w:t xml:space="preserve"> refers to the fraud incident occurring and is counted as one occurrence to include the corporation licence and an</w:t>
      </w:r>
      <w:r w:rsidR="00851F66" w:rsidRPr="00FA67B4">
        <w:t>y associated parties</w:t>
      </w:r>
      <w:r w:rsidR="00851F66">
        <w:t xml:space="preserve"> such as individual licences/certificates.  This information is presented below in </w:t>
      </w:r>
      <w:r w:rsidR="00995D55" w:rsidRPr="00995D55">
        <w:t>T</w:t>
      </w:r>
      <w:r w:rsidR="00851F66" w:rsidRPr="00995D55">
        <w:t xml:space="preserve">able </w:t>
      </w:r>
      <w:r w:rsidR="00995D55" w:rsidRPr="00995D55">
        <w:t>1</w:t>
      </w:r>
      <w:r w:rsidR="00851F66" w:rsidRPr="00995D55">
        <w:t xml:space="preserve">.  </w:t>
      </w:r>
      <w:r w:rsidRPr="00995D55">
        <w:t>T</w:t>
      </w:r>
      <w:r>
        <w:t>he</w:t>
      </w:r>
      <w:r w:rsidR="000F2961">
        <w:t xml:space="preserve"> </w:t>
      </w:r>
      <w:r>
        <w:t xml:space="preserve">results </w:t>
      </w:r>
      <w:r w:rsidR="000F2961">
        <w:t>i</w:t>
      </w:r>
      <w:r>
        <w:t>nclude</w:t>
      </w:r>
      <w:r w:rsidR="000F2961">
        <w:t xml:space="preserve"> </w:t>
      </w:r>
      <w:r w:rsidR="00851F66">
        <w:t>any</w:t>
      </w:r>
      <w:r w:rsidR="000F2961">
        <w:t xml:space="preserve"> relevant </w:t>
      </w:r>
      <w:r>
        <w:t xml:space="preserve">limitations </w:t>
      </w:r>
      <w:r w:rsidR="00851F66">
        <w:t xml:space="preserve">noted in the research methodology </w:t>
      </w:r>
      <w:r>
        <w:t xml:space="preserve">for gathering the data.  </w:t>
      </w:r>
      <w:r w:rsidR="00F6447E">
        <w:t xml:space="preserve">  </w:t>
      </w:r>
    </w:p>
    <w:p w14:paraId="26808070" w14:textId="77777777" w:rsidR="00851F66" w:rsidRDefault="00851F66" w:rsidP="00CD24E9">
      <w:pPr>
        <w:pStyle w:val="PRRESIncmainbody"/>
      </w:pPr>
    </w:p>
    <w:p w14:paraId="4AA560AC" w14:textId="5AC87F2B" w:rsidR="00CD24E9" w:rsidRPr="00995D55" w:rsidRDefault="00CD24E9" w:rsidP="00CD24E9">
      <w:pPr>
        <w:pStyle w:val="PRRESIncmainbody"/>
      </w:pPr>
      <w:r>
        <w:t xml:space="preserve">Of the 140 </w:t>
      </w:r>
      <w:r w:rsidRPr="0065105E">
        <w:rPr>
          <w:i/>
        </w:rPr>
        <w:t>instances</w:t>
      </w:r>
      <w:r>
        <w:t xml:space="preserve">, 81.43% instances involved only one person undertaking the fraud, 15.00% instances were two people involved and 3.57% instances involved three people. There were no instances recorded where there were more than 3 people involved. Therefore, the total </w:t>
      </w:r>
      <w:r w:rsidRPr="0065105E">
        <w:rPr>
          <w:i/>
        </w:rPr>
        <w:t>instances</w:t>
      </w:r>
      <w:r>
        <w:t xml:space="preserve"> of 140 </w:t>
      </w:r>
      <w:r w:rsidRPr="00995D55">
        <w:t xml:space="preserve">occurrences represented 171 individuals, which is summarised below in </w:t>
      </w:r>
      <w:r w:rsidR="00995D55" w:rsidRPr="00995D55">
        <w:t>T</w:t>
      </w:r>
      <w:r w:rsidRPr="00995D55">
        <w:t xml:space="preserve">able </w:t>
      </w:r>
      <w:r w:rsidR="00995D55" w:rsidRPr="00995D55">
        <w:t>1</w:t>
      </w:r>
      <w:r w:rsidRPr="00995D55">
        <w:t>.</w:t>
      </w:r>
    </w:p>
    <w:p w14:paraId="4987C699" w14:textId="742E1648" w:rsidR="00851F66" w:rsidRPr="00995D55" w:rsidRDefault="00851F66" w:rsidP="00851F66">
      <w:pPr>
        <w:pStyle w:val="Caption"/>
        <w:rPr>
          <w:b w:val="0"/>
        </w:rPr>
      </w:pPr>
      <w:r w:rsidRPr="00995D55">
        <w:t xml:space="preserve">Table </w:t>
      </w:r>
      <w:r w:rsidR="00995D55" w:rsidRPr="00995D55">
        <w:t>1</w:t>
      </w:r>
      <w:r w:rsidRPr="00995D55">
        <w:rPr>
          <w:b w:val="0"/>
        </w:rPr>
        <w:t xml:space="preserve">:  </w:t>
      </w:r>
      <w:r w:rsidRPr="00995D55">
        <w:rPr>
          <w:b w:val="0"/>
          <w:sz w:val="22"/>
          <w:szCs w:val="22"/>
        </w:rPr>
        <w:t>Analysis of Fraud Instances</w:t>
      </w:r>
      <w:r w:rsidRPr="00995D55">
        <w:rPr>
          <w:rFonts w:eastAsia="Arial Unicode MS" w:cs="Arial Unicode MS"/>
          <w:b w:val="0"/>
          <w:color w:val="000000"/>
          <w:szCs w:val="24"/>
          <w:u w:color="000000"/>
          <w:bdr w:val="nil"/>
          <w:lang w:val="en-US" w:eastAsia="en-GB"/>
          <w14:textOutline w14:w="12700" w14:cap="flat" w14:cmpd="sng" w14:algn="ctr">
            <w14:noFill/>
            <w14:prstDash w14:val="solid"/>
            <w14:miter w14:lim="400000"/>
          </w14:textOutline>
        </w:rPr>
        <w:fldChar w:fldCharType="begin"/>
      </w:r>
      <w:r w:rsidRPr="00995D55">
        <w:rPr>
          <w:b w:val="0"/>
        </w:rPr>
        <w:instrText xml:space="preserve"> LINK Excel.Sheet.12 "C:\\Users\\990919\\OneDrive - UTS\\Desktop\\PhD current\\Chapter 6 Analysis\\16 - Chapter 6 Analysis 8th Jan 2021.xlsx" "Trust Fund Deficiencies!R201C2:R206C6" \a \f 4 \h  \* MERGEFORMAT </w:instrText>
      </w:r>
      <w:r w:rsidRPr="00995D55">
        <w:rPr>
          <w:rFonts w:eastAsia="Arial Unicode MS" w:cs="Arial Unicode MS"/>
          <w:b w:val="0"/>
          <w:color w:val="000000"/>
          <w:szCs w:val="24"/>
          <w:u w:color="000000"/>
          <w:bdr w:val="nil"/>
          <w:lang w:val="en-US" w:eastAsia="en-GB"/>
          <w14:textOutline w14:w="12700" w14:cap="flat" w14:cmpd="sng" w14:algn="ctr">
            <w14:noFill/>
            <w14:prstDash w14:val="solid"/>
            <w14:miter w14:lim="400000"/>
          </w14:textOutline>
        </w:rPr>
        <w:fldChar w:fldCharType="separate"/>
      </w:r>
    </w:p>
    <w:tbl>
      <w:tblPr>
        <w:tblW w:w="8359" w:type="dxa"/>
        <w:jc w:val="center"/>
        <w:tblLook w:val="04A0" w:firstRow="1" w:lastRow="0" w:firstColumn="1" w:lastColumn="0" w:noHBand="0" w:noVBand="1"/>
      </w:tblPr>
      <w:tblGrid>
        <w:gridCol w:w="2854"/>
        <w:gridCol w:w="283"/>
        <w:gridCol w:w="1222"/>
        <w:gridCol w:w="1306"/>
        <w:gridCol w:w="2694"/>
      </w:tblGrid>
      <w:tr w:rsidR="00851F66" w:rsidRPr="00995D55" w14:paraId="22794709" w14:textId="77777777" w:rsidTr="00AD457D">
        <w:trPr>
          <w:trHeight w:val="300"/>
          <w:jc w:val="center"/>
        </w:trPr>
        <w:tc>
          <w:tcPr>
            <w:tcW w:w="2854" w:type="dxa"/>
            <w:tcBorders>
              <w:top w:val="single" w:sz="4" w:space="0" w:color="auto"/>
              <w:left w:val="single" w:sz="4" w:space="0" w:color="auto"/>
              <w:bottom w:val="single" w:sz="4" w:space="0" w:color="auto"/>
              <w:right w:val="single" w:sz="4" w:space="0" w:color="auto"/>
            </w:tcBorders>
            <w:noWrap/>
            <w:vAlign w:val="center"/>
          </w:tcPr>
          <w:p w14:paraId="78DABEC9" w14:textId="77777777" w:rsidR="00851F66" w:rsidRPr="00995D55" w:rsidRDefault="00851F66" w:rsidP="00851F66">
            <w:pPr>
              <w:jc w:val="center"/>
              <w:rPr>
                <w:b/>
                <w:color w:val="000000"/>
                <w:sz w:val="20"/>
              </w:rPr>
            </w:pPr>
            <w:r w:rsidRPr="00995D55">
              <w:rPr>
                <w:b/>
                <w:color w:val="000000"/>
                <w:sz w:val="20"/>
              </w:rPr>
              <w:t>INSTANCES</w:t>
            </w:r>
          </w:p>
        </w:tc>
        <w:tc>
          <w:tcPr>
            <w:tcW w:w="283" w:type="dxa"/>
            <w:tcBorders>
              <w:top w:val="single" w:sz="4" w:space="0" w:color="auto"/>
              <w:left w:val="nil"/>
              <w:bottom w:val="single" w:sz="4" w:space="0" w:color="auto"/>
              <w:right w:val="single" w:sz="4" w:space="0" w:color="auto"/>
            </w:tcBorders>
            <w:noWrap/>
            <w:vAlign w:val="bottom"/>
          </w:tcPr>
          <w:p w14:paraId="7AD611BD" w14:textId="77777777" w:rsidR="00851F66" w:rsidRPr="00995D55" w:rsidRDefault="00851F66" w:rsidP="00851F66">
            <w:pPr>
              <w:jc w:val="right"/>
              <w:rPr>
                <w:color w:val="000000"/>
                <w:sz w:val="20"/>
              </w:rPr>
            </w:pPr>
          </w:p>
        </w:tc>
        <w:tc>
          <w:tcPr>
            <w:tcW w:w="1222" w:type="dxa"/>
            <w:tcBorders>
              <w:top w:val="single" w:sz="4" w:space="0" w:color="auto"/>
              <w:left w:val="nil"/>
              <w:bottom w:val="single" w:sz="4" w:space="0" w:color="auto"/>
              <w:right w:val="single" w:sz="4" w:space="0" w:color="auto"/>
            </w:tcBorders>
            <w:noWrap/>
            <w:vAlign w:val="bottom"/>
          </w:tcPr>
          <w:p w14:paraId="01736F15" w14:textId="77777777" w:rsidR="00851F66" w:rsidRPr="00995D55" w:rsidRDefault="00851F66" w:rsidP="00851F66">
            <w:pPr>
              <w:jc w:val="right"/>
              <w:rPr>
                <w:b/>
                <w:color w:val="000000"/>
                <w:sz w:val="20"/>
              </w:rPr>
            </w:pPr>
            <w:r w:rsidRPr="00995D55">
              <w:rPr>
                <w:b/>
                <w:color w:val="000000"/>
                <w:sz w:val="20"/>
              </w:rPr>
              <w:t>Instances</w:t>
            </w:r>
          </w:p>
          <w:p w14:paraId="44793000" w14:textId="77777777" w:rsidR="00851F66" w:rsidRPr="00995D55" w:rsidRDefault="00851F66" w:rsidP="00851F66">
            <w:pPr>
              <w:jc w:val="right"/>
              <w:rPr>
                <w:b/>
                <w:color w:val="000000"/>
                <w:sz w:val="20"/>
              </w:rPr>
            </w:pPr>
          </w:p>
        </w:tc>
        <w:tc>
          <w:tcPr>
            <w:tcW w:w="1306" w:type="dxa"/>
            <w:tcBorders>
              <w:top w:val="single" w:sz="4" w:space="0" w:color="auto"/>
              <w:left w:val="nil"/>
              <w:bottom w:val="single" w:sz="4" w:space="0" w:color="auto"/>
              <w:right w:val="single" w:sz="4" w:space="0" w:color="auto"/>
            </w:tcBorders>
            <w:noWrap/>
          </w:tcPr>
          <w:p w14:paraId="783352C1" w14:textId="77777777" w:rsidR="00851F66" w:rsidRPr="00995D55" w:rsidRDefault="00851F66" w:rsidP="00851F66">
            <w:pPr>
              <w:jc w:val="center"/>
              <w:rPr>
                <w:b/>
                <w:color w:val="000000"/>
                <w:sz w:val="20"/>
              </w:rPr>
            </w:pPr>
            <w:r w:rsidRPr="00995D55">
              <w:rPr>
                <w:b/>
                <w:color w:val="000000"/>
                <w:sz w:val="20"/>
              </w:rPr>
              <w:t>% of Instances</w:t>
            </w:r>
          </w:p>
        </w:tc>
        <w:tc>
          <w:tcPr>
            <w:tcW w:w="2694" w:type="dxa"/>
            <w:tcBorders>
              <w:top w:val="single" w:sz="4" w:space="0" w:color="auto"/>
              <w:left w:val="nil"/>
              <w:bottom w:val="single" w:sz="4" w:space="0" w:color="auto"/>
              <w:right w:val="single" w:sz="4" w:space="0" w:color="auto"/>
            </w:tcBorders>
            <w:noWrap/>
            <w:vAlign w:val="center"/>
          </w:tcPr>
          <w:p w14:paraId="63FAAADA" w14:textId="77777777" w:rsidR="00851F66" w:rsidRPr="00995D55" w:rsidRDefault="00851F66" w:rsidP="00AD457D">
            <w:pPr>
              <w:jc w:val="center"/>
              <w:rPr>
                <w:b/>
                <w:color w:val="000000"/>
                <w:sz w:val="20"/>
              </w:rPr>
            </w:pPr>
            <w:r w:rsidRPr="00995D55">
              <w:rPr>
                <w:b/>
                <w:color w:val="000000"/>
                <w:sz w:val="20"/>
              </w:rPr>
              <w:t>Total Individuals Involved</w:t>
            </w:r>
          </w:p>
        </w:tc>
      </w:tr>
      <w:tr w:rsidR="00851F66" w:rsidRPr="00995D55" w14:paraId="270F4820" w14:textId="77777777" w:rsidTr="00AD457D">
        <w:trPr>
          <w:trHeight w:val="300"/>
          <w:jc w:val="center"/>
        </w:trPr>
        <w:tc>
          <w:tcPr>
            <w:tcW w:w="2854" w:type="dxa"/>
            <w:tcBorders>
              <w:top w:val="single" w:sz="4" w:space="0" w:color="auto"/>
              <w:left w:val="single" w:sz="4" w:space="0" w:color="auto"/>
              <w:bottom w:val="single" w:sz="4" w:space="0" w:color="auto"/>
              <w:right w:val="single" w:sz="4" w:space="0" w:color="auto"/>
            </w:tcBorders>
            <w:noWrap/>
            <w:vAlign w:val="bottom"/>
            <w:hideMark/>
          </w:tcPr>
          <w:p w14:paraId="21A6F5F2" w14:textId="77777777" w:rsidR="00851F66" w:rsidRPr="00995D55" w:rsidRDefault="00851F66" w:rsidP="00851F66">
            <w:pPr>
              <w:rPr>
                <w:color w:val="000000"/>
                <w:sz w:val="20"/>
              </w:rPr>
            </w:pPr>
            <w:r w:rsidRPr="00995D55">
              <w:rPr>
                <w:color w:val="000000"/>
                <w:sz w:val="20"/>
              </w:rPr>
              <w:t>Instances of 1 person involved</w:t>
            </w:r>
          </w:p>
        </w:tc>
        <w:tc>
          <w:tcPr>
            <w:tcW w:w="283" w:type="dxa"/>
            <w:tcBorders>
              <w:top w:val="single" w:sz="4" w:space="0" w:color="auto"/>
              <w:left w:val="nil"/>
              <w:bottom w:val="single" w:sz="4" w:space="0" w:color="auto"/>
              <w:right w:val="single" w:sz="4" w:space="0" w:color="auto"/>
            </w:tcBorders>
            <w:noWrap/>
            <w:vAlign w:val="bottom"/>
            <w:hideMark/>
          </w:tcPr>
          <w:p w14:paraId="1D35F7F1" w14:textId="77777777" w:rsidR="00851F66" w:rsidRPr="00995D55" w:rsidRDefault="00851F66" w:rsidP="00851F66">
            <w:pPr>
              <w:jc w:val="right"/>
              <w:rPr>
                <w:color w:val="000000"/>
                <w:sz w:val="20"/>
              </w:rPr>
            </w:pPr>
            <w:r w:rsidRPr="00995D55">
              <w:rPr>
                <w:color w:val="000000"/>
                <w:sz w:val="20"/>
              </w:rPr>
              <w:t> </w:t>
            </w:r>
          </w:p>
        </w:tc>
        <w:tc>
          <w:tcPr>
            <w:tcW w:w="1222" w:type="dxa"/>
            <w:tcBorders>
              <w:top w:val="single" w:sz="4" w:space="0" w:color="auto"/>
              <w:left w:val="nil"/>
              <w:bottom w:val="single" w:sz="4" w:space="0" w:color="auto"/>
              <w:right w:val="single" w:sz="4" w:space="0" w:color="auto"/>
            </w:tcBorders>
            <w:noWrap/>
            <w:vAlign w:val="bottom"/>
            <w:hideMark/>
          </w:tcPr>
          <w:p w14:paraId="3A75A6C7" w14:textId="77777777" w:rsidR="00851F66" w:rsidRPr="00995D55" w:rsidRDefault="00851F66" w:rsidP="00851F66">
            <w:pPr>
              <w:jc w:val="right"/>
              <w:rPr>
                <w:color w:val="000000"/>
                <w:sz w:val="20"/>
              </w:rPr>
            </w:pPr>
            <w:r w:rsidRPr="00995D55">
              <w:rPr>
                <w:color w:val="000000"/>
                <w:sz w:val="20"/>
              </w:rPr>
              <w:t>114</w:t>
            </w:r>
          </w:p>
        </w:tc>
        <w:tc>
          <w:tcPr>
            <w:tcW w:w="1306" w:type="dxa"/>
            <w:tcBorders>
              <w:top w:val="single" w:sz="4" w:space="0" w:color="auto"/>
              <w:left w:val="nil"/>
              <w:bottom w:val="single" w:sz="4" w:space="0" w:color="auto"/>
              <w:right w:val="single" w:sz="4" w:space="0" w:color="auto"/>
            </w:tcBorders>
            <w:noWrap/>
            <w:vAlign w:val="bottom"/>
            <w:hideMark/>
          </w:tcPr>
          <w:p w14:paraId="4E8BEC0B" w14:textId="77777777" w:rsidR="00851F66" w:rsidRPr="00995D55" w:rsidRDefault="00851F66" w:rsidP="00851F66">
            <w:pPr>
              <w:jc w:val="right"/>
              <w:rPr>
                <w:color w:val="000000"/>
                <w:sz w:val="20"/>
              </w:rPr>
            </w:pPr>
            <w:r w:rsidRPr="00995D55">
              <w:rPr>
                <w:color w:val="000000"/>
                <w:sz w:val="20"/>
              </w:rPr>
              <w:t>81.43%</w:t>
            </w:r>
          </w:p>
        </w:tc>
        <w:tc>
          <w:tcPr>
            <w:tcW w:w="2694" w:type="dxa"/>
            <w:tcBorders>
              <w:top w:val="single" w:sz="4" w:space="0" w:color="auto"/>
              <w:left w:val="nil"/>
              <w:bottom w:val="single" w:sz="4" w:space="0" w:color="auto"/>
              <w:right w:val="single" w:sz="4" w:space="0" w:color="auto"/>
            </w:tcBorders>
            <w:noWrap/>
            <w:vAlign w:val="bottom"/>
            <w:hideMark/>
          </w:tcPr>
          <w:p w14:paraId="68EB5456" w14:textId="77777777" w:rsidR="00851F66" w:rsidRPr="00995D55" w:rsidRDefault="00851F66" w:rsidP="00851F66">
            <w:pPr>
              <w:jc w:val="right"/>
              <w:rPr>
                <w:color w:val="000000"/>
                <w:sz w:val="20"/>
              </w:rPr>
            </w:pPr>
            <w:r w:rsidRPr="00995D55">
              <w:rPr>
                <w:color w:val="000000"/>
                <w:sz w:val="20"/>
              </w:rPr>
              <w:t>114</w:t>
            </w:r>
          </w:p>
        </w:tc>
      </w:tr>
      <w:tr w:rsidR="00851F66" w:rsidRPr="00995D55" w14:paraId="1EB901D1" w14:textId="77777777" w:rsidTr="00AD457D">
        <w:trPr>
          <w:trHeight w:val="300"/>
          <w:jc w:val="center"/>
        </w:trPr>
        <w:tc>
          <w:tcPr>
            <w:tcW w:w="2854" w:type="dxa"/>
            <w:tcBorders>
              <w:top w:val="nil"/>
              <w:left w:val="single" w:sz="4" w:space="0" w:color="auto"/>
              <w:bottom w:val="single" w:sz="4" w:space="0" w:color="auto"/>
              <w:right w:val="single" w:sz="4" w:space="0" w:color="auto"/>
            </w:tcBorders>
            <w:noWrap/>
            <w:vAlign w:val="bottom"/>
            <w:hideMark/>
          </w:tcPr>
          <w:p w14:paraId="104EC826" w14:textId="77777777" w:rsidR="00851F66" w:rsidRPr="00995D55" w:rsidRDefault="00851F66" w:rsidP="00851F66">
            <w:pPr>
              <w:rPr>
                <w:color w:val="000000"/>
                <w:sz w:val="20"/>
              </w:rPr>
            </w:pPr>
            <w:r w:rsidRPr="00995D55">
              <w:rPr>
                <w:color w:val="000000"/>
                <w:sz w:val="20"/>
              </w:rPr>
              <w:t>Instances of 2 people involved</w:t>
            </w:r>
          </w:p>
        </w:tc>
        <w:tc>
          <w:tcPr>
            <w:tcW w:w="283" w:type="dxa"/>
            <w:tcBorders>
              <w:top w:val="nil"/>
              <w:left w:val="nil"/>
              <w:bottom w:val="single" w:sz="4" w:space="0" w:color="auto"/>
              <w:right w:val="single" w:sz="4" w:space="0" w:color="auto"/>
            </w:tcBorders>
            <w:noWrap/>
            <w:vAlign w:val="bottom"/>
            <w:hideMark/>
          </w:tcPr>
          <w:p w14:paraId="39610916" w14:textId="77777777" w:rsidR="00851F66" w:rsidRPr="00995D55" w:rsidRDefault="00851F66" w:rsidP="00851F66">
            <w:pPr>
              <w:jc w:val="right"/>
              <w:rPr>
                <w:color w:val="000000"/>
                <w:sz w:val="20"/>
              </w:rPr>
            </w:pPr>
            <w:r w:rsidRPr="00995D55">
              <w:rPr>
                <w:color w:val="000000"/>
                <w:sz w:val="20"/>
              </w:rPr>
              <w:t> </w:t>
            </w:r>
          </w:p>
        </w:tc>
        <w:tc>
          <w:tcPr>
            <w:tcW w:w="1222" w:type="dxa"/>
            <w:tcBorders>
              <w:top w:val="nil"/>
              <w:left w:val="nil"/>
              <w:bottom w:val="single" w:sz="4" w:space="0" w:color="auto"/>
              <w:right w:val="single" w:sz="4" w:space="0" w:color="auto"/>
            </w:tcBorders>
            <w:noWrap/>
            <w:vAlign w:val="bottom"/>
            <w:hideMark/>
          </w:tcPr>
          <w:p w14:paraId="5AA65C12" w14:textId="77777777" w:rsidR="00851F66" w:rsidRPr="00995D55" w:rsidRDefault="00851F66" w:rsidP="00851F66">
            <w:pPr>
              <w:jc w:val="right"/>
              <w:rPr>
                <w:color w:val="000000"/>
                <w:sz w:val="20"/>
              </w:rPr>
            </w:pPr>
            <w:r w:rsidRPr="00995D55">
              <w:rPr>
                <w:color w:val="000000"/>
                <w:sz w:val="20"/>
              </w:rPr>
              <w:t>21</w:t>
            </w:r>
          </w:p>
        </w:tc>
        <w:tc>
          <w:tcPr>
            <w:tcW w:w="1306" w:type="dxa"/>
            <w:tcBorders>
              <w:top w:val="nil"/>
              <w:left w:val="nil"/>
              <w:bottom w:val="single" w:sz="4" w:space="0" w:color="auto"/>
              <w:right w:val="single" w:sz="4" w:space="0" w:color="auto"/>
            </w:tcBorders>
            <w:noWrap/>
            <w:vAlign w:val="bottom"/>
            <w:hideMark/>
          </w:tcPr>
          <w:p w14:paraId="3B26F887" w14:textId="77777777" w:rsidR="00851F66" w:rsidRPr="00995D55" w:rsidRDefault="00851F66" w:rsidP="00851F66">
            <w:pPr>
              <w:jc w:val="right"/>
              <w:rPr>
                <w:color w:val="000000"/>
                <w:sz w:val="20"/>
              </w:rPr>
            </w:pPr>
            <w:r w:rsidRPr="00995D55">
              <w:rPr>
                <w:color w:val="000000"/>
                <w:sz w:val="20"/>
              </w:rPr>
              <w:t>15.00%</w:t>
            </w:r>
          </w:p>
        </w:tc>
        <w:tc>
          <w:tcPr>
            <w:tcW w:w="2694" w:type="dxa"/>
            <w:tcBorders>
              <w:top w:val="nil"/>
              <w:left w:val="nil"/>
              <w:bottom w:val="single" w:sz="4" w:space="0" w:color="auto"/>
              <w:right w:val="single" w:sz="4" w:space="0" w:color="auto"/>
            </w:tcBorders>
            <w:noWrap/>
            <w:vAlign w:val="bottom"/>
            <w:hideMark/>
          </w:tcPr>
          <w:p w14:paraId="611932A6" w14:textId="77777777" w:rsidR="00851F66" w:rsidRPr="00995D55" w:rsidRDefault="00851F66" w:rsidP="00851F66">
            <w:pPr>
              <w:jc w:val="right"/>
              <w:rPr>
                <w:color w:val="000000"/>
                <w:sz w:val="20"/>
              </w:rPr>
            </w:pPr>
            <w:r w:rsidRPr="00995D55">
              <w:rPr>
                <w:color w:val="000000"/>
                <w:sz w:val="20"/>
              </w:rPr>
              <w:t>42</w:t>
            </w:r>
          </w:p>
        </w:tc>
      </w:tr>
      <w:tr w:rsidR="00851F66" w:rsidRPr="00995D55" w14:paraId="4C919D06" w14:textId="77777777" w:rsidTr="00AD457D">
        <w:trPr>
          <w:trHeight w:val="300"/>
          <w:jc w:val="center"/>
        </w:trPr>
        <w:tc>
          <w:tcPr>
            <w:tcW w:w="2854" w:type="dxa"/>
            <w:tcBorders>
              <w:top w:val="nil"/>
              <w:left w:val="single" w:sz="4" w:space="0" w:color="auto"/>
              <w:bottom w:val="single" w:sz="4" w:space="0" w:color="auto"/>
              <w:right w:val="single" w:sz="4" w:space="0" w:color="auto"/>
            </w:tcBorders>
            <w:noWrap/>
            <w:vAlign w:val="bottom"/>
            <w:hideMark/>
          </w:tcPr>
          <w:p w14:paraId="3A877DE7" w14:textId="77777777" w:rsidR="00851F66" w:rsidRPr="00995D55" w:rsidRDefault="00851F66" w:rsidP="00851F66">
            <w:pPr>
              <w:rPr>
                <w:color w:val="000000"/>
                <w:sz w:val="20"/>
              </w:rPr>
            </w:pPr>
            <w:r w:rsidRPr="00995D55">
              <w:rPr>
                <w:color w:val="000000"/>
                <w:sz w:val="20"/>
              </w:rPr>
              <w:t>Instances of 3 people involved</w:t>
            </w:r>
          </w:p>
        </w:tc>
        <w:tc>
          <w:tcPr>
            <w:tcW w:w="283" w:type="dxa"/>
            <w:tcBorders>
              <w:top w:val="nil"/>
              <w:left w:val="nil"/>
              <w:bottom w:val="single" w:sz="4" w:space="0" w:color="auto"/>
              <w:right w:val="single" w:sz="4" w:space="0" w:color="auto"/>
            </w:tcBorders>
            <w:noWrap/>
            <w:vAlign w:val="bottom"/>
            <w:hideMark/>
          </w:tcPr>
          <w:p w14:paraId="7AF5CBA0" w14:textId="77777777" w:rsidR="00851F66" w:rsidRPr="00995D55" w:rsidRDefault="00851F66" w:rsidP="00851F66">
            <w:pPr>
              <w:jc w:val="right"/>
              <w:rPr>
                <w:color w:val="000000"/>
                <w:sz w:val="20"/>
              </w:rPr>
            </w:pPr>
            <w:r w:rsidRPr="00995D55">
              <w:rPr>
                <w:color w:val="000000"/>
                <w:sz w:val="20"/>
              </w:rPr>
              <w:t> </w:t>
            </w:r>
          </w:p>
        </w:tc>
        <w:tc>
          <w:tcPr>
            <w:tcW w:w="1222" w:type="dxa"/>
            <w:tcBorders>
              <w:top w:val="nil"/>
              <w:left w:val="nil"/>
              <w:bottom w:val="single" w:sz="4" w:space="0" w:color="auto"/>
              <w:right w:val="single" w:sz="4" w:space="0" w:color="auto"/>
            </w:tcBorders>
            <w:noWrap/>
            <w:vAlign w:val="bottom"/>
            <w:hideMark/>
          </w:tcPr>
          <w:p w14:paraId="4291A89E" w14:textId="77777777" w:rsidR="00851F66" w:rsidRPr="00995D55" w:rsidRDefault="00851F66" w:rsidP="00851F66">
            <w:pPr>
              <w:jc w:val="right"/>
              <w:rPr>
                <w:color w:val="000000"/>
                <w:sz w:val="20"/>
              </w:rPr>
            </w:pPr>
            <w:r w:rsidRPr="00995D55">
              <w:rPr>
                <w:color w:val="000000"/>
                <w:sz w:val="20"/>
              </w:rPr>
              <w:t>5</w:t>
            </w:r>
          </w:p>
        </w:tc>
        <w:tc>
          <w:tcPr>
            <w:tcW w:w="1306" w:type="dxa"/>
            <w:tcBorders>
              <w:top w:val="nil"/>
              <w:left w:val="nil"/>
              <w:bottom w:val="single" w:sz="4" w:space="0" w:color="auto"/>
              <w:right w:val="single" w:sz="4" w:space="0" w:color="auto"/>
            </w:tcBorders>
            <w:noWrap/>
            <w:vAlign w:val="bottom"/>
            <w:hideMark/>
          </w:tcPr>
          <w:p w14:paraId="68FE9A06" w14:textId="77777777" w:rsidR="00851F66" w:rsidRPr="00995D55" w:rsidRDefault="00851F66" w:rsidP="00851F66">
            <w:pPr>
              <w:jc w:val="right"/>
              <w:rPr>
                <w:color w:val="000000"/>
                <w:sz w:val="20"/>
              </w:rPr>
            </w:pPr>
            <w:r w:rsidRPr="00995D55">
              <w:rPr>
                <w:color w:val="000000"/>
                <w:sz w:val="20"/>
              </w:rPr>
              <w:t>3.57%</w:t>
            </w:r>
          </w:p>
        </w:tc>
        <w:tc>
          <w:tcPr>
            <w:tcW w:w="2694" w:type="dxa"/>
            <w:tcBorders>
              <w:top w:val="nil"/>
              <w:left w:val="nil"/>
              <w:bottom w:val="single" w:sz="4" w:space="0" w:color="auto"/>
              <w:right w:val="single" w:sz="4" w:space="0" w:color="auto"/>
            </w:tcBorders>
            <w:noWrap/>
            <w:vAlign w:val="bottom"/>
            <w:hideMark/>
          </w:tcPr>
          <w:p w14:paraId="0A67D636" w14:textId="77777777" w:rsidR="00851F66" w:rsidRPr="00995D55" w:rsidRDefault="00851F66" w:rsidP="00851F66">
            <w:pPr>
              <w:jc w:val="right"/>
              <w:rPr>
                <w:color w:val="000000"/>
                <w:sz w:val="20"/>
              </w:rPr>
            </w:pPr>
            <w:r w:rsidRPr="00995D55">
              <w:rPr>
                <w:color w:val="000000"/>
                <w:sz w:val="20"/>
              </w:rPr>
              <w:t>15</w:t>
            </w:r>
          </w:p>
        </w:tc>
      </w:tr>
      <w:tr w:rsidR="00851F66" w:rsidRPr="00995D55" w14:paraId="227494AD" w14:textId="77777777" w:rsidTr="00AD457D">
        <w:trPr>
          <w:trHeight w:val="300"/>
          <w:jc w:val="center"/>
        </w:trPr>
        <w:tc>
          <w:tcPr>
            <w:tcW w:w="2854" w:type="dxa"/>
            <w:tcBorders>
              <w:top w:val="nil"/>
              <w:left w:val="single" w:sz="4" w:space="0" w:color="auto"/>
              <w:bottom w:val="single" w:sz="4" w:space="0" w:color="auto"/>
              <w:right w:val="single" w:sz="4" w:space="0" w:color="auto"/>
            </w:tcBorders>
            <w:noWrap/>
            <w:vAlign w:val="bottom"/>
            <w:hideMark/>
          </w:tcPr>
          <w:p w14:paraId="0941CCFE" w14:textId="77777777" w:rsidR="00851F66" w:rsidRPr="00995D55" w:rsidRDefault="00851F66" w:rsidP="00851F66">
            <w:pPr>
              <w:rPr>
                <w:color w:val="000000"/>
                <w:sz w:val="20"/>
              </w:rPr>
            </w:pPr>
            <w:r w:rsidRPr="00995D55">
              <w:rPr>
                <w:color w:val="000000"/>
                <w:sz w:val="20"/>
              </w:rPr>
              <w:t> </w:t>
            </w:r>
          </w:p>
        </w:tc>
        <w:tc>
          <w:tcPr>
            <w:tcW w:w="283" w:type="dxa"/>
            <w:tcBorders>
              <w:top w:val="nil"/>
              <w:left w:val="nil"/>
              <w:bottom w:val="single" w:sz="4" w:space="0" w:color="auto"/>
              <w:right w:val="single" w:sz="4" w:space="0" w:color="auto"/>
            </w:tcBorders>
            <w:noWrap/>
            <w:vAlign w:val="bottom"/>
            <w:hideMark/>
          </w:tcPr>
          <w:p w14:paraId="3C61EFA2" w14:textId="77777777" w:rsidR="00851F66" w:rsidRPr="00995D55" w:rsidRDefault="00851F66" w:rsidP="00851F66">
            <w:pPr>
              <w:jc w:val="right"/>
              <w:rPr>
                <w:b/>
                <w:bCs/>
                <w:color w:val="000000"/>
                <w:sz w:val="20"/>
              </w:rPr>
            </w:pPr>
            <w:r w:rsidRPr="00995D55">
              <w:rPr>
                <w:b/>
                <w:bCs/>
                <w:color w:val="000000"/>
                <w:sz w:val="20"/>
              </w:rPr>
              <w:t> </w:t>
            </w:r>
          </w:p>
        </w:tc>
        <w:tc>
          <w:tcPr>
            <w:tcW w:w="1222" w:type="dxa"/>
            <w:tcBorders>
              <w:top w:val="nil"/>
              <w:left w:val="nil"/>
              <w:bottom w:val="single" w:sz="4" w:space="0" w:color="auto"/>
              <w:right w:val="single" w:sz="4" w:space="0" w:color="auto"/>
            </w:tcBorders>
            <w:noWrap/>
            <w:vAlign w:val="bottom"/>
            <w:hideMark/>
          </w:tcPr>
          <w:p w14:paraId="1432FF02" w14:textId="77777777" w:rsidR="00851F66" w:rsidRPr="00995D55" w:rsidRDefault="00851F66" w:rsidP="00851F66">
            <w:pPr>
              <w:jc w:val="right"/>
              <w:rPr>
                <w:b/>
                <w:color w:val="000000"/>
                <w:sz w:val="20"/>
              </w:rPr>
            </w:pPr>
            <w:r w:rsidRPr="00995D55">
              <w:rPr>
                <w:b/>
                <w:color w:val="000000"/>
                <w:sz w:val="20"/>
              </w:rPr>
              <w:t>140</w:t>
            </w:r>
          </w:p>
        </w:tc>
        <w:tc>
          <w:tcPr>
            <w:tcW w:w="1306" w:type="dxa"/>
            <w:tcBorders>
              <w:top w:val="nil"/>
              <w:left w:val="nil"/>
              <w:bottom w:val="single" w:sz="4" w:space="0" w:color="auto"/>
              <w:right w:val="single" w:sz="4" w:space="0" w:color="auto"/>
            </w:tcBorders>
            <w:noWrap/>
            <w:vAlign w:val="bottom"/>
            <w:hideMark/>
          </w:tcPr>
          <w:p w14:paraId="036DAB73" w14:textId="77777777" w:rsidR="00851F66" w:rsidRPr="00995D55" w:rsidRDefault="00851F66" w:rsidP="00851F66">
            <w:pPr>
              <w:rPr>
                <w:b/>
                <w:bCs/>
                <w:color w:val="000000"/>
                <w:sz w:val="20"/>
              </w:rPr>
            </w:pPr>
            <w:r w:rsidRPr="00995D55">
              <w:rPr>
                <w:b/>
                <w:bCs/>
                <w:color w:val="000000"/>
                <w:sz w:val="20"/>
              </w:rPr>
              <w:t> </w:t>
            </w:r>
          </w:p>
        </w:tc>
        <w:tc>
          <w:tcPr>
            <w:tcW w:w="2694" w:type="dxa"/>
            <w:tcBorders>
              <w:top w:val="nil"/>
              <w:left w:val="nil"/>
              <w:bottom w:val="single" w:sz="4" w:space="0" w:color="auto"/>
              <w:right w:val="single" w:sz="4" w:space="0" w:color="auto"/>
            </w:tcBorders>
            <w:noWrap/>
            <w:vAlign w:val="bottom"/>
            <w:hideMark/>
          </w:tcPr>
          <w:p w14:paraId="21570557" w14:textId="77777777" w:rsidR="00851F66" w:rsidRPr="00995D55" w:rsidRDefault="00851F66" w:rsidP="00851F66">
            <w:pPr>
              <w:jc w:val="right"/>
              <w:rPr>
                <w:b/>
                <w:bCs/>
                <w:color w:val="000000"/>
                <w:sz w:val="20"/>
              </w:rPr>
            </w:pPr>
            <w:r w:rsidRPr="00995D55">
              <w:rPr>
                <w:b/>
                <w:bCs/>
                <w:color w:val="000000"/>
                <w:sz w:val="20"/>
              </w:rPr>
              <w:t>171</w:t>
            </w:r>
          </w:p>
        </w:tc>
      </w:tr>
    </w:tbl>
    <w:p w14:paraId="144E541B" w14:textId="1BFD5618" w:rsidR="00851F66" w:rsidRPr="00635B3F" w:rsidRDefault="00851F66" w:rsidP="00851F66">
      <w:pPr>
        <w:pStyle w:val="PhDNormal"/>
        <w:ind w:left="927" w:firstLine="0"/>
        <w:rPr>
          <w:sz w:val="16"/>
          <w:szCs w:val="16"/>
        </w:rPr>
      </w:pPr>
      <w:r w:rsidRPr="00995D55">
        <w:fldChar w:fldCharType="end"/>
      </w:r>
      <w:r w:rsidRPr="00851F66">
        <w:rPr>
          <w:sz w:val="16"/>
          <w:szCs w:val="16"/>
        </w:rPr>
        <w:t xml:space="preserve"> </w:t>
      </w:r>
      <w:r w:rsidRPr="00635B3F">
        <w:rPr>
          <w:sz w:val="16"/>
          <w:szCs w:val="16"/>
        </w:rPr>
        <w:t>Source: Author</w:t>
      </w:r>
    </w:p>
    <w:p w14:paraId="4C6D843D" w14:textId="45C0EB36" w:rsidR="00CD24E9" w:rsidRDefault="00CD24E9" w:rsidP="00CD24E9">
      <w:pPr>
        <w:pStyle w:val="PRRESIncmainbody"/>
      </w:pPr>
      <w:r>
        <w:t>Licensing status for these 171 individuals, showed that 84.80% were licenced, and 13.45% only held a certificate of registration, with 1.75% being unlicensed and/or unregistered as a certificate holder. Within the licence category there were 57.93% who obtained their licence prior to 2003, and 42.07% obtained their licence from 2003 and onwards. The 2003 year is used as the cut-off point because of the changes to lice</w:t>
      </w:r>
      <w:r w:rsidRPr="00995D55">
        <w:t xml:space="preserve">nsing and educational requirements occurring during 2003. This licensing analysis is presented below in </w:t>
      </w:r>
      <w:r w:rsidR="00995D55" w:rsidRPr="00995D55">
        <w:t>Table 2.</w:t>
      </w:r>
    </w:p>
    <w:p w14:paraId="2076EABC" w14:textId="14C506B0" w:rsidR="00CD24E9" w:rsidRPr="005A4FB8" w:rsidRDefault="00CD24E9" w:rsidP="003A794F">
      <w:pPr>
        <w:pStyle w:val="Caption"/>
        <w:spacing w:before="0" w:after="0"/>
        <w:contextualSpacing/>
      </w:pPr>
      <w:r w:rsidRPr="00995D55">
        <w:t xml:space="preserve">Table </w:t>
      </w:r>
      <w:r w:rsidR="00995D55" w:rsidRPr="00995D55">
        <w:t>2</w:t>
      </w:r>
      <w:r w:rsidRPr="00995D55">
        <w:t>:  Licen</w:t>
      </w:r>
      <w:r>
        <w:t>sing Analysis</w:t>
      </w:r>
    </w:p>
    <w:p w14:paraId="0D17E838" w14:textId="77777777" w:rsidR="00CD24E9" w:rsidRPr="00DF6046" w:rsidRDefault="00CD24E9" w:rsidP="003A794F">
      <w:pPr>
        <w:pStyle w:val="PhDNormal"/>
        <w:spacing w:after="0" w:line="240" w:lineRule="auto"/>
        <w:ind w:firstLine="0"/>
        <w:contextualSpacing/>
        <w:rPr>
          <w:sz w:val="20"/>
          <w:szCs w:val="20"/>
        </w:rPr>
      </w:pPr>
    </w:p>
    <w:tbl>
      <w:tblPr>
        <w:tblW w:w="8151" w:type="dxa"/>
        <w:jc w:val="center"/>
        <w:tblLook w:val="04A0" w:firstRow="1" w:lastRow="0" w:firstColumn="1" w:lastColumn="0" w:noHBand="0" w:noVBand="1"/>
      </w:tblPr>
      <w:tblGrid>
        <w:gridCol w:w="2410"/>
        <w:gridCol w:w="604"/>
        <w:gridCol w:w="933"/>
        <w:gridCol w:w="1156"/>
        <w:gridCol w:w="1081"/>
        <w:gridCol w:w="1046"/>
        <w:gridCol w:w="921"/>
      </w:tblGrid>
      <w:tr w:rsidR="00CD24E9" w:rsidRPr="00DF6046" w14:paraId="779A048F" w14:textId="77777777" w:rsidTr="003A794F">
        <w:trPr>
          <w:trHeight w:val="675"/>
          <w:jc w:val="center"/>
        </w:trPr>
        <w:tc>
          <w:tcPr>
            <w:tcW w:w="2410" w:type="dxa"/>
            <w:tcBorders>
              <w:top w:val="nil"/>
              <w:left w:val="nil"/>
              <w:bottom w:val="nil"/>
              <w:right w:val="nil"/>
            </w:tcBorders>
            <w:shd w:val="clear" w:color="auto" w:fill="auto"/>
            <w:noWrap/>
            <w:vAlign w:val="bottom"/>
            <w:hideMark/>
          </w:tcPr>
          <w:p w14:paraId="69346F7A" w14:textId="77777777" w:rsidR="00CD24E9" w:rsidRPr="005A4FB8" w:rsidRDefault="00CD24E9" w:rsidP="00851F66">
            <w:pPr>
              <w:rPr>
                <w:sz w:val="20"/>
              </w:rPr>
            </w:pPr>
          </w:p>
        </w:tc>
        <w:tc>
          <w:tcPr>
            <w:tcW w:w="604" w:type="dxa"/>
            <w:tcBorders>
              <w:top w:val="nil"/>
              <w:left w:val="nil"/>
              <w:bottom w:val="nil"/>
              <w:right w:val="nil"/>
            </w:tcBorders>
            <w:shd w:val="clear" w:color="auto" w:fill="auto"/>
            <w:noWrap/>
            <w:vAlign w:val="bottom"/>
            <w:hideMark/>
          </w:tcPr>
          <w:p w14:paraId="1BA591EF" w14:textId="77777777" w:rsidR="00CD24E9" w:rsidRPr="005A4FB8" w:rsidRDefault="00CD24E9" w:rsidP="00851F66">
            <w:pPr>
              <w:rPr>
                <w:sz w:val="20"/>
              </w:rPr>
            </w:pPr>
          </w:p>
        </w:tc>
        <w:tc>
          <w:tcPr>
            <w:tcW w:w="933" w:type="dxa"/>
            <w:tcBorders>
              <w:top w:val="nil"/>
              <w:left w:val="nil"/>
              <w:bottom w:val="nil"/>
              <w:right w:val="nil"/>
            </w:tcBorders>
            <w:shd w:val="clear" w:color="auto" w:fill="auto"/>
            <w:noWrap/>
            <w:vAlign w:val="bottom"/>
            <w:hideMark/>
          </w:tcPr>
          <w:p w14:paraId="39DC45E8" w14:textId="77777777" w:rsidR="00CD24E9" w:rsidRPr="005A4FB8" w:rsidRDefault="00CD24E9" w:rsidP="00851F66">
            <w:pPr>
              <w:rPr>
                <w:sz w:val="20"/>
              </w:rPr>
            </w:pPr>
          </w:p>
        </w:tc>
        <w:tc>
          <w:tcPr>
            <w:tcW w:w="1156" w:type="dxa"/>
            <w:tcBorders>
              <w:top w:val="single" w:sz="4" w:space="0" w:color="auto"/>
              <w:left w:val="single" w:sz="4" w:space="0" w:color="auto"/>
              <w:bottom w:val="single" w:sz="4" w:space="0" w:color="auto"/>
              <w:right w:val="single" w:sz="4" w:space="0" w:color="auto"/>
            </w:tcBorders>
            <w:shd w:val="clear" w:color="000000" w:fill="D9D9D9"/>
            <w:hideMark/>
          </w:tcPr>
          <w:p w14:paraId="5272A514" w14:textId="77777777" w:rsidR="00CD24E9" w:rsidRPr="000E28F8" w:rsidRDefault="00CD24E9" w:rsidP="00851F66">
            <w:pPr>
              <w:jc w:val="center"/>
              <w:rPr>
                <w:b/>
                <w:bCs/>
                <w:color w:val="000000"/>
                <w:sz w:val="18"/>
                <w:szCs w:val="18"/>
              </w:rPr>
            </w:pPr>
            <w:r w:rsidRPr="000E28F8">
              <w:rPr>
                <w:b/>
                <w:bCs/>
                <w:color w:val="000000"/>
                <w:sz w:val="18"/>
                <w:szCs w:val="18"/>
              </w:rPr>
              <w:t xml:space="preserve">Cert </w:t>
            </w:r>
            <w:r>
              <w:rPr>
                <w:b/>
                <w:bCs/>
                <w:color w:val="000000"/>
                <w:sz w:val="18"/>
                <w:szCs w:val="18"/>
              </w:rPr>
              <w:t>b</w:t>
            </w:r>
            <w:r w:rsidRPr="000E28F8">
              <w:rPr>
                <w:b/>
                <w:bCs/>
                <w:color w:val="000000"/>
                <w:sz w:val="18"/>
                <w:szCs w:val="18"/>
              </w:rPr>
              <w:t>efore 2003</w:t>
            </w:r>
          </w:p>
        </w:tc>
        <w:tc>
          <w:tcPr>
            <w:tcW w:w="1081" w:type="dxa"/>
            <w:tcBorders>
              <w:top w:val="single" w:sz="4" w:space="0" w:color="auto"/>
              <w:left w:val="nil"/>
              <w:bottom w:val="single" w:sz="4" w:space="0" w:color="auto"/>
              <w:right w:val="single" w:sz="4" w:space="0" w:color="auto"/>
            </w:tcBorders>
            <w:shd w:val="clear" w:color="000000" w:fill="D9D9D9"/>
            <w:hideMark/>
          </w:tcPr>
          <w:p w14:paraId="1333DB44" w14:textId="77777777" w:rsidR="00CD24E9" w:rsidRPr="000E28F8" w:rsidRDefault="00CD24E9" w:rsidP="00851F66">
            <w:pPr>
              <w:jc w:val="center"/>
              <w:rPr>
                <w:b/>
                <w:bCs/>
                <w:color w:val="000000"/>
                <w:sz w:val="18"/>
                <w:szCs w:val="18"/>
              </w:rPr>
            </w:pPr>
            <w:r w:rsidRPr="000E28F8">
              <w:rPr>
                <w:b/>
                <w:bCs/>
                <w:color w:val="000000"/>
                <w:sz w:val="18"/>
                <w:szCs w:val="18"/>
              </w:rPr>
              <w:t xml:space="preserve">Lic </w:t>
            </w:r>
            <w:r>
              <w:rPr>
                <w:b/>
                <w:bCs/>
                <w:color w:val="000000"/>
                <w:sz w:val="18"/>
                <w:szCs w:val="18"/>
              </w:rPr>
              <w:t>b</w:t>
            </w:r>
            <w:r w:rsidRPr="000E28F8">
              <w:rPr>
                <w:b/>
                <w:bCs/>
                <w:color w:val="000000"/>
                <w:sz w:val="18"/>
                <w:szCs w:val="18"/>
              </w:rPr>
              <w:t>efore 2003</w:t>
            </w:r>
          </w:p>
        </w:tc>
        <w:tc>
          <w:tcPr>
            <w:tcW w:w="1046" w:type="dxa"/>
            <w:tcBorders>
              <w:top w:val="single" w:sz="4" w:space="0" w:color="auto"/>
              <w:left w:val="nil"/>
              <w:bottom w:val="single" w:sz="4" w:space="0" w:color="auto"/>
              <w:right w:val="single" w:sz="4" w:space="0" w:color="auto"/>
            </w:tcBorders>
            <w:shd w:val="clear" w:color="000000" w:fill="D9D9D9"/>
            <w:hideMark/>
          </w:tcPr>
          <w:p w14:paraId="476F81DD" w14:textId="77777777" w:rsidR="00CD24E9" w:rsidRPr="000E28F8" w:rsidRDefault="00CD24E9" w:rsidP="00851F66">
            <w:pPr>
              <w:jc w:val="center"/>
              <w:rPr>
                <w:b/>
                <w:bCs/>
                <w:color w:val="000000"/>
                <w:sz w:val="18"/>
                <w:szCs w:val="18"/>
              </w:rPr>
            </w:pPr>
            <w:r w:rsidRPr="000E28F8">
              <w:rPr>
                <w:b/>
                <w:bCs/>
                <w:color w:val="000000"/>
                <w:sz w:val="18"/>
                <w:szCs w:val="18"/>
              </w:rPr>
              <w:t xml:space="preserve">Cert </w:t>
            </w:r>
            <w:r>
              <w:rPr>
                <w:b/>
                <w:bCs/>
                <w:color w:val="000000"/>
                <w:sz w:val="18"/>
                <w:szCs w:val="18"/>
              </w:rPr>
              <w:t>from</w:t>
            </w:r>
            <w:r w:rsidRPr="000E28F8">
              <w:rPr>
                <w:b/>
                <w:bCs/>
                <w:color w:val="000000"/>
                <w:sz w:val="18"/>
                <w:szCs w:val="18"/>
              </w:rPr>
              <w:t xml:space="preserve"> 2003</w:t>
            </w:r>
          </w:p>
        </w:tc>
        <w:tc>
          <w:tcPr>
            <w:tcW w:w="921" w:type="dxa"/>
            <w:tcBorders>
              <w:top w:val="single" w:sz="4" w:space="0" w:color="auto"/>
              <w:left w:val="nil"/>
              <w:bottom w:val="single" w:sz="4" w:space="0" w:color="auto"/>
              <w:right w:val="single" w:sz="4" w:space="0" w:color="auto"/>
            </w:tcBorders>
            <w:shd w:val="clear" w:color="000000" w:fill="D9D9D9"/>
            <w:hideMark/>
          </w:tcPr>
          <w:p w14:paraId="1BD5E40A" w14:textId="77777777" w:rsidR="00CD24E9" w:rsidRPr="000E28F8" w:rsidRDefault="00CD24E9" w:rsidP="00851F66">
            <w:pPr>
              <w:jc w:val="center"/>
              <w:rPr>
                <w:b/>
                <w:bCs/>
                <w:color w:val="000000"/>
                <w:sz w:val="18"/>
                <w:szCs w:val="18"/>
              </w:rPr>
            </w:pPr>
            <w:r w:rsidRPr="000E28F8">
              <w:rPr>
                <w:b/>
                <w:bCs/>
                <w:color w:val="000000"/>
                <w:sz w:val="18"/>
                <w:szCs w:val="18"/>
              </w:rPr>
              <w:t xml:space="preserve">Lic </w:t>
            </w:r>
            <w:r>
              <w:rPr>
                <w:b/>
                <w:bCs/>
                <w:color w:val="000000"/>
                <w:sz w:val="18"/>
                <w:szCs w:val="18"/>
              </w:rPr>
              <w:t>from</w:t>
            </w:r>
            <w:r w:rsidRPr="000E28F8">
              <w:rPr>
                <w:b/>
                <w:bCs/>
                <w:color w:val="000000"/>
                <w:sz w:val="18"/>
                <w:szCs w:val="18"/>
              </w:rPr>
              <w:t xml:space="preserve"> 2003</w:t>
            </w:r>
          </w:p>
        </w:tc>
      </w:tr>
      <w:tr w:rsidR="00CD24E9" w:rsidRPr="00DF6046" w14:paraId="3C4E57E8" w14:textId="77777777" w:rsidTr="003A794F">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D33D" w14:textId="77777777" w:rsidR="00CD24E9" w:rsidRPr="00E718C5" w:rsidRDefault="00CD24E9" w:rsidP="00851F66">
            <w:pPr>
              <w:rPr>
                <w:color w:val="000000"/>
                <w:sz w:val="20"/>
              </w:rPr>
            </w:pPr>
            <w:r w:rsidRPr="00E718C5">
              <w:rPr>
                <w:color w:val="000000"/>
                <w:sz w:val="20"/>
              </w:rPr>
              <w:t>Licenced individuals</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298DBD94" w14:textId="77777777" w:rsidR="00CD24E9" w:rsidRPr="005A4FB8" w:rsidRDefault="00CD24E9" w:rsidP="00851F66">
            <w:pPr>
              <w:jc w:val="right"/>
              <w:rPr>
                <w:color w:val="000000"/>
                <w:sz w:val="20"/>
              </w:rPr>
            </w:pPr>
            <w:r w:rsidRPr="005A4FB8">
              <w:rPr>
                <w:color w:val="000000"/>
                <w:sz w:val="20"/>
              </w:rPr>
              <w:t>145</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14:paraId="3DAE9841" w14:textId="77777777" w:rsidR="00CD24E9" w:rsidRPr="005A4FB8" w:rsidRDefault="00CD24E9" w:rsidP="00851F66">
            <w:pPr>
              <w:jc w:val="right"/>
              <w:rPr>
                <w:color w:val="000000"/>
                <w:sz w:val="20"/>
              </w:rPr>
            </w:pPr>
            <w:r w:rsidRPr="005A4FB8">
              <w:rPr>
                <w:color w:val="000000"/>
                <w:sz w:val="20"/>
              </w:rPr>
              <w:t>84.80%</w:t>
            </w:r>
          </w:p>
        </w:tc>
        <w:tc>
          <w:tcPr>
            <w:tcW w:w="1156" w:type="dxa"/>
            <w:tcBorders>
              <w:top w:val="nil"/>
              <w:left w:val="nil"/>
              <w:bottom w:val="single" w:sz="4" w:space="0" w:color="auto"/>
              <w:right w:val="single" w:sz="4" w:space="0" w:color="auto"/>
            </w:tcBorders>
            <w:shd w:val="clear" w:color="auto" w:fill="auto"/>
            <w:noWrap/>
            <w:vAlign w:val="bottom"/>
            <w:hideMark/>
          </w:tcPr>
          <w:p w14:paraId="6E13C602" w14:textId="77777777" w:rsidR="00CD24E9" w:rsidRPr="005A4FB8" w:rsidRDefault="00CD24E9" w:rsidP="00851F66">
            <w:pPr>
              <w:rPr>
                <w:color w:val="000000"/>
                <w:sz w:val="20"/>
              </w:rPr>
            </w:pPr>
            <w:r w:rsidRPr="005A4FB8">
              <w:rPr>
                <w:color w:val="000000"/>
                <w:sz w:val="20"/>
              </w:rPr>
              <w:t xml:space="preserve"> </w:t>
            </w:r>
          </w:p>
        </w:tc>
        <w:tc>
          <w:tcPr>
            <w:tcW w:w="1081" w:type="dxa"/>
            <w:tcBorders>
              <w:top w:val="nil"/>
              <w:left w:val="nil"/>
              <w:bottom w:val="single" w:sz="4" w:space="0" w:color="auto"/>
              <w:right w:val="single" w:sz="4" w:space="0" w:color="auto"/>
            </w:tcBorders>
            <w:shd w:val="clear" w:color="auto" w:fill="auto"/>
            <w:noWrap/>
            <w:vAlign w:val="bottom"/>
            <w:hideMark/>
          </w:tcPr>
          <w:p w14:paraId="07A0371C" w14:textId="77777777" w:rsidR="00CD24E9" w:rsidRPr="005A4FB8" w:rsidRDefault="00CD24E9" w:rsidP="00851F66">
            <w:pPr>
              <w:jc w:val="right"/>
              <w:rPr>
                <w:color w:val="000000"/>
                <w:sz w:val="20"/>
              </w:rPr>
            </w:pPr>
            <w:r w:rsidRPr="005A4FB8">
              <w:rPr>
                <w:color w:val="000000"/>
                <w:sz w:val="20"/>
              </w:rPr>
              <w:t>57.93%</w:t>
            </w:r>
          </w:p>
        </w:tc>
        <w:tc>
          <w:tcPr>
            <w:tcW w:w="1046" w:type="dxa"/>
            <w:tcBorders>
              <w:top w:val="nil"/>
              <w:left w:val="nil"/>
              <w:bottom w:val="single" w:sz="4" w:space="0" w:color="auto"/>
              <w:right w:val="single" w:sz="4" w:space="0" w:color="auto"/>
            </w:tcBorders>
            <w:shd w:val="clear" w:color="auto" w:fill="auto"/>
            <w:noWrap/>
            <w:vAlign w:val="bottom"/>
            <w:hideMark/>
          </w:tcPr>
          <w:p w14:paraId="286EF4BB" w14:textId="77777777" w:rsidR="00CD24E9" w:rsidRPr="005A4FB8" w:rsidRDefault="00CD24E9" w:rsidP="00851F66">
            <w:pPr>
              <w:rPr>
                <w:color w:val="000000"/>
                <w:sz w:val="20"/>
              </w:rPr>
            </w:pPr>
            <w:r w:rsidRPr="005A4FB8">
              <w:rPr>
                <w:color w:val="000000"/>
                <w:sz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43AF6F51" w14:textId="77777777" w:rsidR="00CD24E9" w:rsidRPr="005A4FB8" w:rsidRDefault="00CD24E9" w:rsidP="00851F66">
            <w:pPr>
              <w:jc w:val="right"/>
              <w:rPr>
                <w:color w:val="000000"/>
                <w:sz w:val="20"/>
              </w:rPr>
            </w:pPr>
            <w:r w:rsidRPr="005A4FB8">
              <w:rPr>
                <w:color w:val="000000"/>
                <w:sz w:val="20"/>
              </w:rPr>
              <w:t>42.07%</w:t>
            </w:r>
          </w:p>
        </w:tc>
      </w:tr>
      <w:tr w:rsidR="00CD24E9" w:rsidRPr="00DF6046" w14:paraId="47AC2E91" w14:textId="77777777" w:rsidTr="003A794F">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48F4530" w14:textId="77777777" w:rsidR="00CD24E9" w:rsidRPr="00E718C5" w:rsidRDefault="00CD24E9" w:rsidP="00851F66">
            <w:pPr>
              <w:rPr>
                <w:color w:val="000000"/>
                <w:sz w:val="20"/>
              </w:rPr>
            </w:pPr>
            <w:r w:rsidRPr="00E718C5">
              <w:rPr>
                <w:color w:val="000000"/>
                <w:sz w:val="20"/>
              </w:rPr>
              <w:t>Certificate of Registration</w:t>
            </w:r>
          </w:p>
        </w:tc>
        <w:tc>
          <w:tcPr>
            <w:tcW w:w="604" w:type="dxa"/>
            <w:tcBorders>
              <w:top w:val="nil"/>
              <w:left w:val="nil"/>
              <w:bottom w:val="single" w:sz="4" w:space="0" w:color="auto"/>
              <w:right w:val="single" w:sz="4" w:space="0" w:color="auto"/>
            </w:tcBorders>
            <w:shd w:val="clear" w:color="auto" w:fill="auto"/>
            <w:noWrap/>
            <w:vAlign w:val="bottom"/>
            <w:hideMark/>
          </w:tcPr>
          <w:p w14:paraId="275DF71D" w14:textId="77777777" w:rsidR="00CD24E9" w:rsidRPr="005A4FB8" w:rsidRDefault="00CD24E9" w:rsidP="00851F66">
            <w:pPr>
              <w:jc w:val="right"/>
              <w:rPr>
                <w:color w:val="000000"/>
                <w:sz w:val="20"/>
              </w:rPr>
            </w:pPr>
            <w:r w:rsidRPr="005A4FB8">
              <w:rPr>
                <w:color w:val="000000"/>
                <w:sz w:val="20"/>
              </w:rPr>
              <w:t>23</w:t>
            </w:r>
          </w:p>
        </w:tc>
        <w:tc>
          <w:tcPr>
            <w:tcW w:w="933" w:type="dxa"/>
            <w:tcBorders>
              <w:top w:val="nil"/>
              <w:left w:val="nil"/>
              <w:bottom w:val="single" w:sz="4" w:space="0" w:color="auto"/>
              <w:right w:val="single" w:sz="4" w:space="0" w:color="auto"/>
            </w:tcBorders>
            <w:shd w:val="clear" w:color="auto" w:fill="auto"/>
            <w:noWrap/>
            <w:vAlign w:val="bottom"/>
            <w:hideMark/>
          </w:tcPr>
          <w:p w14:paraId="5ADDE19C" w14:textId="77777777" w:rsidR="00CD24E9" w:rsidRPr="005A4FB8" w:rsidRDefault="00CD24E9" w:rsidP="00851F66">
            <w:pPr>
              <w:jc w:val="right"/>
              <w:rPr>
                <w:color w:val="000000"/>
                <w:sz w:val="20"/>
              </w:rPr>
            </w:pPr>
            <w:r w:rsidRPr="005A4FB8">
              <w:rPr>
                <w:color w:val="000000"/>
                <w:sz w:val="20"/>
              </w:rPr>
              <w:t>13.45%</w:t>
            </w:r>
          </w:p>
        </w:tc>
        <w:tc>
          <w:tcPr>
            <w:tcW w:w="1156" w:type="dxa"/>
            <w:tcBorders>
              <w:top w:val="nil"/>
              <w:left w:val="nil"/>
              <w:bottom w:val="single" w:sz="4" w:space="0" w:color="auto"/>
              <w:right w:val="single" w:sz="4" w:space="0" w:color="auto"/>
            </w:tcBorders>
            <w:shd w:val="clear" w:color="auto" w:fill="auto"/>
            <w:noWrap/>
            <w:vAlign w:val="bottom"/>
            <w:hideMark/>
          </w:tcPr>
          <w:p w14:paraId="0D2501DB" w14:textId="77777777" w:rsidR="00CD24E9" w:rsidRPr="005A4FB8" w:rsidRDefault="00CD24E9" w:rsidP="00851F66">
            <w:pPr>
              <w:jc w:val="right"/>
              <w:rPr>
                <w:color w:val="000000"/>
                <w:sz w:val="20"/>
              </w:rPr>
            </w:pPr>
            <w:r w:rsidRPr="005A4FB8">
              <w:rPr>
                <w:color w:val="000000"/>
                <w:sz w:val="20"/>
              </w:rPr>
              <w:t>47.83%</w:t>
            </w:r>
          </w:p>
        </w:tc>
        <w:tc>
          <w:tcPr>
            <w:tcW w:w="1081" w:type="dxa"/>
            <w:tcBorders>
              <w:top w:val="nil"/>
              <w:left w:val="nil"/>
              <w:bottom w:val="single" w:sz="4" w:space="0" w:color="auto"/>
              <w:right w:val="single" w:sz="4" w:space="0" w:color="auto"/>
            </w:tcBorders>
            <w:shd w:val="clear" w:color="auto" w:fill="auto"/>
            <w:noWrap/>
            <w:vAlign w:val="bottom"/>
            <w:hideMark/>
          </w:tcPr>
          <w:p w14:paraId="5FC4DC6A" w14:textId="77777777" w:rsidR="00CD24E9" w:rsidRPr="005A4FB8" w:rsidRDefault="00CD24E9" w:rsidP="00851F66">
            <w:pPr>
              <w:rPr>
                <w:color w:val="000000"/>
                <w:sz w:val="20"/>
              </w:rPr>
            </w:pPr>
            <w:r w:rsidRPr="005A4FB8">
              <w:rPr>
                <w:color w:val="000000"/>
                <w:sz w:val="20"/>
              </w:rPr>
              <w:t> </w:t>
            </w:r>
          </w:p>
        </w:tc>
        <w:tc>
          <w:tcPr>
            <w:tcW w:w="1046" w:type="dxa"/>
            <w:tcBorders>
              <w:top w:val="nil"/>
              <w:left w:val="nil"/>
              <w:bottom w:val="single" w:sz="4" w:space="0" w:color="auto"/>
              <w:right w:val="single" w:sz="4" w:space="0" w:color="auto"/>
            </w:tcBorders>
            <w:shd w:val="clear" w:color="auto" w:fill="auto"/>
            <w:noWrap/>
            <w:vAlign w:val="bottom"/>
            <w:hideMark/>
          </w:tcPr>
          <w:p w14:paraId="1E48AEA5" w14:textId="77777777" w:rsidR="00CD24E9" w:rsidRPr="005A4FB8" w:rsidRDefault="00CD24E9" w:rsidP="00851F66">
            <w:pPr>
              <w:jc w:val="right"/>
              <w:rPr>
                <w:color w:val="000000"/>
                <w:sz w:val="20"/>
              </w:rPr>
            </w:pPr>
            <w:r w:rsidRPr="005A4FB8">
              <w:rPr>
                <w:color w:val="000000"/>
                <w:sz w:val="20"/>
              </w:rPr>
              <w:t>52.17%</w:t>
            </w:r>
          </w:p>
        </w:tc>
        <w:tc>
          <w:tcPr>
            <w:tcW w:w="921" w:type="dxa"/>
            <w:tcBorders>
              <w:top w:val="nil"/>
              <w:left w:val="nil"/>
              <w:bottom w:val="single" w:sz="4" w:space="0" w:color="auto"/>
              <w:right w:val="single" w:sz="4" w:space="0" w:color="auto"/>
            </w:tcBorders>
            <w:shd w:val="clear" w:color="auto" w:fill="auto"/>
            <w:noWrap/>
            <w:vAlign w:val="bottom"/>
            <w:hideMark/>
          </w:tcPr>
          <w:p w14:paraId="6560A523" w14:textId="77777777" w:rsidR="00CD24E9" w:rsidRPr="005A4FB8" w:rsidRDefault="00CD24E9" w:rsidP="00851F66">
            <w:pPr>
              <w:rPr>
                <w:color w:val="000000"/>
                <w:sz w:val="20"/>
              </w:rPr>
            </w:pPr>
            <w:r w:rsidRPr="005A4FB8">
              <w:rPr>
                <w:color w:val="000000"/>
                <w:sz w:val="20"/>
              </w:rPr>
              <w:t> </w:t>
            </w:r>
          </w:p>
        </w:tc>
      </w:tr>
      <w:tr w:rsidR="00CD24E9" w:rsidRPr="00DF6046" w14:paraId="30EE06DC" w14:textId="77777777" w:rsidTr="003A794F">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3835E5F" w14:textId="77777777" w:rsidR="00CD24E9" w:rsidRPr="005A4FB8" w:rsidRDefault="00CD24E9" w:rsidP="00851F66">
            <w:pPr>
              <w:rPr>
                <w:color w:val="000000"/>
                <w:sz w:val="20"/>
              </w:rPr>
            </w:pPr>
            <w:r w:rsidRPr="005A4FB8">
              <w:rPr>
                <w:color w:val="000000"/>
                <w:sz w:val="20"/>
              </w:rPr>
              <w:t>No Lic</w:t>
            </w:r>
            <w:r w:rsidRPr="00DF6046">
              <w:rPr>
                <w:color w:val="000000"/>
                <w:sz w:val="20"/>
              </w:rPr>
              <w:t>ence</w:t>
            </w:r>
            <w:r w:rsidRPr="005A4FB8">
              <w:rPr>
                <w:color w:val="000000"/>
                <w:sz w:val="20"/>
              </w:rPr>
              <w:t xml:space="preserve"> or Certif</w:t>
            </w:r>
            <w:r w:rsidRPr="00DF6046">
              <w:rPr>
                <w:color w:val="000000"/>
                <w:sz w:val="20"/>
              </w:rPr>
              <w:t>i</w:t>
            </w:r>
            <w:r w:rsidRPr="005A4FB8">
              <w:rPr>
                <w:color w:val="000000"/>
                <w:sz w:val="20"/>
              </w:rPr>
              <w:t>cate</w:t>
            </w:r>
          </w:p>
        </w:tc>
        <w:tc>
          <w:tcPr>
            <w:tcW w:w="604" w:type="dxa"/>
            <w:tcBorders>
              <w:top w:val="nil"/>
              <w:left w:val="nil"/>
              <w:bottom w:val="single" w:sz="4" w:space="0" w:color="auto"/>
              <w:right w:val="single" w:sz="4" w:space="0" w:color="auto"/>
            </w:tcBorders>
            <w:shd w:val="clear" w:color="auto" w:fill="auto"/>
            <w:noWrap/>
            <w:vAlign w:val="bottom"/>
            <w:hideMark/>
          </w:tcPr>
          <w:p w14:paraId="51C8395A" w14:textId="77777777" w:rsidR="00CD24E9" w:rsidRPr="005A4FB8" w:rsidRDefault="00CD24E9" w:rsidP="00851F66">
            <w:pPr>
              <w:jc w:val="right"/>
              <w:rPr>
                <w:color w:val="000000"/>
                <w:sz w:val="20"/>
              </w:rPr>
            </w:pPr>
            <w:r w:rsidRPr="005A4FB8">
              <w:rPr>
                <w:color w:val="000000"/>
                <w:sz w:val="20"/>
              </w:rPr>
              <w:t>3</w:t>
            </w:r>
          </w:p>
        </w:tc>
        <w:tc>
          <w:tcPr>
            <w:tcW w:w="933" w:type="dxa"/>
            <w:tcBorders>
              <w:top w:val="nil"/>
              <w:left w:val="nil"/>
              <w:bottom w:val="single" w:sz="4" w:space="0" w:color="auto"/>
              <w:right w:val="single" w:sz="4" w:space="0" w:color="auto"/>
            </w:tcBorders>
            <w:shd w:val="clear" w:color="auto" w:fill="auto"/>
            <w:noWrap/>
            <w:vAlign w:val="bottom"/>
            <w:hideMark/>
          </w:tcPr>
          <w:p w14:paraId="094D1F8B" w14:textId="77777777" w:rsidR="00CD24E9" w:rsidRPr="005A4FB8" w:rsidRDefault="00CD24E9" w:rsidP="00851F66">
            <w:pPr>
              <w:jc w:val="right"/>
              <w:rPr>
                <w:color w:val="000000"/>
                <w:sz w:val="20"/>
              </w:rPr>
            </w:pPr>
            <w:r w:rsidRPr="005A4FB8">
              <w:rPr>
                <w:color w:val="000000"/>
                <w:sz w:val="20"/>
              </w:rPr>
              <w:t>1.75%</w:t>
            </w:r>
          </w:p>
        </w:tc>
        <w:tc>
          <w:tcPr>
            <w:tcW w:w="1156" w:type="dxa"/>
            <w:tcBorders>
              <w:top w:val="nil"/>
              <w:left w:val="nil"/>
              <w:bottom w:val="single" w:sz="4" w:space="0" w:color="auto"/>
              <w:right w:val="single" w:sz="4" w:space="0" w:color="auto"/>
            </w:tcBorders>
            <w:shd w:val="clear" w:color="auto" w:fill="auto"/>
            <w:noWrap/>
            <w:vAlign w:val="bottom"/>
            <w:hideMark/>
          </w:tcPr>
          <w:p w14:paraId="6EBFD5E9" w14:textId="77777777" w:rsidR="00CD24E9" w:rsidRPr="005A4FB8" w:rsidRDefault="00CD24E9" w:rsidP="00851F66">
            <w:pPr>
              <w:rPr>
                <w:color w:val="000000"/>
                <w:sz w:val="20"/>
              </w:rPr>
            </w:pPr>
            <w:r w:rsidRPr="005A4FB8">
              <w:rPr>
                <w:color w:val="000000"/>
                <w:sz w:val="20"/>
              </w:rPr>
              <w:t xml:space="preserve"> </w:t>
            </w:r>
          </w:p>
        </w:tc>
        <w:tc>
          <w:tcPr>
            <w:tcW w:w="1081" w:type="dxa"/>
            <w:tcBorders>
              <w:top w:val="nil"/>
              <w:left w:val="nil"/>
              <w:bottom w:val="single" w:sz="4" w:space="0" w:color="auto"/>
              <w:right w:val="single" w:sz="4" w:space="0" w:color="auto"/>
            </w:tcBorders>
            <w:shd w:val="clear" w:color="auto" w:fill="auto"/>
            <w:noWrap/>
            <w:vAlign w:val="bottom"/>
            <w:hideMark/>
          </w:tcPr>
          <w:p w14:paraId="507E313F" w14:textId="77777777" w:rsidR="00CD24E9" w:rsidRPr="005A4FB8" w:rsidRDefault="00CD24E9" w:rsidP="00851F66">
            <w:pPr>
              <w:rPr>
                <w:color w:val="000000"/>
                <w:sz w:val="20"/>
              </w:rPr>
            </w:pPr>
            <w:r w:rsidRPr="005A4FB8">
              <w:rPr>
                <w:color w:val="000000"/>
                <w:sz w:val="20"/>
              </w:rPr>
              <w:t> </w:t>
            </w:r>
          </w:p>
        </w:tc>
        <w:tc>
          <w:tcPr>
            <w:tcW w:w="1046" w:type="dxa"/>
            <w:tcBorders>
              <w:top w:val="nil"/>
              <w:left w:val="nil"/>
              <w:bottom w:val="single" w:sz="4" w:space="0" w:color="auto"/>
              <w:right w:val="single" w:sz="4" w:space="0" w:color="auto"/>
            </w:tcBorders>
            <w:shd w:val="clear" w:color="auto" w:fill="auto"/>
            <w:noWrap/>
            <w:vAlign w:val="bottom"/>
            <w:hideMark/>
          </w:tcPr>
          <w:p w14:paraId="1434236B" w14:textId="77777777" w:rsidR="00CD24E9" w:rsidRPr="005A4FB8" w:rsidRDefault="00CD24E9" w:rsidP="00851F66">
            <w:pPr>
              <w:rPr>
                <w:color w:val="000000"/>
                <w:sz w:val="20"/>
              </w:rPr>
            </w:pPr>
            <w:r w:rsidRPr="005A4FB8">
              <w:rPr>
                <w:color w:val="000000"/>
                <w:sz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2F3F7812" w14:textId="77777777" w:rsidR="00CD24E9" w:rsidRPr="005A4FB8" w:rsidRDefault="00CD24E9" w:rsidP="00851F66">
            <w:pPr>
              <w:rPr>
                <w:color w:val="000000"/>
                <w:sz w:val="20"/>
              </w:rPr>
            </w:pPr>
            <w:r w:rsidRPr="005A4FB8">
              <w:rPr>
                <w:color w:val="000000"/>
                <w:sz w:val="20"/>
              </w:rPr>
              <w:t> </w:t>
            </w:r>
          </w:p>
        </w:tc>
      </w:tr>
      <w:tr w:rsidR="00CD24E9" w:rsidRPr="00DF6046" w14:paraId="0843B0F5" w14:textId="77777777" w:rsidTr="003A794F">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689E1DE" w14:textId="77777777" w:rsidR="00CD24E9" w:rsidRPr="0014246F" w:rsidRDefault="00CD24E9" w:rsidP="00851F66">
            <w:pPr>
              <w:jc w:val="center"/>
              <w:rPr>
                <w:b/>
                <w:color w:val="000000"/>
                <w:sz w:val="20"/>
              </w:rPr>
            </w:pPr>
            <w:r w:rsidRPr="0014246F">
              <w:rPr>
                <w:b/>
                <w:color w:val="000000"/>
                <w:sz w:val="20"/>
              </w:rPr>
              <w:t>Total Individuals</w:t>
            </w:r>
          </w:p>
        </w:tc>
        <w:tc>
          <w:tcPr>
            <w:tcW w:w="604" w:type="dxa"/>
            <w:tcBorders>
              <w:top w:val="nil"/>
              <w:left w:val="nil"/>
              <w:bottom w:val="single" w:sz="4" w:space="0" w:color="auto"/>
              <w:right w:val="single" w:sz="4" w:space="0" w:color="auto"/>
            </w:tcBorders>
            <w:shd w:val="clear" w:color="auto" w:fill="auto"/>
            <w:noWrap/>
            <w:vAlign w:val="bottom"/>
            <w:hideMark/>
          </w:tcPr>
          <w:p w14:paraId="62AAC11C" w14:textId="77777777" w:rsidR="00CD24E9" w:rsidRPr="005A4FB8" w:rsidRDefault="00CD24E9" w:rsidP="00851F66">
            <w:pPr>
              <w:jc w:val="right"/>
              <w:rPr>
                <w:b/>
                <w:bCs/>
                <w:color w:val="000000"/>
                <w:sz w:val="20"/>
              </w:rPr>
            </w:pPr>
            <w:r w:rsidRPr="005A4FB8">
              <w:rPr>
                <w:b/>
                <w:bCs/>
                <w:color w:val="000000"/>
                <w:sz w:val="20"/>
              </w:rPr>
              <w:t>171</w:t>
            </w:r>
          </w:p>
        </w:tc>
        <w:tc>
          <w:tcPr>
            <w:tcW w:w="933" w:type="dxa"/>
            <w:tcBorders>
              <w:top w:val="nil"/>
              <w:left w:val="nil"/>
              <w:bottom w:val="single" w:sz="4" w:space="0" w:color="auto"/>
              <w:right w:val="single" w:sz="4" w:space="0" w:color="auto"/>
            </w:tcBorders>
            <w:shd w:val="clear" w:color="auto" w:fill="auto"/>
            <w:noWrap/>
            <w:vAlign w:val="bottom"/>
            <w:hideMark/>
          </w:tcPr>
          <w:p w14:paraId="4BBF499B" w14:textId="77777777" w:rsidR="00CD24E9" w:rsidRPr="005A4FB8" w:rsidRDefault="00CD24E9" w:rsidP="00851F66">
            <w:pPr>
              <w:jc w:val="center"/>
              <w:rPr>
                <w:color w:val="000000"/>
                <w:sz w:val="20"/>
              </w:rPr>
            </w:pPr>
            <w:r>
              <w:rPr>
                <w:color w:val="000000"/>
                <w:sz w:val="20"/>
              </w:rPr>
              <w:t>100.00%</w:t>
            </w:r>
          </w:p>
        </w:tc>
        <w:tc>
          <w:tcPr>
            <w:tcW w:w="1156" w:type="dxa"/>
            <w:tcBorders>
              <w:top w:val="nil"/>
              <w:left w:val="nil"/>
              <w:bottom w:val="single" w:sz="4" w:space="0" w:color="auto"/>
              <w:right w:val="single" w:sz="4" w:space="0" w:color="auto"/>
            </w:tcBorders>
            <w:shd w:val="clear" w:color="auto" w:fill="auto"/>
            <w:noWrap/>
            <w:vAlign w:val="bottom"/>
            <w:hideMark/>
          </w:tcPr>
          <w:p w14:paraId="04779182" w14:textId="77777777" w:rsidR="00CD24E9" w:rsidRPr="005A4FB8" w:rsidRDefault="00CD24E9" w:rsidP="00851F66">
            <w:pPr>
              <w:jc w:val="center"/>
              <w:rPr>
                <w:color w:val="000000"/>
                <w:sz w:val="20"/>
              </w:rPr>
            </w:pPr>
          </w:p>
        </w:tc>
        <w:tc>
          <w:tcPr>
            <w:tcW w:w="1081" w:type="dxa"/>
            <w:tcBorders>
              <w:top w:val="nil"/>
              <w:left w:val="nil"/>
              <w:bottom w:val="single" w:sz="4" w:space="0" w:color="auto"/>
              <w:right w:val="single" w:sz="4" w:space="0" w:color="auto"/>
            </w:tcBorders>
            <w:shd w:val="clear" w:color="auto" w:fill="auto"/>
            <w:noWrap/>
            <w:vAlign w:val="bottom"/>
            <w:hideMark/>
          </w:tcPr>
          <w:p w14:paraId="7A15E5AA" w14:textId="77777777" w:rsidR="00CD24E9" w:rsidRPr="005A4FB8" w:rsidRDefault="00CD24E9" w:rsidP="00851F66">
            <w:pPr>
              <w:jc w:val="center"/>
              <w:rPr>
                <w:color w:val="000000"/>
                <w:sz w:val="20"/>
              </w:rPr>
            </w:pPr>
          </w:p>
        </w:tc>
        <w:tc>
          <w:tcPr>
            <w:tcW w:w="1046" w:type="dxa"/>
            <w:tcBorders>
              <w:top w:val="nil"/>
              <w:left w:val="nil"/>
              <w:bottom w:val="single" w:sz="4" w:space="0" w:color="auto"/>
              <w:right w:val="single" w:sz="4" w:space="0" w:color="auto"/>
            </w:tcBorders>
            <w:shd w:val="clear" w:color="auto" w:fill="auto"/>
            <w:noWrap/>
            <w:vAlign w:val="bottom"/>
            <w:hideMark/>
          </w:tcPr>
          <w:p w14:paraId="3518A8DD" w14:textId="77777777" w:rsidR="00CD24E9" w:rsidRPr="005A4FB8" w:rsidRDefault="00CD24E9" w:rsidP="00851F66">
            <w:pPr>
              <w:jc w:val="center"/>
              <w:rPr>
                <w:color w:val="000000"/>
                <w:sz w:val="20"/>
              </w:rPr>
            </w:pPr>
          </w:p>
        </w:tc>
        <w:tc>
          <w:tcPr>
            <w:tcW w:w="921" w:type="dxa"/>
            <w:tcBorders>
              <w:top w:val="nil"/>
              <w:left w:val="nil"/>
              <w:bottom w:val="single" w:sz="4" w:space="0" w:color="auto"/>
              <w:right w:val="single" w:sz="4" w:space="0" w:color="auto"/>
            </w:tcBorders>
            <w:shd w:val="clear" w:color="auto" w:fill="auto"/>
            <w:noWrap/>
            <w:vAlign w:val="bottom"/>
            <w:hideMark/>
          </w:tcPr>
          <w:p w14:paraId="0E12F4BD" w14:textId="77777777" w:rsidR="00CD24E9" w:rsidRPr="005A4FB8" w:rsidRDefault="00CD24E9" w:rsidP="00851F66">
            <w:pPr>
              <w:jc w:val="center"/>
              <w:rPr>
                <w:color w:val="000000"/>
                <w:sz w:val="20"/>
              </w:rPr>
            </w:pPr>
          </w:p>
        </w:tc>
      </w:tr>
    </w:tbl>
    <w:p w14:paraId="27E8669F" w14:textId="77777777" w:rsidR="00CD24E9" w:rsidRDefault="00CD24E9" w:rsidP="00CD24E9">
      <w:pPr>
        <w:pStyle w:val="PhDNormal"/>
        <w:ind w:left="927" w:firstLine="0"/>
      </w:pPr>
      <w:r w:rsidRPr="005A4FB8">
        <w:t>Source: Author</w:t>
      </w:r>
    </w:p>
    <w:p w14:paraId="19B59D68" w14:textId="14C510F3" w:rsidR="00CD24E9" w:rsidRPr="00995D55" w:rsidRDefault="00CD24E9" w:rsidP="00CD24E9">
      <w:pPr>
        <w:pStyle w:val="PRRESIncmainbody"/>
      </w:pPr>
      <w:r>
        <w:t xml:space="preserve">Within the 171 individuals involved in the 140 </w:t>
      </w:r>
      <w:r w:rsidRPr="00212DD7">
        <w:rPr>
          <w:i/>
        </w:rPr>
        <w:t>instances</w:t>
      </w:r>
      <w:r>
        <w:t xml:space="preserve">, there were eleven (11) </w:t>
      </w:r>
      <w:r w:rsidRPr="00212DD7">
        <w:rPr>
          <w:i/>
        </w:rPr>
        <w:t>instances</w:t>
      </w:r>
      <w:r>
        <w:t xml:space="preserve"> which related to employees and this represented eleven (11) individuals.  In other words the employees carried out the fraud and owners, directors or licensees of the business were not involved.  These eleven (11) individuals comprised of one person who was licenced before 2003. There were nine (9) individuals </w:t>
      </w:r>
      <w:r>
        <w:lastRenderedPageBreak/>
        <w:t xml:space="preserve">who held a certificate of registration and five (5) of these holders were certified prior to 2003 and four (4) were certified from 2003.  There was one individual who did not hold a </w:t>
      </w:r>
      <w:r w:rsidRPr="00A94D8B">
        <w:t xml:space="preserve">licence or a certificate of </w:t>
      </w:r>
      <w:r w:rsidRPr="00995D55">
        <w:t xml:space="preserve">registration. This information is summarised below in </w:t>
      </w:r>
      <w:r w:rsidR="00995D55">
        <w:t>Table 3.</w:t>
      </w:r>
    </w:p>
    <w:p w14:paraId="1FC37F24" w14:textId="77777777" w:rsidR="003A794F" w:rsidRDefault="003A794F" w:rsidP="003A794F">
      <w:pPr>
        <w:pStyle w:val="PRRESIncmainbody"/>
      </w:pPr>
      <w:bookmarkStart w:id="11" w:name="_Ref61206342"/>
      <w:bookmarkStart w:id="12" w:name="_Toc69650747"/>
    </w:p>
    <w:p w14:paraId="676468BC" w14:textId="74C7603A" w:rsidR="00CD24E9" w:rsidRDefault="00CD24E9" w:rsidP="003A794F">
      <w:pPr>
        <w:pStyle w:val="Caption"/>
        <w:spacing w:before="0" w:after="0"/>
        <w:contextualSpacing/>
      </w:pPr>
      <w:r w:rsidRPr="00995D55">
        <w:t>Table</w:t>
      </w:r>
      <w:r w:rsidR="00995D55" w:rsidRPr="00995D55">
        <w:t xml:space="preserve"> </w:t>
      </w:r>
      <w:fldSimple w:instr=" SEQ Table \* ARABIC \s 1 ">
        <w:r w:rsidRPr="00995D55">
          <w:rPr>
            <w:noProof/>
          </w:rPr>
          <w:t>3</w:t>
        </w:r>
      </w:fldSimple>
      <w:bookmarkEnd w:id="11"/>
      <w:r w:rsidRPr="00995D55">
        <w:t>:  Employees Analysis</w:t>
      </w:r>
      <w:bookmarkEnd w:id="12"/>
    </w:p>
    <w:tbl>
      <w:tblPr>
        <w:tblpPr w:leftFromText="180" w:rightFromText="180" w:vertAnchor="text" w:horzAnchor="page" w:tblpX="2002" w:tblpY="185"/>
        <w:tblW w:w="8075" w:type="dxa"/>
        <w:tblLook w:val="04A0" w:firstRow="1" w:lastRow="0" w:firstColumn="1" w:lastColumn="0" w:noHBand="0" w:noVBand="1"/>
      </w:tblPr>
      <w:tblGrid>
        <w:gridCol w:w="1980"/>
        <w:gridCol w:w="1843"/>
        <w:gridCol w:w="1134"/>
        <w:gridCol w:w="1134"/>
        <w:gridCol w:w="992"/>
        <w:gridCol w:w="992"/>
      </w:tblGrid>
      <w:tr w:rsidR="003A794F" w:rsidRPr="00212DD7" w14:paraId="6130D35F" w14:textId="77777777" w:rsidTr="003A794F">
        <w:trPr>
          <w:trHeight w:val="682"/>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20BA92AC" w14:textId="77777777" w:rsidR="003A794F" w:rsidRPr="000E28F8" w:rsidRDefault="003A794F" w:rsidP="003A794F">
            <w:pPr>
              <w:jc w:val="center"/>
              <w:rPr>
                <w:b/>
                <w:bCs/>
                <w:color w:val="000000"/>
                <w:sz w:val="18"/>
                <w:szCs w:val="18"/>
              </w:rPr>
            </w:pPr>
            <w:r w:rsidRPr="000E28F8">
              <w:rPr>
                <w:b/>
                <w:bCs/>
                <w:color w:val="000000"/>
                <w:sz w:val="18"/>
                <w:szCs w:val="18"/>
              </w:rPr>
              <w:t>EMPLOYEES</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0998443" w14:textId="77777777" w:rsidR="003A794F" w:rsidRPr="000E28F8" w:rsidRDefault="003A794F" w:rsidP="003A794F">
            <w:pPr>
              <w:jc w:val="center"/>
              <w:rPr>
                <w:b/>
                <w:bCs/>
                <w:color w:val="000000"/>
                <w:sz w:val="18"/>
                <w:szCs w:val="18"/>
              </w:rPr>
            </w:pPr>
            <w:r w:rsidRPr="000E28F8">
              <w:rPr>
                <w:b/>
                <w:bCs/>
                <w:color w:val="000000"/>
                <w:sz w:val="18"/>
                <w:szCs w:val="18"/>
              </w:rPr>
              <w:t>Total</w:t>
            </w:r>
            <w:r>
              <w:rPr>
                <w:b/>
                <w:bCs/>
                <w:color w:val="000000"/>
                <w:sz w:val="18"/>
                <w:szCs w:val="18"/>
              </w:rPr>
              <w:t xml:space="preserve"> Indiv &amp; Instances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73C586" w14:textId="77777777" w:rsidR="003A794F" w:rsidRPr="000E28F8" w:rsidRDefault="003A794F" w:rsidP="003A794F">
            <w:pPr>
              <w:jc w:val="center"/>
              <w:rPr>
                <w:b/>
                <w:bCs/>
                <w:color w:val="000000"/>
                <w:sz w:val="18"/>
                <w:szCs w:val="18"/>
              </w:rPr>
            </w:pPr>
            <w:r w:rsidRPr="000E28F8">
              <w:rPr>
                <w:b/>
                <w:bCs/>
                <w:color w:val="000000"/>
                <w:sz w:val="18"/>
                <w:szCs w:val="18"/>
              </w:rPr>
              <w:t xml:space="preserve">Cert </w:t>
            </w:r>
            <w:r>
              <w:rPr>
                <w:b/>
                <w:bCs/>
                <w:color w:val="000000"/>
                <w:sz w:val="18"/>
                <w:szCs w:val="18"/>
              </w:rPr>
              <w:t>b</w:t>
            </w:r>
            <w:r w:rsidRPr="000E28F8">
              <w:rPr>
                <w:b/>
                <w:bCs/>
                <w:color w:val="000000"/>
                <w:sz w:val="18"/>
                <w:szCs w:val="18"/>
              </w:rPr>
              <w:t>efore 2003</w:t>
            </w:r>
          </w:p>
        </w:tc>
        <w:tc>
          <w:tcPr>
            <w:tcW w:w="1134" w:type="dxa"/>
            <w:tcBorders>
              <w:top w:val="single" w:sz="4" w:space="0" w:color="auto"/>
              <w:left w:val="single" w:sz="4" w:space="0" w:color="auto"/>
              <w:bottom w:val="single" w:sz="4" w:space="0" w:color="auto"/>
              <w:right w:val="single" w:sz="4" w:space="0" w:color="auto"/>
            </w:tcBorders>
          </w:tcPr>
          <w:p w14:paraId="506D6E96" w14:textId="77777777" w:rsidR="003A794F" w:rsidRPr="000E28F8" w:rsidRDefault="003A794F" w:rsidP="003A794F">
            <w:pPr>
              <w:jc w:val="center"/>
              <w:rPr>
                <w:b/>
                <w:bCs/>
                <w:color w:val="000000"/>
                <w:sz w:val="18"/>
                <w:szCs w:val="18"/>
              </w:rPr>
            </w:pPr>
            <w:r w:rsidRPr="000E28F8">
              <w:rPr>
                <w:b/>
                <w:bCs/>
                <w:color w:val="000000"/>
                <w:sz w:val="18"/>
                <w:szCs w:val="18"/>
              </w:rPr>
              <w:t xml:space="preserve">Lic </w:t>
            </w:r>
            <w:r>
              <w:rPr>
                <w:b/>
                <w:bCs/>
                <w:color w:val="000000"/>
                <w:sz w:val="18"/>
                <w:szCs w:val="18"/>
              </w:rPr>
              <w:t>b</w:t>
            </w:r>
            <w:r w:rsidRPr="000E28F8">
              <w:rPr>
                <w:b/>
                <w:bCs/>
                <w:color w:val="000000"/>
                <w:sz w:val="18"/>
                <w:szCs w:val="18"/>
              </w:rPr>
              <w:t>efore 2003</w:t>
            </w:r>
          </w:p>
        </w:tc>
        <w:tc>
          <w:tcPr>
            <w:tcW w:w="992" w:type="dxa"/>
            <w:tcBorders>
              <w:top w:val="single" w:sz="4" w:space="0" w:color="auto"/>
              <w:left w:val="single" w:sz="4" w:space="0" w:color="auto"/>
              <w:bottom w:val="single" w:sz="4" w:space="0" w:color="auto"/>
              <w:right w:val="single" w:sz="4" w:space="0" w:color="auto"/>
            </w:tcBorders>
          </w:tcPr>
          <w:p w14:paraId="11384038" w14:textId="77777777" w:rsidR="003A794F" w:rsidRPr="000E28F8" w:rsidRDefault="003A794F" w:rsidP="003A794F">
            <w:pPr>
              <w:jc w:val="center"/>
              <w:rPr>
                <w:b/>
                <w:bCs/>
                <w:color w:val="000000"/>
                <w:sz w:val="18"/>
                <w:szCs w:val="18"/>
              </w:rPr>
            </w:pPr>
            <w:r w:rsidRPr="000E28F8">
              <w:rPr>
                <w:b/>
                <w:bCs/>
                <w:color w:val="000000"/>
                <w:sz w:val="18"/>
                <w:szCs w:val="18"/>
              </w:rPr>
              <w:t xml:space="preserve">Cert </w:t>
            </w:r>
            <w:r>
              <w:rPr>
                <w:b/>
                <w:bCs/>
                <w:color w:val="000000"/>
                <w:sz w:val="18"/>
                <w:szCs w:val="18"/>
              </w:rPr>
              <w:t>from</w:t>
            </w:r>
            <w:r w:rsidRPr="000E28F8">
              <w:rPr>
                <w:b/>
                <w:bCs/>
                <w:color w:val="000000"/>
                <w:sz w:val="18"/>
                <w:szCs w:val="18"/>
              </w:rPr>
              <w:t xml:space="preserve"> 2003</w:t>
            </w:r>
          </w:p>
        </w:tc>
        <w:tc>
          <w:tcPr>
            <w:tcW w:w="992" w:type="dxa"/>
            <w:tcBorders>
              <w:top w:val="single" w:sz="4" w:space="0" w:color="auto"/>
              <w:left w:val="single" w:sz="4" w:space="0" w:color="auto"/>
              <w:bottom w:val="single" w:sz="4" w:space="0" w:color="auto"/>
              <w:right w:val="single" w:sz="4" w:space="0" w:color="auto"/>
            </w:tcBorders>
          </w:tcPr>
          <w:p w14:paraId="36046203" w14:textId="77777777" w:rsidR="003A794F" w:rsidRPr="000E28F8" w:rsidRDefault="003A794F" w:rsidP="003A794F">
            <w:pPr>
              <w:jc w:val="center"/>
              <w:rPr>
                <w:b/>
                <w:bCs/>
                <w:color w:val="000000"/>
                <w:sz w:val="18"/>
                <w:szCs w:val="18"/>
              </w:rPr>
            </w:pPr>
            <w:r w:rsidRPr="000E28F8">
              <w:rPr>
                <w:b/>
                <w:bCs/>
                <w:color w:val="000000"/>
                <w:sz w:val="18"/>
                <w:szCs w:val="18"/>
              </w:rPr>
              <w:t xml:space="preserve">Lic </w:t>
            </w:r>
            <w:r>
              <w:rPr>
                <w:b/>
                <w:bCs/>
                <w:color w:val="000000"/>
                <w:sz w:val="18"/>
                <w:szCs w:val="18"/>
              </w:rPr>
              <w:t xml:space="preserve">from </w:t>
            </w:r>
            <w:r w:rsidRPr="000E28F8">
              <w:rPr>
                <w:b/>
                <w:bCs/>
                <w:color w:val="000000"/>
                <w:sz w:val="18"/>
                <w:szCs w:val="18"/>
              </w:rPr>
              <w:t>2003</w:t>
            </w:r>
          </w:p>
        </w:tc>
      </w:tr>
      <w:tr w:rsidR="003A794F" w:rsidRPr="00212DD7" w14:paraId="783B43FF" w14:textId="77777777" w:rsidTr="003A79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CBE3" w14:textId="77777777" w:rsidR="003A794F" w:rsidRPr="00212DD7" w:rsidRDefault="003A794F" w:rsidP="003A794F">
            <w:pPr>
              <w:rPr>
                <w:color w:val="000000"/>
                <w:sz w:val="20"/>
              </w:rPr>
            </w:pPr>
            <w:r w:rsidRPr="00212DD7">
              <w:rPr>
                <w:color w:val="000000"/>
                <w:sz w:val="20"/>
              </w:rPr>
              <w:t>Licenced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9E47" w14:textId="77777777" w:rsidR="003A794F" w:rsidRPr="00212DD7" w:rsidRDefault="003A794F" w:rsidP="003A794F">
            <w:pPr>
              <w:jc w:val="center"/>
              <w:rPr>
                <w:color w:val="000000"/>
                <w:sz w:val="20"/>
              </w:rPr>
            </w:pPr>
            <w:r w:rsidRPr="00DF6046">
              <w:rPr>
                <w:color w:val="00000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7E954" w14:textId="77777777" w:rsidR="003A794F" w:rsidRPr="00212DD7" w:rsidRDefault="003A794F" w:rsidP="003A794F">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EF05B3" w14:textId="77777777" w:rsidR="003A794F" w:rsidRPr="00212DD7" w:rsidRDefault="003A794F" w:rsidP="003A794F">
            <w:pPr>
              <w:jc w:val="center"/>
              <w:rPr>
                <w:color w:val="000000"/>
                <w:sz w:val="20"/>
              </w:rPr>
            </w:pPr>
            <w:r w:rsidRPr="00212DD7">
              <w:rPr>
                <w:color w:val="000000"/>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54BA50C2" w14:textId="77777777" w:rsidR="003A794F" w:rsidRPr="00212DD7" w:rsidRDefault="003A794F" w:rsidP="003A794F">
            <w:pPr>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AB90D2E" w14:textId="77777777" w:rsidR="003A794F" w:rsidRPr="00212DD7" w:rsidRDefault="003A794F" w:rsidP="003A794F">
            <w:pPr>
              <w:jc w:val="center"/>
              <w:rPr>
                <w:color w:val="000000"/>
                <w:sz w:val="20"/>
              </w:rPr>
            </w:pPr>
          </w:p>
        </w:tc>
      </w:tr>
      <w:tr w:rsidR="003A794F" w:rsidRPr="00212DD7" w14:paraId="3127B395" w14:textId="77777777" w:rsidTr="003A79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C86E0" w14:textId="77777777" w:rsidR="003A794F" w:rsidRPr="00212DD7" w:rsidRDefault="003A794F" w:rsidP="003A794F">
            <w:pPr>
              <w:rPr>
                <w:color w:val="000000"/>
                <w:sz w:val="20"/>
              </w:rPr>
            </w:pPr>
            <w:r w:rsidRPr="00212DD7">
              <w:rPr>
                <w:color w:val="000000"/>
                <w:sz w:val="20"/>
              </w:rPr>
              <w:t>Certificate of Registration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EEF5" w14:textId="77777777" w:rsidR="003A794F" w:rsidRPr="00212DD7" w:rsidRDefault="003A794F" w:rsidP="003A794F">
            <w:pPr>
              <w:jc w:val="center"/>
              <w:rPr>
                <w:color w:val="000000"/>
                <w:sz w:val="20"/>
              </w:rPr>
            </w:pPr>
            <w:r w:rsidRPr="00DF6046">
              <w:rPr>
                <w:color w:val="000000"/>
                <w:sz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1ED97" w14:textId="77777777" w:rsidR="003A794F" w:rsidRPr="00212DD7" w:rsidRDefault="003A794F" w:rsidP="003A794F">
            <w:pPr>
              <w:jc w:val="center"/>
              <w:rPr>
                <w:color w:val="000000"/>
                <w:sz w:val="20"/>
              </w:rPr>
            </w:pPr>
            <w:r w:rsidRPr="00212DD7">
              <w:rPr>
                <w:color w:val="000000"/>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3264A9B9" w14:textId="77777777" w:rsidR="003A794F" w:rsidRPr="00212DD7" w:rsidRDefault="003A794F" w:rsidP="003A794F">
            <w:pPr>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ACFFF63" w14:textId="77777777" w:rsidR="003A794F" w:rsidRPr="00212DD7" w:rsidRDefault="003A794F" w:rsidP="003A794F">
            <w:pPr>
              <w:jc w:val="center"/>
              <w:rPr>
                <w:color w:val="000000"/>
                <w:sz w:val="20"/>
              </w:rPr>
            </w:pPr>
            <w:r w:rsidRPr="00212DD7">
              <w:rPr>
                <w:color w:val="000000"/>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7885695B" w14:textId="77777777" w:rsidR="003A794F" w:rsidRPr="00212DD7" w:rsidRDefault="003A794F" w:rsidP="003A794F">
            <w:pPr>
              <w:jc w:val="center"/>
              <w:rPr>
                <w:color w:val="000000"/>
                <w:sz w:val="20"/>
              </w:rPr>
            </w:pPr>
          </w:p>
        </w:tc>
      </w:tr>
      <w:tr w:rsidR="003A794F" w:rsidRPr="00212DD7" w14:paraId="13AE9948" w14:textId="77777777" w:rsidTr="003A79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27C7" w14:textId="77777777" w:rsidR="003A794F" w:rsidRPr="00212DD7" w:rsidRDefault="003A794F" w:rsidP="003A794F">
            <w:pPr>
              <w:rPr>
                <w:color w:val="000000"/>
                <w:sz w:val="20"/>
              </w:rPr>
            </w:pPr>
            <w:r w:rsidRPr="00212DD7">
              <w:rPr>
                <w:color w:val="000000"/>
                <w:sz w:val="20"/>
              </w:rPr>
              <w:t>No Licence or Certificate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F687" w14:textId="77777777" w:rsidR="003A794F" w:rsidRPr="00212DD7" w:rsidRDefault="003A794F" w:rsidP="003A794F">
            <w:pPr>
              <w:jc w:val="center"/>
              <w:rPr>
                <w:color w:val="000000"/>
                <w:sz w:val="20"/>
              </w:rPr>
            </w:pPr>
            <w:r w:rsidRPr="00212DD7">
              <w:rPr>
                <w:color w:val="00000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16ED5" w14:textId="77777777" w:rsidR="003A794F" w:rsidRPr="00212DD7" w:rsidRDefault="003A794F" w:rsidP="003A794F">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25E0C3" w14:textId="77777777" w:rsidR="003A794F" w:rsidRPr="00212DD7" w:rsidRDefault="003A794F" w:rsidP="003A794F">
            <w:pPr>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2C443A" w14:textId="77777777" w:rsidR="003A794F" w:rsidRPr="00212DD7" w:rsidRDefault="003A794F" w:rsidP="003A794F">
            <w:pPr>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0421F10" w14:textId="77777777" w:rsidR="003A794F" w:rsidRPr="00212DD7" w:rsidRDefault="003A794F" w:rsidP="003A794F">
            <w:pPr>
              <w:jc w:val="center"/>
              <w:rPr>
                <w:color w:val="000000"/>
                <w:sz w:val="20"/>
              </w:rPr>
            </w:pPr>
          </w:p>
        </w:tc>
      </w:tr>
      <w:tr w:rsidR="003A794F" w:rsidRPr="00212DD7" w14:paraId="656F772D" w14:textId="77777777" w:rsidTr="003A79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B2B49" w14:textId="77777777" w:rsidR="003A794F" w:rsidRPr="00212DD7" w:rsidRDefault="003A794F" w:rsidP="003A794F">
            <w:pPr>
              <w:rPr>
                <w:color w:val="000000"/>
                <w:sz w:val="20"/>
              </w:rPr>
            </w:pPr>
            <w:r w:rsidRPr="00212DD7">
              <w:rPr>
                <w:color w:val="000000"/>
                <w:sz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857F9" w14:textId="77777777" w:rsidR="003A794F" w:rsidRPr="00212DD7" w:rsidRDefault="003A794F" w:rsidP="003A794F">
            <w:pPr>
              <w:jc w:val="center"/>
              <w:rPr>
                <w:b/>
                <w:bCs/>
                <w:color w:val="000000"/>
                <w:sz w:val="20"/>
              </w:rPr>
            </w:pPr>
            <w:r w:rsidRPr="00212DD7">
              <w:rPr>
                <w:b/>
                <w:bCs/>
                <w:color w:val="000000"/>
                <w:sz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3DE18" w14:textId="77777777" w:rsidR="003A794F" w:rsidRPr="00212DD7" w:rsidRDefault="003A794F" w:rsidP="003A794F">
            <w:pPr>
              <w:jc w:val="center"/>
              <w:rPr>
                <w:b/>
                <w:bCs/>
                <w:color w:val="000000"/>
                <w:sz w:val="20"/>
              </w:rPr>
            </w:pPr>
            <w:r w:rsidRPr="00212DD7">
              <w:rPr>
                <w:b/>
                <w:bCs/>
                <w:color w:val="000000"/>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0A7C3BA1" w14:textId="77777777" w:rsidR="003A794F" w:rsidRPr="00212DD7" w:rsidRDefault="003A794F" w:rsidP="003A794F">
            <w:pPr>
              <w:jc w:val="center"/>
              <w:rPr>
                <w:b/>
                <w:bCs/>
                <w:color w:val="000000"/>
                <w:sz w:val="20"/>
              </w:rPr>
            </w:pPr>
            <w:r w:rsidRPr="00212DD7">
              <w:rPr>
                <w:b/>
                <w:bCs/>
                <w:color w:val="000000"/>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5B083B2C" w14:textId="77777777" w:rsidR="003A794F" w:rsidRPr="00212DD7" w:rsidRDefault="003A794F" w:rsidP="003A794F">
            <w:pPr>
              <w:jc w:val="center"/>
              <w:rPr>
                <w:b/>
                <w:bCs/>
                <w:color w:val="000000"/>
                <w:sz w:val="20"/>
              </w:rPr>
            </w:pPr>
            <w:r w:rsidRPr="00212DD7">
              <w:rPr>
                <w:b/>
                <w:bCs/>
                <w:color w:val="000000"/>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65D2DCDA" w14:textId="77777777" w:rsidR="003A794F" w:rsidRPr="00212DD7" w:rsidRDefault="003A794F" w:rsidP="003A794F">
            <w:pPr>
              <w:jc w:val="center"/>
              <w:rPr>
                <w:b/>
                <w:bCs/>
                <w:color w:val="000000"/>
                <w:sz w:val="20"/>
              </w:rPr>
            </w:pPr>
            <w:r w:rsidRPr="00212DD7">
              <w:rPr>
                <w:b/>
                <w:bCs/>
                <w:color w:val="000000"/>
                <w:sz w:val="20"/>
              </w:rPr>
              <w:t>0</w:t>
            </w:r>
          </w:p>
        </w:tc>
      </w:tr>
    </w:tbl>
    <w:p w14:paraId="1212D8DB" w14:textId="77777777" w:rsidR="00CD24E9" w:rsidRDefault="00CD24E9" w:rsidP="003A794F">
      <w:pPr>
        <w:pStyle w:val="PRRESIncmainbody"/>
        <w:rPr>
          <w:highlight w:val="yellow"/>
        </w:rPr>
      </w:pPr>
    </w:p>
    <w:p w14:paraId="41570B7F" w14:textId="6BF5AF7E" w:rsidR="00CD24E9" w:rsidRDefault="00CD24E9" w:rsidP="00CD24E9">
      <w:pPr>
        <w:pStyle w:val="PhDNormal"/>
        <w:ind w:left="927" w:firstLine="0"/>
        <w:jc w:val="left"/>
        <w:rPr>
          <w:highlight w:val="yellow"/>
        </w:rPr>
      </w:pPr>
      <w:r w:rsidRPr="005A4FB8">
        <w:t>Source: Author</w:t>
      </w:r>
    </w:p>
    <w:p w14:paraId="4360E8C5" w14:textId="77777777" w:rsidR="00CD24E9" w:rsidRDefault="00CD24E9" w:rsidP="00CD24E9">
      <w:pPr>
        <w:pStyle w:val="PRRESIncmainbody"/>
      </w:pPr>
      <w:r w:rsidRPr="00C64725">
        <w:t>Due to the time</w:t>
      </w:r>
      <w:r>
        <w:t xml:space="preserve"> lag between the dates of the fraud occurring and the actual prosecution and cancelling of the licence, it was not possible to plot with accuracy the total instances occurring within each reportable financial year. Additionally changes to the prosecution process throughout the 20 year </w:t>
      </w:r>
      <w:r w:rsidRPr="00DF6046">
        <w:t>analysis</w:t>
      </w:r>
      <w:r>
        <w:t xml:space="preserve"> varied.  For instance, </w:t>
      </w:r>
      <w:r w:rsidRPr="00DF6046">
        <w:t xml:space="preserve">during the early stages of the suspected fraud investigation </w:t>
      </w:r>
      <w:r>
        <w:t xml:space="preserve">and </w:t>
      </w:r>
      <w:r w:rsidRPr="00DF6046">
        <w:t xml:space="preserve">leading up to the cancellation of the licence or certificate of registration </w:t>
      </w:r>
      <w:r>
        <w:t xml:space="preserve">the process </w:t>
      </w:r>
      <w:r w:rsidRPr="00DF6046">
        <w:t>varied</w:t>
      </w:r>
      <w:r>
        <w:t xml:space="preserve">; and in </w:t>
      </w:r>
      <w:r w:rsidRPr="00DF6046">
        <w:t>later years legislation was amended to provide for a temporary cancellation</w:t>
      </w:r>
      <w:r>
        <w:t xml:space="preserve"> of the licence/certificate until the investigation and prosecution was finalised. In some instances a receiver was also appointed by Fair Trading to oversee the running of the agency and sell off the assets, such as the goodwill of the property management rent roll, in an attempt to recover as much of the misappropriated money as possible.</w:t>
      </w:r>
    </w:p>
    <w:p w14:paraId="6DF6F99D" w14:textId="77777777" w:rsidR="00AD457D" w:rsidRDefault="00AD457D" w:rsidP="00CD24E9">
      <w:pPr>
        <w:pStyle w:val="PRRESIncmainbody"/>
      </w:pPr>
    </w:p>
    <w:p w14:paraId="77CE9B0A" w14:textId="43D59FFE" w:rsidR="00CD24E9" w:rsidRDefault="00CD24E9" w:rsidP="00CD24E9">
      <w:pPr>
        <w:pStyle w:val="PRRESIncmainbody"/>
      </w:pPr>
      <w:r>
        <w:t xml:space="preserve">Therefore the data is presented as pre 2003 and from 2003 holistically. Below in </w:t>
      </w:r>
      <w:r w:rsidR="00995D55">
        <w:t xml:space="preserve">Table 4, </w:t>
      </w:r>
      <w:r>
        <w:t xml:space="preserve"> is the analysis for the 140 i</w:t>
      </w:r>
      <w:r w:rsidRPr="00CE3949">
        <w:rPr>
          <w:i/>
        </w:rPr>
        <w:t>nstances</w:t>
      </w:r>
      <w:r>
        <w:t xml:space="preserve">, where 33 </w:t>
      </w:r>
      <w:r w:rsidRPr="00A0553D">
        <w:rPr>
          <w:i/>
        </w:rPr>
        <w:t>instances</w:t>
      </w:r>
      <w:r>
        <w:t xml:space="preserve"> occurred before 2003, and 108 </w:t>
      </w:r>
      <w:r w:rsidRPr="00A0553D">
        <w:rPr>
          <w:i/>
        </w:rPr>
        <w:t>instances</w:t>
      </w:r>
      <w:r>
        <w:t xml:space="preserve"> occurred between 2003 and 2017.  Within the latter category 45.54% individuals were licenced prior to 2003 and 54.46% individuals were licenced from 2003. This data indicates a strong link with the discussion in the literature review relating to the concerns on the diminishing aspect of educational qualifications coupled with the removal of industry experience.  </w:t>
      </w:r>
    </w:p>
    <w:p w14:paraId="4C1EC7CB" w14:textId="45E6FF74" w:rsidR="00CD24E9" w:rsidRDefault="00CD24E9" w:rsidP="003A794F">
      <w:pPr>
        <w:pStyle w:val="Caption"/>
        <w:spacing w:before="0" w:after="0"/>
        <w:contextualSpacing/>
      </w:pPr>
      <w:r w:rsidRPr="00995D55">
        <w:t xml:space="preserve">Table </w:t>
      </w:r>
      <w:fldSimple w:instr=" SEQ Table \* ARABIC \s 1 ">
        <w:r w:rsidRPr="00995D55">
          <w:rPr>
            <w:noProof/>
          </w:rPr>
          <w:t>4</w:t>
        </w:r>
      </w:fldSimple>
      <w:r w:rsidRPr="00995D55">
        <w:t>:  Pre and Post 2003 Licence Analysis</w:t>
      </w:r>
    </w:p>
    <w:p w14:paraId="53E385A5" w14:textId="77777777" w:rsidR="00CD24E9" w:rsidRDefault="00CD24E9" w:rsidP="003A794F">
      <w:pPr>
        <w:pStyle w:val="Caption"/>
        <w:spacing w:before="0" w:after="0"/>
        <w:contextualSpacing/>
      </w:pPr>
    </w:p>
    <w:tbl>
      <w:tblPr>
        <w:tblW w:w="7051" w:type="dxa"/>
        <w:jc w:val="center"/>
        <w:tblLook w:val="04A0" w:firstRow="1" w:lastRow="0" w:firstColumn="1" w:lastColumn="0" w:noHBand="0" w:noVBand="1"/>
      </w:tblPr>
      <w:tblGrid>
        <w:gridCol w:w="1426"/>
        <w:gridCol w:w="929"/>
        <w:gridCol w:w="1026"/>
        <w:gridCol w:w="676"/>
        <w:gridCol w:w="801"/>
        <w:gridCol w:w="576"/>
        <w:gridCol w:w="801"/>
        <w:gridCol w:w="816"/>
      </w:tblGrid>
      <w:tr w:rsidR="00CD24E9" w:rsidRPr="00212DD7" w14:paraId="5BAC6095" w14:textId="77777777" w:rsidTr="00851F66">
        <w:trPr>
          <w:trHeight w:val="810"/>
          <w:jc w:val="center"/>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14:paraId="5A8AEF0B" w14:textId="77777777" w:rsidR="00CD24E9" w:rsidRPr="00212DD7" w:rsidRDefault="00CD24E9" w:rsidP="00851F66">
            <w:pPr>
              <w:jc w:val="center"/>
              <w:rPr>
                <w:b/>
                <w:bCs/>
                <w:color w:val="000000"/>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hideMark/>
          </w:tcPr>
          <w:p w14:paraId="1F016C9D" w14:textId="77777777" w:rsidR="00CD24E9" w:rsidRPr="00805408" w:rsidRDefault="00CD24E9" w:rsidP="00851F66">
            <w:pPr>
              <w:jc w:val="center"/>
              <w:rPr>
                <w:bCs/>
                <w:color w:val="000000"/>
                <w:sz w:val="18"/>
                <w:szCs w:val="18"/>
              </w:rPr>
            </w:pPr>
            <w:r w:rsidRPr="00805408">
              <w:rPr>
                <w:bCs/>
                <w:color w:val="000000"/>
                <w:sz w:val="18"/>
                <w:szCs w:val="18"/>
              </w:rPr>
              <w:t xml:space="preserve">Instances </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14:paraId="14B080EE" w14:textId="77777777" w:rsidR="00CD24E9" w:rsidRPr="00805408" w:rsidRDefault="00CD24E9" w:rsidP="00851F66">
            <w:pPr>
              <w:jc w:val="center"/>
              <w:rPr>
                <w:bCs/>
                <w:color w:val="000000"/>
                <w:sz w:val="18"/>
                <w:szCs w:val="18"/>
              </w:rPr>
            </w:pPr>
            <w:r w:rsidRPr="00805408">
              <w:rPr>
                <w:bCs/>
                <w:color w:val="000000"/>
                <w:sz w:val="18"/>
                <w:szCs w:val="18"/>
              </w:rPr>
              <w:t>Total Individuals</w:t>
            </w:r>
          </w:p>
        </w:tc>
        <w:tc>
          <w:tcPr>
            <w:tcW w:w="676" w:type="dxa"/>
            <w:tcBorders>
              <w:top w:val="single" w:sz="4" w:space="0" w:color="auto"/>
              <w:left w:val="single" w:sz="4" w:space="0" w:color="auto"/>
              <w:bottom w:val="single" w:sz="4" w:space="0" w:color="auto"/>
              <w:right w:val="single" w:sz="4" w:space="0" w:color="auto"/>
            </w:tcBorders>
          </w:tcPr>
          <w:p w14:paraId="524EDF49" w14:textId="77777777" w:rsidR="00CD24E9" w:rsidRPr="00805408" w:rsidRDefault="00CD24E9" w:rsidP="00851F66">
            <w:pPr>
              <w:jc w:val="center"/>
              <w:rPr>
                <w:bCs/>
                <w:color w:val="000000"/>
                <w:sz w:val="18"/>
                <w:szCs w:val="18"/>
              </w:rPr>
            </w:pPr>
            <w:r>
              <w:rPr>
                <w:bCs/>
                <w:color w:val="000000"/>
                <w:sz w:val="18"/>
                <w:szCs w:val="18"/>
              </w:rPr>
              <w:t>Cert before 2003</w:t>
            </w:r>
          </w:p>
        </w:tc>
        <w:tc>
          <w:tcPr>
            <w:tcW w:w="801" w:type="dxa"/>
            <w:tcBorders>
              <w:top w:val="single" w:sz="4" w:space="0" w:color="auto"/>
              <w:left w:val="single" w:sz="4" w:space="0" w:color="auto"/>
              <w:bottom w:val="single" w:sz="4" w:space="0" w:color="auto"/>
              <w:right w:val="single" w:sz="4" w:space="0" w:color="auto"/>
            </w:tcBorders>
          </w:tcPr>
          <w:p w14:paraId="36D8CF88" w14:textId="77777777" w:rsidR="00CD24E9" w:rsidRPr="00805408" w:rsidRDefault="00CD24E9" w:rsidP="00851F66">
            <w:pPr>
              <w:jc w:val="center"/>
              <w:rPr>
                <w:bCs/>
                <w:color w:val="000000"/>
                <w:sz w:val="18"/>
                <w:szCs w:val="18"/>
              </w:rPr>
            </w:pPr>
            <w:r w:rsidRPr="00805408">
              <w:rPr>
                <w:bCs/>
                <w:color w:val="000000"/>
                <w:sz w:val="18"/>
                <w:szCs w:val="18"/>
              </w:rPr>
              <w:t xml:space="preserve">Lic </w:t>
            </w:r>
            <w:r>
              <w:rPr>
                <w:bCs/>
                <w:color w:val="000000"/>
                <w:sz w:val="18"/>
                <w:szCs w:val="18"/>
              </w:rPr>
              <w:t>b</w:t>
            </w:r>
            <w:r w:rsidRPr="00805408">
              <w:rPr>
                <w:bCs/>
                <w:color w:val="000000"/>
                <w:sz w:val="18"/>
                <w:szCs w:val="18"/>
              </w:rPr>
              <w:t xml:space="preserve">efore 2003 </w:t>
            </w:r>
          </w:p>
        </w:tc>
        <w:tc>
          <w:tcPr>
            <w:tcW w:w="576" w:type="dxa"/>
            <w:tcBorders>
              <w:top w:val="single" w:sz="4" w:space="0" w:color="auto"/>
              <w:left w:val="single" w:sz="4" w:space="0" w:color="auto"/>
              <w:bottom w:val="single" w:sz="4" w:space="0" w:color="auto"/>
              <w:right w:val="single" w:sz="4" w:space="0" w:color="auto"/>
            </w:tcBorders>
          </w:tcPr>
          <w:p w14:paraId="369E7058" w14:textId="77777777" w:rsidR="00CD24E9" w:rsidRPr="00805408" w:rsidRDefault="00CD24E9" w:rsidP="00851F66">
            <w:pPr>
              <w:jc w:val="center"/>
              <w:rPr>
                <w:bCs/>
                <w:color w:val="000000"/>
                <w:sz w:val="18"/>
                <w:szCs w:val="18"/>
              </w:rPr>
            </w:pPr>
            <w:r>
              <w:rPr>
                <w:bCs/>
                <w:color w:val="000000"/>
                <w:sz w:val="18"/>
                <w:szCs w:val="18"/>
              </w:rPr>
              <w:t>Cert from 2003</w:t>
            </w:r>
          </w:p>
        </w:tc>
        <w:tc>
          <w:tcPr>
            <w:tcW w:w="801" w:type="dxa"/>
            <w:tcBorders>
              <w:top w:val="single" w:sz="4" w:space="0" w:color="auto"/>
              <w:left w:val="single" w:sz="4" w:space="0" w:color="auto"/>
              <w:bottom w:val="single" w:sz="4" w:space="0" w:color="auto"/>
              <w:right w:val="single" w:sz="4" w:space="0" w:color="auto"/>
            </w:tcBorders>
          </w:tcPr>
          <w:p w14:paraId="7748B4EF" w14:textId="77777777" w:rsidR="00CD24E9" w:rsidRPr="00805408" w:rsidRDefault="00CD24E9" w:rsidP="00851F66">
            <w:pPr>
              <w:jc w:val="center"/>
              <w:rPr>
                <w:bCs/>
                <w:color w:val="000000"/>
                <w:sz w:val="18"/>
                <w:szCs w:val="18"/>
              </w:rPr>
            </w:pPr>
            <w:r>
              <w:rPr>
                <w:bCs/>
                <w:color w:val="000000"/>
                <w:sz w:val="18"/>
                <w:szCs w:val="18"/>
              </w:rPr>
              <w:t>Lic from 2003</w:t>
            </w:r>
          </w:p>
        </w:tc>
        <w:tc>
          <w:tcPr>
            <w:tcW w:w="816" w:type="dxa"/>
            <w:tcBorders>
              <w:top w:val="single" w:sz="4" w:space="0" w:color="auto"/>
              <w:left w:val="single" w:sz="4" w:space="0" w:color="auto"/>
              <w:bottom w:val="single" w:sz="4" w:space="0" w:color="auto"/>
              <w:right w:val="single" w:sz="4" w:space="0" w:color="auto"/>
            </w:tcBorders>
          </w:tcPr>
          <w:p w14:paraId="3B523447" w14:textId="77777777" w:rsidR="00CD24E9" w:rsidRDefault="00CD24E9" w:rsidP="00851F66">
            <w:pPr>
              <w:jc w:val="center"/>
              <w:rPr>
                <w:bCs/>
                <w:color w:val="000000"/>
                <w:sz w:val="18"/>
                <w:szCs w:val="18"/>
              </w:rPr>
            </w:pPr>
            <w:r>
              <w:rPr>
                <w:bCs/>
                <w:color w:val="000000"/>
                <w:sz w:val="18"/>
                <w:szCs w:val="18"/>
              </w:rPr>
              <w:t>No Lic/Cert</w:t>
            </w:r>
          </w:p>
        </w:tc>
      </w:tr>
      <w:tr w:rsidR="00CD24E9" w:rsidRPr="00212DD7" w14:paraId="4DC7C247" w14:textId="77777777" w:rsidTr="00851F66">
        <w:trPr>
          <w:trHeight w:val="300"/>
          <w:jc w:val="center"/>
        </w:trPr>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21755" w14:textId="77777777" w:rsidR="00CD24E9" w:rsidRPr="00E718C5" w:rsidRDefault="00CD24E9" w:rsidP="00851F66">
            <w:pPr>
              <w:rPr>
                <w:color w:val="000000"/>
                <w:sz w:val="18"/>
                <w:szCs w:val="18"/>
              </w:rPr>
            </w:pPr>
            <w:r>
              <w:rPr>
                <w:color w:val="000000"/>
                <w:sz w:val="18"/>
                <w:szCs w:val="18"/>
              </w:rPr>
              <w:t>1997 to 2002</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6049A" w14:textId="77777777" w:rsidR="00CD24E9" w:rsidRPr="00E718C5" w:rsidRDefault="00CD24E9" w:rsidP="00851F66">
            <w:pPr>
              <w:jc w:val="center"/>
              <w:rPr>
                <w:color w:val="000000"/>
                <w:sz w:val="18"/>
                <w:szCs w:val="18"/>
              </w:rPr>
            </w:pPr>
            <w:r>
              <w:rPr>
                <w:color w:val="000000"/>
                <w:sz w:val="18"/>
                <w:szCs w:val="18"/>
              </w:rPr>
              <w:t>32</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B5100" w14:textId="77777777" w:rsidR="00CD24E9" w:rsidRPr="00E718C5" w:rsidRDefault="00CD24E9" w:rsidP="00851F66">
            <w:pPr>
              <w:jc w:val="center"/>
              <w:rPr>
                <w:color w:val="000000"/>
                <w:sz w:val="18"/>
                <w:szCs w:val="18"/>
              </w:rPr>
            </w:pPr>
            <w:r>
              <w:rPr>
                <w:color w:val="000000"/>
                <w:sz w:val="18"/>
                <w:szCs w:val="18"/>
              </w:rPr>
              <w:t>37</w:t>
            </w:r>
          </w:p>
        </w:tc>
        <w:tc>
          <w:tcPr>
            <w:tcW w:w="676" w:type="dxa"/>
            <w:tcBorders>
              <w:top w:val="single" w:sz="4" w:space="0" w:color="auto"/>
              <w:left w:val="single" w:sz="4" w:space="0" w:color="auto"/>
              <w:bottom w:val="single" w:sz="4" w:space="0" w:color="auto"/>
              <w:right w:val="single" w:sz="4" w:space="0" w:color="auto"/>
            </w:tcBorders>
            <w:vAlign w:val="center"/>
          </w:tcPr>
          <w:p w14:paraId="2BCF4AA9" w14:textId="77777777" w:rsidR="00CD24E9" w:rsidRPr="00E718C5" w:rsidRDefault="00CD24E9" w:rsidP="00851F66">
            <w:pPr>
              <w:jc w:val="center"/>
              <w:rPr>
                <w:color w:val="000000"/>
                <w:sz w:val="18"/>
                <w:szCs w:val="18"/>
              </w:rPr>
            </w:pPr>
            <w:r>
              <w:rPr>
                <w:color w:val="000000"/>
                <w:sz w:val="18"/>
                <w:szCs w:val="18"/>
              </w:rPr>
              <w:t>3</w:t>
            </w:r>
          </w:p>
        </w:tc>
        <w:tc>
          <w:tcPr>
            <w:tcW w:w="801" w:type="dxa"/>
            <w:tcBorders>
              <w:top w:val="single" w:sz="4" w:space="0" w:color="auto"/>
              <w:left w:val="single" w:sz="4" w:space="0" w:color="auto"/>
              <w:bottom w:val="single" w:sz="4" w:space="0" w:color="auto"/>
              <w:right w:val="single" w:sz="4" w:space="0" w:color="auto"/>
            </w:tcBorders>
            <w:vAlign w:val="center"/>
          </w:tcPr>
          <w:p w14:paraId="4A70112E" w14:textId="77777777" w:rsidR="00CD24E9" w:rsidRPr="00E718C5" w:rsidRDefault="00CD24E9" w:rsidP="00851F66">
            <w:pPr>
              <w:jc w:val="center"/>
              <w:rPr>
                <w:color w:val="000000"/>
                <w:sz w:val="18"/>
                <w:szCs w:val="18"/>
              </w:rPr>
            </w:pPr>
            <w:r>
              <w:rPr>
                <w:color w:val="000000"/>
                <w:sz w:val="18"/>
                <w:szCs w:val="18"/>
              </w:rPr>
              <w:t>33</w:t>
            </w:r>
          </w:p>
        </w:tc>
        <w:tc>
          <w:tcPr>
            <w:tcW w:w="576" w:type="dxa"/>
            <w:tcBorders>
              <w:top w:val="single" w:sz="4" w:space="0" w:color="auto"/>
              <w:left w:val="single" w:sz="4" w:space="0" w:color="auto"/>
              <w:bottom w:val="single" w:sz="4" w:space="0" w:color="auto"/>
              <w:right w:val="single" w:sz="4" w:space="0" w:color="auto"/>
            </w:tcBorders>
            <w:vAlign w:val="center"/>
          </w:tcPr>
          <w:p w14:paraId="484FFF1B" w14:textId="77777777" w:rsidR="00CD24E9" w:rsidRPr="00E718C5" w:rsidRDefault="00CD24E9" w:rsidP="00851F66">
            <w:pPr>
              <w:jc w:val="center"/>
              <w:rPr>
                <w:color w:val="000000"/>
                <w:sz w:val="18"/>
                <w:szCs w:val="18"/>
              </w:rPr>
            </w:pPr>
            <w:r>
              <w:rPr>
                <w:color w:val="000000"/>
                <w:sz w:val="18"/>
                <w:szCs w:val="18"/>
              </w:rPr>
              <w:t xml:space="preserve">0 </w:t>
            </w:r>
          </w:p>
        </w:tc>
        <w:tc>
          <w:tcPr>
            <w:tcW w:w="801" w:type="dxa"/>
            <w:tcBorders>
              <w:top w:val="single" w:sz="4" w:space="0" w:color="auto"/>
              <w:left w:val="single" w:sz="4" w:space="0" w:color="auto"/>
              <w:bottom w:val="single" w:sz="4" w:space="0" w:color="auto"/>
              <w:right w:val="single" w:sz="4" w:space="0" w:color="auto"/>
            </w:tcBorders>
            <w:vAlign w:val="center"/>
          </w:tcPr>
          <w:p w14:paraId="3FFA9024" w14:textId="77777777" w:rsidR="00CD24E9" w:rsidRPr="00E718C5" w:rsidRDefault="00CD24E9" w:rsidP="00851F66">
            <w:pPr>
              <w:jc w:val="center"/>
              <w:rPr>
                <w:color w:val="000000"/>
                <w:sz w:val="18"/>
                <w:szCs w:val="18"/>
              </w:rPr>
            </w:pPr>
            <w:r>
              <w:rPr>
                <w:color w:val="000000"/>
                <w:sz w:val="18"/>
                <w:szCs w:val="18"/>
              </w:rPr>
              <w:t>0</w:t>
            </w:r>
          </w:p>
        </w:tc>
        <w:tc>
          <w:tcPr>
            <w:tcW w:w="816" w:type="dxa"/>
            <w:tcBorders>
              <w:top w:val="single" w:sz="4" w:space="0" w:color="auto"/>
              <w:left w:val="single" w:sz="4" w:space="0" w:color="auto"/>
              <w:bottom w:val="single" w:sz="4" w:space="0" w:color="auto"/>
              <w:right w:val="single" w:sz="4" w:space="0" w:color="auto"/>
            </w:tcBorders>
            <w:vAlign w:val="center"/>
          </w:tcPr>
          <w:p w14:paraId="0A788D0C" w14:textId="77777777" w:rsidR="00CD24E9" w:rsidRPr="00E718C5" w:rsidRDefault="00CD24E9" w:rsidP="00851F66">
            <w:pPr>
              <w:jc w:val="center"/>
              <w:rPr>
                <w:color w:val="000000"/>
                <w:sz w:val="18"/>
                <w:szCs w:val="18"/>
              </w:rPr>
            </w:pPr>
            <w:r>
              <w:rPr>
                <w:color w:val="000000"/>
                <w:sz w:val="18"/>
                <w:szCs w:val="18"/>
              </w:rPr>
              <w:t>1</w:t>
            </w:r>
          </w:p>
        </w:tc>
      </w:tr>
      <w:tr w:rsidR="00CD24E9" w:rsidRPr="00212DD7" w14:paraId="1C434913" w14:textId="77777777" w:rsidTr="00851F66">
        <w:trPr>
          <w:trHeight w:val="300"/>
          <w:jc w:val="center"/>
        </w:trPr>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4EB1F" w14:textId="77777777" w:rsidR="00CD24E9" w:rsidRPr="00E718C5" w:rsidRDefault="00CD24E9" w:rsidP="00851F66">
            <w:pPr>
              <w:rPr>
                <w:color w:val="000000"/>
                <w:sz w:val="18"/>
                <w:szCs w:val="18"/>
              </w:rPr>
            </w:pPr>
            <w:r>
              <w:rPr>
                <w:color w:val="000000"/>
                <w:sz w:val="18"/>
                <w:szCs w:val="18"/>
              </w:rPr>
              <w:t>2003 to 2017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CC91F" w14:textId="77777777" w:rsidR="00CD24E9" w:rsidRPr="00E718C5" w:rsidRDefault="00CD24E9" w:rsidP="00851F66">
            <w:pPr>
              <w:jc w:val="center"/>
              <w:rPr>
                <w:color w:val="000000"/>
                <w:sz w:val="18"/>
                <w:szCs w:val="18"/>
              </w:rPr>
            </w:pPr>
            <w:r>
              <w:rPr>
                <w:color w:val="000000"/>
                <w:sz w:val="18"/>
                <w:szCs w:val="18"/>
              </w:rPr>
              <w:t>108</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C8154" w14:textId="77777777" w:rsidR="00CD24E9" w:rsidRPr="00E718C5" w:rsidRDefault="00CD24E9" w:rsidP="00851F66">
            <w:pPr>
              <w:jc w:val="center"/>
              <w:rPr>
                <w:color w:val="000000"/>
                <w:sz w:val="18"/>
                <w:szCs w:val="18"/>
              </w:rPr>
            </w:pPr>
            <w:r>
              <w:rPr>
                <w:color w:val="000000"/>
                <w:sz w:val="18"/>
                <w:szCs w:val="18"/>
              </w:rPr>
              <w:t>134</w:t>
            </w:r>
          </w:p>
        </w:tc>
        <w:tc>
          <w:tcPr>
            <w:tcW w:w="676" w:type="dxa"/>
            <w:tcBorders>
              <w:top w:val="single" w:sz="4" w:space="0" w:color="auto"/>
              <w:left w:val="single" w:sz="4" w:space="0" w:color="auto"/>
              <w:bottom w:val="single" w:sz="4" w:space="0" w:color="auto"/>
              <w:right w:val="single" w:sz="4" w:space="0" w:color="auto"/>
            </w:tcBorders>
            <w:vAlign w:val="center"/>
          </w:tcPr>
          <w:p w14:paraId="54AA4FE7" w14:textId="77777777" w:rsidR="00CD24E9" w:rsidRPr="00E718C5" w:rsidRDefault="00CD24E9" w:rsidP="00851F66">
            <w:pPr>
              <w:jc w:val="center"/>
              <w:rPr>
                <w:color w:val="000000"/>
                <w:sz w:val="18"/>
                <w:szCs w:val="18"/>
              </w:rPr>
            </w:pPr>
            <w:r>
              <w:rPr>
                <w:color w:val="000000"/>
                <w:sz w:val="18"/>
                <w:szCs w:val="18"/>
              </w:rPr>
              <w:t>8</w:t>
            </w:r>
          </w:p>
        </w:tc>
        <w:tc>
          <w:tcPr>
            <w:tcW w:w="801" w:type="dxa"/>
            <w:tcBorders>
              <w:top w:val="single" w:sz="4" w:space="0" w:color="auto"/>
              <w:left w:val="single" w:sz="4" w:space="0" w:color="auto"/>
              <w:bottom w:val="single" w:sz="4" w:space="0" w:color="auto"/>
              <w:right w:val="single" w:sz="4" w:space="0" w:color="auto"/>
            </w:tcBorders>
            <w:vAlign w:val="center"/>
          </w:tcPr>
          <w:p w14:paraId="24C82956" w14:textId="77777777" w:rsidR="00CD24E9" w:rsidRPr="00E718C5" w:rsidRDefault="00CD24E9" w:rsidP="00851F66">
            <w:pPr>
              <w:jc w:val="center"/>
              <w:rPr>
                <w:color w:val="000000"/>
                <w:sz w:val="18"/>
                <w:szCs w:val="18"/>
              </w:rPr>
            </w:pPr>
            <w:r>
              <w:rPr>
                <w:color w:val="000000"/>
                <w:sz w:val="18"/>
                <w:szCs w:val="18"/>
              </w:rPr>
              <w:t>51</w:t>
            </w:r>
          </w:p>
        </w:tc>
        <w:tc>
          <w:tcPr>
            <w:tcW w:w="576" w:type="dxa"/>
            <w:tcBorders>
              <w:top w:val="single" w:sz="4" w:space="0" w:color="auto"/>
              <w:left w:val="single" w:sz="4" w:space="0" w:color="auto"/>
              <w:bottom w:val="single" w:sz="4" w:space="0" w:color="auto"/>
              <w:right w:val="single" w:sz="4" w:space="0" w:color="auto"/>
            </w:tcBorders>
            <w:vAlign w:val="center"/>
          </w:tcPr>
          <w:p w14:paraId="2DE6889B" w14:textId="77777777" w:rsidR="00CD24E9" w:rsidRPr="00E718C5" w:rsidRDefault="00CD24E9" w:rsidP="00851F66">
            <w:pPr>
              <w:jc w:val="center"/>
              <w:rPr>
                <w:color w:val="000000"/>
                <w:sz w:val="18"/>
                <w:szCs w:val="18"/>
              </w:rPr>
            </w:pPr>
            <w:r>
              <w:rPr>
                <w:color w:val="000000"/>
                <w:sz w:val="18"/>
                <w:szCs w:val="18"/>
              </w:rPr>
              <w:t>12</w:t>
            </w:r>
          </w:p>
        </w:tc>
        <w:tc>
          <w:tcPr>
            <w:tcW w:w="801" w:type="dxa"/>
            <w:tcBorders>
              <w:top w:val="single" w:sz="4" w:space="0" w:color="auto"/>
              <w:left w:val="single" w:sz="4" w:space="0" w:color="auto"/>
              <w:bottom w:val="single" w:sz="4" w:space="0" w:color="auto"/>
              <w:right w:val="single" w:sz="4" w:space="0" w:color="auto"/>
            </w:tcBorders>
            <w:vAlign w:val="center"/>
          </w:tcPr>
          <w:p w14:paraId="00137D47" w14:textId="77777777" w:rsidR="00CD24E9" w:rsidRPr="00E718C5" w:rsidRDefault="00CD24E9" w:rsidP="00851F66">
            <w:pPr>
              <w:jc w:val="center"/>
              <w:rPr>
                <w:color w:val="000000"/>
                <w:sz w:val="18"/>
                <w:szCs w:val="18"/>
              </w:rPr>
            </w:pPr>
            <w:r>
              <w:rPr>
                <w:color w:val="000000"/>
                <w:sz w:val="18"/>
                <w:szCs w:val="18"/>
              </w:rPr>
              <w:t>61</w:t>
            </w:r>
          </w:p>
        </w:tc>
        <w:tc>
          <w:tcPr>
            <w:tcW w:w="816" w:type="dxa"/>
            <w:tcBorders>
              <w:top w:val="single" w:sz="4" w:space="0" w:color="auto"/>
              <w:left w:val="single" w:sz="4" w:space="0" w:color="auto"/>
              <w:bottom w:val="single" w:sz="4" w:space="0" w:color="auto"/>
              <w:right w:val="single" w:sz="4" w:space="0" w:color="auto"/>
            </w:tcBorders>
            <w:vAlign w:val="center"/>
          </w:tcPr>
          <w:p w14:paraId="06B9AD8A" w14:textId="77777777" w:rsidR="00CD24E9" w:rsidRPr="00E718C5" w:rsidRDefault="00CD24E9" w:rsidP="00851F66">
            <w:pPr>
              <w:jc w:val="center"/>
              <w:rPr>
                <w:color w:val="000000"/>
                <w:sz w:val="18"/>
                <w:szCs w:val="18"/>
              </w:rPr>
            </w:pPr>
            <w:r>
              <w:rPr>
                <w:color w:val="000000"/>
                <w:sz w:val="18"/>
                <w:szCs w:val="18"/>
              </w:rPr>
              <w:t>2</w:t>
            </w:r>
          </w:p>
        </w:tc>
      </w:tr>
      <w:tr w:rsidR="00CD24E9" w:rsidRPr="00212DD7" w14:paraId="49866806" w14:textId="77777777" w:rsidTr="00851F66">
        <w:trPr>
          <w:trHeight w:val="300"/>
          <w:jc w:val="center"/>
        </w:trPr>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7190A" w14:textId="77777777" w:rsidR="00CD24E9" w:rsidRPr="00E718C5" w:rsidRDefault="00CD24E9" w:rsidP="00851F66">
            <w:pPr>
              <w:rPr>
                <w:color w:val="000000"/>
                <w:sz w:val="18"/>
                <w:szCs w:val="18"/>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72AC" w14:textId="77777777" w:rsidR="00CD24E9" w:rsidRPr="00E718C5" w:rsidRDefault="00CD24E9" w:rsidP="00851F66">
            <w:pPr>
              <w:jc w:val="center"/>
              <w:rPr>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3E264" w14:textId="77777777" w:rsidR="00CD24E9" w:rsidRPr="00E718C5" w:rsidRDefault="00CD24E9" w:rsidP="00851F66">
            <w:pPr>
              <w:jc w:val="center"/>
              <w:rPr>
                <w:color w:val="000000"/>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14:paraId="5E10C8C1" w14:textId="77777777" w:rsidR="00CD24E9" w:rsidRPr="00E718C5" w:rsidRDefault="00CD24E9" w:rsidP="00851F66">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44F27752" w14:textId="77777777" w:rsidR="00CD24E9" w:rsidRPr="00E718C5" w:rsidRDefault="00CD24E9" w:rsidP="00851F66">
            <w:pPr>
              <w:jc w:val="center"/>
              <w:rPr>
                <w:color w:val="00000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4D84B26" w14:textId="77777777" w:rsidR="00CD24E9" w:rsidRPr="00E718C5" w:rsidRDefault="00CD24E9" w:rsidP="00851F66">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8C7B9CA" w14:textId="77777777" w:rsidR="00CD24E9" w:rsidRPr="00E718C5" w:rsidRDefault="00CD24E9" w:rsidP="00851F66">
            <w:pPr>
              <w:jc w:val="center"/>
              <w:rPr>
                <w:color w:val="000000"/>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14:paraId="412F2AB6" w14:textId="77777777" w:rsidR="00CD24E9" w:rsidRPr="00E718C5" w:rsidRDefault="00CD24E9" w:rsidP="00851F66">
            <w:pPr>
              <w:jc w:val="center"/>
              <w:rPr>
                <w:color w:val="000000"/>
                <w:sz w:val="18"/>
                <w:szCs w:val="18"/>
              </w:rPr>
            </w:pPr>
          </w:p>
        </w:tc>
      </w:tr>
      <w:tr w:rsidR="00CD24E9" w:rsidRPr="00212DD7" w14:paraId="3029503F" w14:textId="77777777" w:rsidTr="00851F66">
        <w:trPr>
          <w:trHeight w:val="300"/>
          <w:jc w:val="center"/>
        </w:trPr>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19B33" w14:textId="77777777" w:rsidR="00CD24E9" w:rsidRPr="00E718C5" w:rsidRDefault="00CD24E9" w:rsidP="00851F66">
            <w:pPr>
              <w:rPr>
                <w:color w:val="000000"/>
                <w:sz w:val="18"/>
                <w:szCs w:val="18"/>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BD862" w14:textId="77777777" w:rsidR="00CD24E9" w:rsidRPr="00E718C5" w:rsidRDefault="00CD24E9" w:rsidP="00851F66">
            <w:pPr>
              <w:jc w:val="center"/>
              <w:rPr>
                <w:b/>
                <w:bCs/>
                <w:color w:val="000000"/>
                <w:sz w:val="18"/>
                <w:szCs w:val="18"/>
              </w:rPr>
            </w:pPr>
            <w:r>
              <w:rPr>
                <w:b/>
                <w:bCs/>
                <w:color w:val="000000"/>
                <w:sz w:val="18"/>
                <w:szCs w:val="18"/>
              </w:rPr>
              <w:t>140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8EDD0" w14:textId="77777777" w:rsidR="00CD24E9" w:rsidRPr="00E718C5" w:rsidRDefault="00CD24E9" w:rsidP="00851F66">
            <w:pPr>
              <w:jc w:val="center"/>
              <w:rPr>
                <w:b/>
                <w:bCs/>
                <w:color w:val="000000"/>
                <w:sz w:val="18"/>
                <w:szCs w:val="18"/>
              </w:rPr>
            </w:pPr>
            <w:r>
              <w:rPr>
                <w:b/>
                <w:bCs/>
                <w:color w:val="000000"/>
                <w:sz w:val="18"/>
                <w:szCs w:val="18"/>
              </w:rPr>
              <w:t>171</w:t>
            </w:r>
          </w:p>
        </w:tc>
        <w:tc>
          <w:tcPr>
            <w:tcW w:w="676" w:type="dxa"/>
            <w:tcBorders>
              <w:top w:val="single" w:sz="4" w:space="0" w:color="auto"/>
              <w:left w:val="single" w:sz="4" w:space="0" w:color="auto"/>
              <w:bottom w:val="single" w:sz="4" w:space="0" w:color="auto"/>
              <w:right w:val="single" w:sz="4" w:space="0" w:color="auto"/>
            </w:tcBorders>
            <w:vAlign w:val="center"/>
          </w:tcPr>
          <w:p w14:paraId="0277FF9C" w14:textId="77777777" w:rsidR="00CD24E9" w:rsidRPr="00E718C5" w:rsidRDefault="00CD24E9" w:rsidP="00851F66">
            <w:pPr>
              <w:jc w:val="center"/>
              <w:rPr>
                <w:b/>
                <w:bCs/>
                <w:color w:val="000000"/>
                <w:sz w:val="18"/>
                <w:szCs w:val="18"/>
              </w:rPr>
            </w:pPr>
            <w:r>
              <w:rPr>
                <w:b/>
                <w:bCs/>
                <w:color w:val="000000"/>
                <w:sz w:val="18"/>
                <w:szCs w:val="18"/>
              </w:rPr>
              <w:t xml:space="preserve"> </w:t>
            </w:r>
          </w:p>
        </w:tc>
        <w:tc>
          <w:tcPr>
            <w:tcW w:w="801" w:type="dxa"/>
            <w:tcBorders>
              <w:top w:val="single" w:sz="4" w:space="0" w:color="auto"/>
              <w:left w:val="single" w:sz="4" w:space="0" w:color="auto"/>
              <w:bottom w:val="single" w:sz="4" w:space="0" w:color="auto"/>
              <w:right w:val="single" w:sz="4" w:space="0" w:color="auto"/>
            </w:tcBorders>
            <w:vAlign w:val="center"/>
          </w:tcPr>
          <w:p w14:paraId="5095BC3E" w14:textId="77777777" w:rsidR="00CD24E9" w:rsidRPr="00E718C5" w:rsidRDefault="00CD24E9" w:rsidP="00851F66">
            <w:pPr>
              <w:jc w:val="center"/>
              <w:rPr>
                <w:b/>
                <w:bCs/>
                <w:color w:val="000000"/>
                <w:sz w:val="18"/>
                <w:szCs w:val="18"/>
              </w:rPr>
            </w:pPr>
            <w:r>
              <w:rPr>
                <w:b/>
                <w:bCs/>
                <w:color w:val="000000"/>
                <w:sz w:val="18"/>
                <w:szCs w:val="18"/>
              </w:rPr>
              <w:t>45.54%</w:t>
            </w:r>
          </w:p>
        </w:tc>
        <w:tc>
          <w:tcPr>
            <w:tcW w:w="576" w:type="dxa"/>
            <w:tcBorders>
              <w:top w:val="single" w:sz="4" w:space="0" w:color="auto"/>
              <w:left w:val="single" w:sz="4" w:space="0" w:color="auto"/>
              <w:bottom w:val="single" w:sz="4" w:space="0" w:color="auto"/>
              <w:right w:val="single" w:sz="4" w:space="0" w:color="auto"/>
            </w:tcBorders>
            <w:vAlign w:val="center"/>
          </w:tcPr>
          <w:p w14:paraId="1B6375B0" w14:textId="77777777" w:rsidR="00CD24E9" w:rsidRPr="00E718C5" w:rsidRDefault="00CD24E9" w:rsidP="00851F66">
            <w:pPr>
              <w:jc w:val="center"/>
              <w:rPr>
                <w:b/>
                <w:bCs/>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1A69F47" w14:textId="77777777" w:rsidR="00CD24E9" w:rsidRPr="00E718C5" w:rsidRDefault="00CD24E9" w:rsidP="00851F66">
            <w:pPr>
              <w:jc w:val="center"/>
              <w:rPr>
                <w:b/>
                <w:bCs/>
                <w:color w:val="000000"/>
                <w:sz w:val="18"/>
                <w:szCs w:val="18"/>
              </w:rPr>
            </w:pPr>
            <w:r>
              <w:rPr>
                <w:b/>
                <w:bCs/>
                <w:color w:val="000000"/>
                <w:sz w:val="18"/>
                <w:szCs w:val="18"/>
              </w:rPr>
              <w:t>54.46%</w:t>
            </w:r>
          </w:p>
        </w:tc>
        <w:tc>
          <w:tcPr>
            <w:tcW w:w="816" w:type="dxa"/>
            <w:tcBorders>
              <w:top w:val="single" w:sz="4" w:space="0" w:color="auto"/>
              <w:left w:val="single" w:sz="4" w:space="0" w:color="auto"/>
              <w:bottom w:val="single" w:sz="4" w:space="0" w:color="auto"/>
              <w:right w:val="single" w:sz="4" w:space="0" w:color="auto"/>
            </w:tcBorders>
            <w:vAlign w:val="center"/>
          </w:tcPr>
          <w:p w14:paraId="0039456E" w14:textId="77777777" w:rsidR="00CD24E9" w:rsidRPr="00E718C5" w:rsidRDefault="00CD24E9" w:rsidP="00851F66">
            <w:pPr>
              <w:jc w:val="center"/>
              <w:rPr>
                <w:b/>
                <w:bCs/>
                <w:color w:val="000000"/>
                <w:sz w:val="18"/>
                <w:szCs w:val="18"/>
              </w:rPr>
            </w:pPr>
          </w:p>
        </w:tc>
      </w:tr>
    </w:tbl>
    <w:p w14:paraId="3BF85F13" w14:textId="77777777" w:rsidR="00CD24E9" w:rsidRPr="00CE3949" w:rsidRDefault="00CD24E9" w:rsidP="00CD24E9">
      <w:pPr>
        <w:pStyle w:val="PhDNormal"/>
        <w:rPr>
          <w:sz w:val="20"/>
          <w:szCs w:val="20"/>
        </w:rPr>
      </w:pPr>
      <w:r>
        <w:t xml:space="preserve"> </w:t>
      </w:r>
      <w:r w:rsidRPr="00CE3949">
        <w:rPr>
          <w:sz w:val="20"/>
          <w:szCs w:val="20"/>
        </w:rPr>
        <w:t>Source: Author</w:t>
      </w:r>
    </w:p>
    <w:p w14:paraId="42642A21" w14:textId="0CDE9501" w:rsidR="00CD24E9" w:rsidRPr="00C64725" w:rsidRDefault="00CD24E9" w:rsidP="00CD24E9">
      <w:pPr>
        <w:pStyle w:val="PRRESIncmainbody"/>
      </w:pPr>
      <w:r>
        <w:t>As a summary</w:t>
      </w:r>
      <w:r w:rsidRPr="00995D55">
        <w:t xml:space="preserve">, </w:t>
      </w:r>
      <w:r w:rsidR="00995D55" w:rsidRPr="00995D55">
        <w:t xml:space="preserve">Table 4 </w:t>
      </w:r>
      <w:r w:rsidRPr="00995D55">
        <w:t>a</w:t>
      </w:r>
      <w:r>
        <w:t xml:space="preserve">nalysis shows that a high percentage of individuals who obtained their licence from 2003 were involved in fraud, in comparison to those individuals who were licenced before 2003. Additionally, this data </w:t>
      </w:r>
      <w:r w:rsidR="00AD457D">
        <w:t>was</w:t>
      </w:r>
      <w:r>
        <w:t xml:space="preserve"> triangulated to the licensing activity relating to the new annual licences and total licences current per year.   </w:t>
      </w:r>
    </w:p>
    <w:p w14:paraId="5473D981" w14:textId="77777777" w:rsidR="003A794F" w:rsidRDefault="003A794F" w:rsidP="003A794F">
      <w:pPr>
        <w:pStyle w:val="PRRESIncmainbody"/>
      </w:pPr>
    </w:p>
    <w:p w14:paraId="5B4459AF" w14:textId="5DB06DDF" w:rsidR="00E854D6" w:rsidRDefault="00E854D6" w:rsidP="003A794F">
      <w:pPr>
        <w:pStyle w:val="Heading2"/>
        <w:spacing w:before="0" w:after="0"/>
        <w:contextualSpacing/>
        <w:jc w:val="left"/>
      </w:pPr>
      <w:r>
        <w:t xml:space="preserve">Licensing </w:t>
      </w:r>
      <w:r w:rsidRPr="003E07F4">
        <w:rPr>
          <w:sz w:val="22"/>
          <w:szCs w:val="22"/>
        </w:rPr>
        <w:t>Activity</w:t>
      </w:r>
    </w:p>
    <w:p w14:paraId="17B0FFBE" w14:textId="7449DDA9" w:rsidR="00CD24E9" w:rsidRDefault="00E854D6" w:rsidP="003A794F">
      <w:pPr>
        <w:pStyle w:val="PRRESIncmainbody"/>
        <w:contextualSpacing/>
      </w:pPr>
      <w:r>
        <w:t>The licensing activities in NSW were analysed from the available data commencing from 1997 to 2015 inclusive, which was the last year this type of data was publicly provided in the annual reports issued by Fair Trading NSW. The analys</w:t>
      </w:r>
      <w:r w:rsidR="00B57E90">
        <w:t xml:space="preserve">is </w:t>
      </w:r>
      <w:r>
        <w:t>compare</w:t>
      </w:r>
      <w:r w:rsidR="00B57E90">
        <w:t>d</w:t>
      </w:r>
      <w:r>
        <w:t xml:space="preserve"> the percentage increase from </w:t>
      </w:r>
      <w:r w:rsidR="00B57E90">
        <w:t xml:space="preserve">each </w:t>
      </w:r>
      <w:r>
        <w:t>previous year, and similarly for the total licences held i.e. including continuing current licences plus new licences.</w:t>
      </w:r>
      <w:r w:rsidR="00AD457D">
        <w:t xml:space="preserve"> </w:t>
      </w:r>
    </w:p>
    <w:p w14:paraId="43E87816" w14:textId="77777777" w:rsidR="00526FA9" w:rsidRDefault="00526FA9" w:rsidP="00526FA9">
      <w:pPr>
        <w:pStyle w:val="Style1"/>
        <w:spacing w:before="0" w:after="0"/>
        <w:contextualSpacing/>
      </w:pPr>
    </w:p>
    <w:p w14:paraId="7076D1D9" w14:textId="61CF295A" w:rsidR="007A3A5D" w:rsidRDefault="007A3A5D" w:rsidP="00526FA9">
      <w:pPr>
        <w:pStyle w:val="Style1"/>
        <w:spacing w:before="0" w:after="0"/>
        <w:contextualSpacing/>
      </w:pPr>
      <w:r>
        <w:t>The two financial years ending 30</w:t>
      </w:r>
      <w:r>
        <w:rPr>
          <w:vertAlign w:val="superscript"/>
        </w:rPr>
        <w:t>th</w:t>
      </w:r>
      <w:r>
        <w:t xml:space="preserve"> June 2003 to 30</w:t>
      </w:r>
      <w:r>
        <w:rPr>
          <w:vertAlign w:val="superscript"/>
        </w:rPr>
        <w:t>th</w:t>
      </w:r>
      <w:r>
        <w:t xml:space="preserve"> June 2004, indicate</w:t>
      </w:r>
      <w:r w:rsidR="00995D55">
        <w:t>d</w:t>
      </w:r>
      <w:r>
        <w:t xml:space="preserve"> a high increase of new licenses, 25.81% and 32.03% respectively.  However, total licence growth for each of those years did not increase with the same proportion.  At 3.25% and 4.49% respectively, the increases </w:t>
      </w:r>
      <w:r w:rsidR="00936C6E">
        <w:t xml:space="preserve">for continuing licenses </w:t>
      </w:r>
      <w:r w:rsidR="00995D55">
        <w:t>wa</w:t>
      </w:r>
      <w:r w:rsidR="00936C6E">
        <w:t xml:space="preserve">s </w:t>
      </w:r>
      <w:r>
        <w:t>well below the new licence rate of growth increase.   The year 2003 was when educational requirements eased, and industry experience was abolished. These changes could also be attributed as reasons for the overwhelming response of new licence applications from 2003.  Therefore, once the industry experience was removed, and educational requirements softened there were very few barriers to quality control the growth in this sector.</w:t>
      </w:r>
    </w:p>
    <w:p w14:paraId="4EDD2F1A" w14:textId="77777777" w:rsidR="00526FA9" w:rsidRDefault="00526FA9" w:rsidP="00526FA9">
      <w:pPr>
        <w:pStyle w:val="Heading3"/>
        <w:spacing w:before="0" w:after="0"/>
        <w:contextualSpacing/>
      </w:pPr>
      <w:bookmarkStart w:id="13" w:name="_Toc76476144"/>
    </w:p>
    <w:p w14:paraId="281DDF82" w14:textId="2D055362" w:rsidR="00995D55" w:rsidRPr="00995D55" w:rsidRDefault="00526FA9" w:rsidP="001F077D">
      <w:pPr>
        <w:pStyle w:val="Heading3"/>
        <w:spacing w:before="0" w:after="0"/>
        <w:contextualSpacing/>
      </w:pPr>
      <w:r>
        <w:t xml:space="preserve">The Decline with Educational </w:t>
      </w:r>
      <w:r w:rsidR="000F14B8">
        <w:t xml:space="preserve">Qualifications </w:t>
      </w:r>
      <w:bookmarkEnd w:id="13"/>
      <w:r>
        <w:t xml:space="preserve"> </w:t>
      </w:r>
    </w:p>
    <w:p w14:paraId="558B6CFE" w14:textId="70A72CB5" w:rsidR="002911FD" w:rsidRPr="00526FA9" w:rsidRDefault="002911FD" w:rsidP="00995D55">
      <w:pPr>
        <w:pStyle w:val="PRRESIncmainbody"/>
        <w:contextualSpacing/>
      </w:pPr>
      <w:r w:rsidRPr="00526FA9">
        <w:t xml:space="preserve">The historical approach from the 1960s </w:t>
      </w:r>
      <w:r w:rsidR="00526FA9">
        <w:t xml:space="preserve">with </w:t>
      </w:r>
      <w:r w:rsidRPr="00526FA9">
        <w:t xml:space="preserve">initially mandating no formal education, and then a gradual rise to minimum compulsory subjects covered in a six month part time course, and slowly increasing to an 18 month part time course was within the expectations of the growth occurring with real estate transactions during the 1960s to the mid 1980s. At the turn of this century, elevating the minimum educational requirements to a Diploma level course offered over three years of part time study was welcomed by industry and relevant stakeholders.  </w:t>
      </w:r>
    </w:p>
    <w:p w14:paraId="60E1419C" w14:textId="77777777" w:rsidR="002911FD" w:rsidRPr="00526FA9" w:rsidRDefault="002911FD" w:rsidP="00526FA9">
      <w:pPr>
        <w:pStyle w:val="PRRESIncmainbody"/>
      </w:pPr>
    </w:p>
    <w:p w14:paraId="3C9EE8BF" w14:textId="79B41804" w:rsidR="002911FD" w:rsidRDefault="002911FD" w:rsidP="002911FD">
      <w:pPr>
        <w:pStyle w:val="PRRESIncmainbody"/>
        <w:rPr>
          <w:lang w:val="en-GB"/>
        </w:rPr>
      </w:pPr>
      <w:r>
        <w:t>Therefore to eventually abandon the rigour from previous decades and diminish the licensing course to a three week Certificate IV course, was difficult to comprehend</w:t>
      </w:r>
      <w:r w:rsidR="00526FA9">
        <w:t>.  Consequently as a result of these changes the i</w:t>
      </w:r>
      <w:r>
        <w:t xml:space="preserve">ncreases in trust fund misappropriation and consumer complaints, became the focal point for NSW Fair Trading.  </w:t>
      </w:r>
    </w:p>
    <w:p w14:paraId="3F584DFF" w14:textId="73C2F7B9" w:rsidR="00DB26F3" w:rsidRDefault="00093380" w:rsidP="00093380">
      <w:pPr>
        <w:pStyle w:val="PRRESIncmainbody"/>
      </w:pPr>
      <w:r>
        <w:t xml:space="preserve"> </w:t>
      </w:r>
    </w:p>
    <w:p w14:paraId="1664E5C5" w14:textId="1C94A158" w:rsidR="00526FA9" w:rsidRDefault="00526FA9" w:rsidP="00526FA9">
      <w:pPr>
        <w:pStyle w:val="Heading3"/>
      </w:pPr>
      <w:r>
        <w:t>Educational Qualifications – Chronological Development</w:t>
      </w:r>
    </w:p>
    <w:p w14:paraId="7053DFBC" w14:textId="214B57CA" w:rsidR="00A16F87" w:rsidRPr="00093380" w:rsidRDefault="00A16F87" w:rsidP="00526FA9">
      <w:pPr>
        <w:pStyle w:val="PRRESIncmainbody"/>
        <w:contextualSpacing/>
      </w:pPr>
      <w:bookmarkStart w:id="14" w:name="_Toc19625435"/>
      <w:bookmarkStart w:id="15" w:name="_Toc69650739"/>
      <w:r w:rsidRPr="00093380">
        <w:t xml:space="preserve">The analysis below in Table </w:t>
      </w:r>
      <w:r w:rsidR="00093380" w:rsidRPr="00093380">
        <w:t>5</w:t>
      </w:r>
      <w:r w:rsidRPr="00093380">
        <w:t xml:space="preserve"> provides the summary of the changing educational platform relating to occupational licensing for property agents since the 1960s.</w:t>
      </w:r>
    </w:p>
    <w:p w14:paraId="51522BE8" w14:textId="302C6B58" w:rsidR="004B7CC1" w:rsidRDefault="004B7CC1" w:rsidP="00526FA9">
      <w:pPr>
        <w:pStyle w:val="PRRESIncmainbody"/>
        <w:contextualSpacing/>
      </w:pPr>
    </w:p>
    <w:p w14:paraId="331EE596" w14:textId="435A846F" w:rsidR="001F077D" w:rsidRDefault="001F077D" w:rsidP="00526FA9">
      <w:pPr>
        <w:pStyle w:val="PRRESIncmainbody"/>
        <w:contextualSpacing/>
      </w:pPr>
    </w:p>
    <w:p w14:paraId="0297611B" w14:textId="77777777" w:rsidR="001F077D" w:rsidRPr="00093380" w:rsidRDefault="001F077D" w:rsidP="00526FA9">
      <w:pPr>
        <w:pStyle w:val="PRRESIncmainbody"/>
        <w:contextualSpacing/>
      </w:pPr>
    </w:p>
    <w:p w14:paraId="5B22720B" w14:textId="080D4450" w:rsidR="000F14B8" w:rsidRPr="00D57F46" w:rsidRDefault="000F14B8" w:rsidP="004B7CC1">
      <w:pPr>
        <w:pStyle w:val="PRRESIncmainbody"/>
        <w:contextualSpacing/>
      </w:pPr>
      <w:r w:rsidRPr="00093380">
        <w:rPr>
          <w:b/>
        </w:rPr>
        <w:t xml:space="preserve">Table </w:t>
      </w:r>
      <w:r w:rsidR="00093380" w:rsidRPr="00093380">
        <w:rPr>
          <w:b/>
        </w:rPr>
        <w:t>5</w:t>
      </w:r>
      <w:r w:rsidRPr="00093380">
        <w:t xml:space="preserve">:  </w:t>
      </w:r>
      <w:r w:rsidRPr="00093380">
        <w:rPr>
          <w:b/>
        </w:rPr>
        <w:t xml:space="preserve">Chronological Development of Qualifications </w:t>
      </w:r>
      <w:bookmarkEnd w:id="14"/>
      <w:r w:rsidRPr="00093380">
        <w:rPr>
          <w:b/>
        </w:rPr>
        <w:t>1960s to 2020</w:t>
      </w:r>
      <w:bookmarkEnd w:id="15"/>
    </w:p>
    <w:p w14:paraId="537DFA9E" w14:textId="77777777" w:rsidR="000F14B8" w:rsidRDefault="000F14B8" w:rsidP="004B7CC1">
      <w:pPr>
        <w:shd w:val="clear" w:color="auto" w:fill="FFFFFF"/>
        <w:spacing w:before="0" w:after="0"/>
        <w:contextualSpacing/>
        <w:rPr>
          <w:rFonts w:cs="Arial"/>
          <w:b/>
        </w:rPr>
      </w:pPr>
      <w:r>
        <w:rPr>
          <w:rFonts w:cs="Arial"/>
          <w:b/>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498"/>
        <w:gridCol w:w="850"/>
        <w:gridCol w:w="993"/>
        <w:gridCol w:w="992"/>
        <w:gridCol w:w="992"/>
        <w:gridCol w:w="992"/>
        <w:gridCol w:w="993"/>
      </w:tblGrid>
      <w:tr w:rsidR="0035719A" w14:paraId="3262A43C" w14:textId="77777777" w:rsidTr="0035719A">
        <w:trPr>
          <w:jc w:val="center"/>
        </w:trPr>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46B72" w14:textId="77777777" w:rsidR="000F14B8" w:rsidRPr="005B1EB2" w:rsidRDefault="000F14B8" w:rsidP="00174652">
            <w:pPr>
              <w:autoSpaceDE w:val="0"/>
              <w:autoSpaceDN w:val="0"/>
              <w:adjustRightInd w:val="0"/>
              <w:jc w:val="center"/>
              <w:rPr>
                <w:rFonts w:cs="Arial"/>
                <w:b/>
                <w:sz w:val="14"/>
                <w:szCs w:val="14"/>
              </w:rPr>
            </w:pPr>
            <w:r w:rsidRPr="005B1EB2">
              <w:rPr>
                <w:rFonts w:cs="Arial"/>
                <w:b/>
                <w:sz w:val="14"/>
                <w:szCs w:val="14"/>
              </w:rPr>
              <w:t>Legislation</w:t>
            </w: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ACB67" w14:textId="77777777" w:rsidR="000F14B8" w:rsidRPr="005B1EB2" w:rsidRDefault="000F14B8" w:rsidP="00174652">
            <w:pPr>
              <w:autoSpaceDE w:val="0"/>
              <w:autoSpaceDN w:val="0"/>
              <w:adjustRightInd w:val="0"/>
              <w:jc w:val="center"/>
              <w:rPr>
                <w:rFonts w:cs="Arial"/>
                <w:b/>
                <w:sz w:val="14"/>
                <w:szCs w:val="14"/>
              </w:rPr>
            </w:pPr>
            <w:r w:rsidRPr="005B1EB2">
              <w:rPr>
                <w:rFonts w:cs="Arial"/>
                <w:b/>
                <w:sz w:val="14"/>
                <w:szCs w:val="14"/>
              </w:rPr>
              <w:t>Qualification</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7A2A32" w14:textId="77777777" w:rsidR="000F14B8" w:rsidRPr="005B1EB2" w:rsidRDefault="000F14B8" w:rsidP="00174652">
            <w:pPr>
              <w:autoSpaceDE w:val="0"/>
              <w:autoSpaceDN w:val="0"/>
              <w:adjustRightInd w:val="0"/>
              <w:jc w:val="center"/>
              <w:rPr>
                <w:rFonts w:cs="Arial"/>
                <w:b/>
                <w:sz w:val="14"/>
                <w:szCs w:val="14"/>
              </w:rPr>
            </w:pPr>
            <w:r w:rsidRPr="005B1EB2">
              <w:rPr>
                <w:rFonts w:cs="Arial"/>
                <w:b/>
                <w:sz w:val="14"/>
                <w:szCs w:val="14"/>
              </w:rPr>
              <w:t xml:space="preserve">Course No.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1C310" w14:textId="77777777" w:rsidR="000F14B8" w:rsidRPr="005B1EB2" w:rsidRDefault="000F14B8" w:rsidP="00174652">
            <w:pPr>
              <w:autoSpaceDE w:val="0"/>
              <w:autoSpaceDN w:val="0"/>
              <w:adjustRightInd w:val="0"/>
              <w:jc w:val="center"/>
              <w:rPr>
                <w:rFonts w:cs="Arial"/>
                <w:b/>
                <w:sz w:val="14"/>
                <w:szCs w:val="14"/>
              </w:rPr>
            </w:pPr>
            <w:r w:rsidRPr="005B1EB2">
              <w:rPr>
                <w:rFonts w:cs="Arial"/>
                <w:b/>
                <w:sz w:val="14"/>
                <w:szCs w:val="14"/>
              </w:rPr>
              <w:t>National Code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5233D" w14:textId="77777777" w:rsidR="000F14B8" w:rsidRPr="005B1EB2" w:rsidRDefault="000F14B8" w:rsidP="00174652">
            <w:pPr>
              <w:autoSpaceDE w:val="0"/>
              <w:autoSpaceDN w:val="0"/>
              <w:adjustRightInd w:val="0"/>
              <w:jc w:val="center"/>
              <w:rPr>
                <w:rFonts w:cs="Arial"/>
                <w:b/>
                <w:sz w:val="14"/>
                <w:szCs w:val="14"/>
              </w:rPr>
            </w:pPr>
            <w:r w:rsidRPr="005B1EB2">
              <w:rPr>
                <w:rFonts w:cs="Arial"/>
                <w:b/>
                <w:sz w:val="14"/>
                <w:szCs w:val="14"/>
              </w:rPr>
              <w:t>Training Package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5C0B0" w14:textId="77777777" w:rsidR="000F14B8" w:rsidRPr="005B1EB2" w:rsidRDefault="000F14B8" w:rsidP="00174652">
            <w:pPr>
              <w:autoSpaceDE w:val="0"/>
              <w:autoSpaceDN w:val="0"/>
              <w:adjustRightInd w:val="0"/>
              <w:jc w:val="center"/>
              <w:rPr>
                <w:rFonts w:cs="Arial"/>
                <w:b/>
                <w:sz w:val="14"/>
                <w:szCs w:val="14"/>
              </w:rPr>
            </w:pPr>
            <w:r w:rsidRPr="005B1EB2">
              <w:rPr>
                <w:rFonts w:cs="Arial"/>
                <w:b/>
                <w:sz w:val="14"/>
                <w:szCs w:val="14"/>
              </w:rPr>
              <w:t>Nominal hours of attendance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DFE7F" w14:textId="77777777" w:rsidR="000F14B8" w:rsidRPr="005B1EB2" w:rsidRDefault="000F14B8" w:rsidP="00174652">
            <w:pPr>
              <w:autoSpaceDE w:val="0"/>
              <w:autoSpaceDN w:val="0"/>
              <w:adjustRightInd w:val="0"/>
              <w:jc w:val="center"/>
              <w:rPr>
                <w:rFonts w:cs="Arial"/>
                <w:b/>
                <w:sz w:val="14"/>
                <w:szCs w:val="14"/>
              </w:rPr>
            </w:pPr>
            <w:r w:rsidRPr="005B1EB2">
              <w:rPr>
                <w:rFonts w:cs="Arial"/>
                <w:b/>
                <w:sz w:val="14"/>
                <w:szCs w:val="14"/>
              </w:rPr>
              <w:t>This courses replaces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930D2" w14:textId="77777777" w:rsidR="000F14B8" w:rsidRPr="005B1EB2" w:rsidRDefault="000F14B8" w:rsidP="00174652">
            <w:pPr>
              <w:autoSpaceDE w:val="0"/>
              <w:autoSpaceDN w:val="0"/>
              <w:adjustRightInd w:val="0"/>
              <w:jc w:val="center"/>
              <w:rPr>
                <w:rFonts w:cs="Arial"/>
                <w:b/>
                <w:sz w:val="14"/>
                <w:szCs w:val="14"/>
              </w:rPr>
            </w:pPr>
            <w:r w:rsidRPr="005B1EB2">
              <w:rPr>
                <w:rFonts w:cs="Arial"/>
                <w:b/>
                <w:sz w:val="14"/>
                <w:szCs w:val="14"/>
              </w:rPr>
              <w:t>This course has been replaced by</w:t>
            </w:r>
          </w:p>
        </w:tc>
      </w:tr>
      <w:tr w:rsidR="000F14B8" w14:paraId="7512B3C5" w14:textId="77777777" w:rsidTr="0035719A">
        <w:trPr>
          <w:trHeight w:hRule="exact" w:val="1008"/>
          <w:jc w:val="center"/>
        </w:trPr>
        <w:tc>
          <w:tcPr>
            <w:tcW w:w="1616" w:type="dxa"/>
            <w:tcBorders>
              <w:top w:val="single" w:sz="4" w:space="0" w:color="auto"/>
              <w:left w:val="single" w:sz="4" w:space="0" w:color="auto"/>
              <w:bottom w:val="single" w:sz="4" w:space="0" w:color="auto"/>
              <w:right w:val="single" w:sz="4" w:space="0" w:color="auto"/>
            </w:tcBorders>
          </w:tcPr>
          <w:p w14:paraId="0D435144" w14:textId="77777777" w:rsidR="000F14B8" w:rsidRPr="005B1EB2" w:rsidRDefault="000F14B8" w:rsidP="00174652">
            <w:pPr>
              <w:autoSpaceDE w:val="0"/>
              <w:autoSpaceDN w:val="0"/>
              <w:adjustRightInd w:val="0"/>
              <w:rPr>
                <w:rFonts w:cs="Arial"/>
                <w:b/>
                <w:sz w:val="14"/>
                <w:szCs w:val="14"/>
              </w:rPr>
            </w:pPr>
            <w:r w:rsidRPr="005B1EB2">
              <w:rPr>
                <w:rFonts w:cs="Arial"/>
                <w:b/>
                <w:sz w:val="14"/>
                <w:szCs w:val="14"/>
              </w:rPr>
              <w:t>1960s</w:t>
            </w:r>
          </w:p>
          <w:p w14:paraId="6A914B68"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Auctioneers, Stock and Station Real Estate Agents Act 1941</w:t>
            </w:r>
          </w:p>
        </w:tc>
        <w:tc>
          <w:tcPr>
            <w:tcW w:w="1498" w:type="dxa"/>
            <w:tcBorders>
              <w:top w:val="single" w:sz="4" w:space="0" w:color="auto"/>
              <w:left w:val="single" w:sz="4" w:space="0" w:color="auto"/>
              <w:bottom w:val="single" w:sz="4" w:space="0" w:color="auto"/>
              <w:right w:val="single" w:sz="4" w:space="0" w:color="auto"/>
            </w:tcBorders>
          </w:tcPr>
          <w:p w14:paraId="6306CD57" w14:textId="77777777" w:rsidR="000F14B8" w:rsidRPr="005B1EB2" w:rsidRDefault="000F14B8" w:rsidP="00174652">
            <w:pPr>
              <w:autoSpaceDE w:val="0"/>
              <w:autoSpaceDN w:val="0"/>
              <w:adjustRightInd w:val="0"/>
              <w:rPr>
                <w:rFonts w:cs="Arial"/>
                <w:sz w:val="14"/>
                <w:szCs w:val="14"/>
              </w:rPr>
            </w:pPr>
          </w:p>
          <w:p w14:paraId="1700666A"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Nominated subjects for accounting and agency practice</w:t>
            </w:r>
          </w:p>
        </w:tc>
        <w:tc>
          <w:tcPr>
            <w:tcW w:w="850" w:type="dxa"/>
            <w:tcBorders>
              <w:top w:val="single" w:sz="4" w:space="0" w:color="auto"/>
              <w:left w:val="single" w:sz="4" w:space="0" w:color="auto"/>
              <w:bottom w:val="single" w:sz="4" w:space="0" w:color="auto"/>
              <w:right w:val="single" w:sz="4" w:space="0" w:color="auto"/>
            </w:tcBorders>
          </w:tcPr>
          <w:p w14:paraId="0565A1E4"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tcPr>
          <w:p w14:paraId="27004FD7"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tcPr>
          <w:p w14:paraId="5203C4CB"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tcPr>
          <w:p w14:paraId="75A189D7" w14:textId="77777777" w:rsidR="000F14B8" w:rsidRPr="005B1EB2" w:rsidRDefault="000F14B8" w:rsidP="00174652">
            <w:pPr>
              <w:autoSpaceDE w:val="0"/>
              <w:autoSpaceDN w:val="0"/>
              <w:adjustRightInd w:val="0"/>
              <w:rPr>
                <w:rFonts w:cs="Arial"/>
                <w:sz w:val="14"/>
                <w:szCs w:val="14"/>
              </w:rPr>
            </w:pPr>
          </w:p>
          <w:p w14:paraId="51320519" w14:textId="77777777" w:rsidR="000F14B8" w:rsidRPr="005B1EB2" w:rsidRDefault="000F14B8" w:rsidP="00174652">
            <w:pPr>
              <w:autoSpaceDE w:val="0"/>
              <w:autoSpaceDN w:val="0"/>
              <w:adjustRightInd w:val="0"/>
              <w:rPr>
                <w:rFonts w:cs="Arial"/>
                <w:sz w:val="14"/>
                <w:szCs w:val="14"/>
              </w:rPr>
            </w:pPr>
          </w:p>
          <w:p w14:paraId="06FA8400"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6 months part time</w:t>
            </w:r>
          </w:p>
        </w:tc>
        <w:tc>
          <w:tcPr>
            <w:tcW w:w="992" w:type="dxa"/>
            <w:tcBorders>
              <w:top w:val="single" w:sz="4" w:space="0" w:color="auto"/>
              <w:left w:val="single" w:sz="4" w:space="0" w:color="auto"/>
              <w:bottom w:val="single" w:sz="4" w:space="0" w:color="auto"/>
              <w:right w:val="single" w:sz="4" w:space="0" w:color="auto"/>
            </w:tcBorders>
          </w:tcPr>
          <w:p w14:paraId="53A6A766"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tcPr>
          <w:p w14:paraId="3B70E51F" w14:textId="77777777" w:rsidR="000F14B8" w:rsidRPr="005B1EB2" w:rsidRDefault="000F14B8" w:rsidP="00174652">
            <w:pPr>
              <w:autoSpaceDE w:val="0"/>
              <w:autoSpaceDN w:val="0"/>
              <w:adjustRightInd w:val="0"/>
              <w:rPr>
                <w:rFonts w:cs="Arial"/>
                <w:sz w:val="14"/>
                <w:szCs w:val="14"/>
              </w:rPr>
            </w:pPr>
          </w:p>
        </w:tc>
      </w:tr>
      <w:tr w:rsidR="000F14B8" w14:paraId="5B973221" w14:textId="77777777" w:rsidTr="0035719A">
        <w:trPr>
          <w:trHeight w:hRule="exact" w:val="1007"/>
          <w:jc w:val="center"/>
        </w:trPr>
        <w:tc>
          <w:tcPr>
            <w:tcW w:w="1616" w:type="dxa"/>
            <w:tcBorders>
              <w:top w:val="single" w:sz="4" w:space="0" w:color="auto"/>
              <w:left w:val="single" w:sz="4" w:space="0" w:color="auto"/>
              <w:bottom w:val="single" w:sz="4" w:space="0" w:color="auto"/>
              <w:right w:val="single" w:sz="4" w:space="0" w:color="auto"/>
            </w:tcBorders>
          </w:tcPr>
          <w:p w14:paraId="698780C7" w14:textId="77777777" w:rsidR="000F14B8" w:rsidRPr="005B1EB2" w:rsidRDefault="000F14B8" w:rsidP="00174652">
            <w:pPr>
              <w:autoSpaceDE w:val="0"/>
              <w:autoSpaceDN w:val="0"/>
              <w:adjustRightInd w:val="0"/>
              <w:rPr>
                <w:rFonts w:cs="Arial"/>
                <w:b/>
                <w:sz w:val="14"/>
                <w:szCs w:val="14"/>
              </w:rPr>
            </w:pPr>
            <w:r w:rsidRPr="005B1EB2">
              <w:rPr>
                <w:rFonts w:cs="Arial"/>
                <w:b/>
                <w:sz w:val="14"/>
                <w:szCs w:val="14"/>
              </w:rPr>
              <w:t>1970s</w:t>
            </w:r>
          </w:p>
          <w:p w14:paraId="0E644802"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Auctioneers, Stock and Station Real Estate Agents Act 1941</w:t>
            </w:r>
          </w:p>
        </w:tc>
        <w:tc>
          <w:tcPr>
            <w:tcW w:w="1498" w:type="dxa"/>
            <w:tcBorders>
              <w:top w:val="single" w:sz="4" w:space="0" w:color="auto"/>
              <w:left w:val="single" w:sz="4" w:space="0" w:color="auto"/>
              <w:bottom w:val="single" w:sz="4" w:space="0" w:color="auto"/>
              <w:right w:val="single" w:sz="4" w:space="0" w:color="auto"/>
            </w:tcBorders>
          </w:tcPr>
          <w:p w14:paraId="382B35EA"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Nominated subjects for accounting, agency practice and law</w:t>
            </w:r>
          </w:p>
        </w:tc>
        <w:tc>
          <w:tcPr>
            <w:tcW w:w="850" w:type="dxa"/>
            <w:tcBorders>
              <w:top w:val="single" w:sz="4" w:space="0" w:color="auto"/>
              <w:left w:val="single" w:sz="4" w:space="0" w:color="auto"/>
              <w:bottom w:val="single" w:sz="4" w:space="0" w:color="auto"/>
              <w:right w:val="single" w:sz="4" w:space="0" w:color="auto"/>
            </w:tcBorders>
          </w:tcPr>
          <w:p w14:paraId="6CC02CE5"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tcPr>
          <w:p w14:paraId="238733B2"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tcPr>
          <w:p w14:paraId="14D6F9BA"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tcPr>
          <w:p w14:paraId="163701AE"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 xml:space="preserve"> </w:t>
            </w:r>
          </w:p>
          <w:p w14:paraId="57483106"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18 months part time</w:t>
            </w:r>
          </w:p>
        </w:tc>
        <w:tc>
          <w:tcPr>
            <w:tcW w:w="992" w:type="dxa"/>
            <w:tcBorders>
              <w:top w:val="single" w:sz="4" w:space="0" w:color="auto"/>
              <w:left w:val="single" w:sz="4" w:space="0" w:color="auto"/>
              <w:bottom w:val="single" w:sz="4" w:space="0" w:color="auto"/>
              <w:right w:val="single" w:sz="4" w:space="0" w:color="auto"/>
            </w:tcBorders>
          </w:tcPr>
          <w:p w14:paraId="078D9198"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tcPr>
          <w:p w14:paraId="5D172299" w14:textId="77777777" w:rsidR="000F14B8" w:rsidRPr="005B1EB2" w:rsidRDefault="000F14B8" w:rsidP="00174652">
            <w:pPr>
              <w:autoSpaceDE w:val="0"/>
              <w:autoSpaceDN w:val="0"/>
              <w:adjustRightInd w:val="0"/>
              <w:rPr>
                <w:rFonts w:cs="Arial"/>
                <w:sz w:val="14"/>
                <w:szCs w:val="14"/>
              </w:rPr>
            </w:pPr>
          </w:p>
        </w:tc>
      </w:tr>
      <w:tr w:rsidR="000F14B8" w14:paraId="79174F2C" w14:textId="77777777" w:rsidTr="0035719A">
        <w:trPr>
          <w:trHeight w:hRule="exact" w:val="980"/>
          <w:jc w:val="center"/>
        </w:trPr>
        <w:tc>
          <w:tcPr>
            <w:tcW w:w="1616" w:type="dxa"/>
            <w:tcBorders>
              <w:top w:val="single" w:sz="4" w:space="0" w:color="auto"/>
              <w:left w:val="single" w:sz="4" w:space="0" w:color="auto"/>
              <w:bottom w:val="single" w:sz="4" w:space="0" w:color="auto"/>
              <w:right w:val="single" w:sz="4" w:space="0" w:color="auto"/>
            </w:tcBorders>
          </w:tcPr>
          <w:p w14:paraId="526B0111" w14:textId="77777777" w:rsidR="000F14B8" w:rsidRPr="005B1EB2" w:rsidRDefault="000F14B8" w:rsidP="00174652">
            <w:pPr>
              <w:autoSpaceDE w:val="0"/>
              <w:autoSpaceDN w:val="0"/>
              <w:adjustRightInd w:val="0"/>
              <w:rPr>
                <w:rFonts w:cs="Arial"/>
                <w:b/>
                <w:sz w:val="14"/>
                <w:szCs w:val="14"/>
              </w:rPr>
            </w:pPr>
            <w:r w:rsidRPr="005B1EB2">
              <w:rPr>
                <w:rFonts w:cs="Arial"/>
                <w:b/>
                <w:sz w:val="14"/>
                <w:szCs w:val="14"/>
              </w:rPr>
              <w:t>1990s</w:t>
            </w:r>
          </w:p>
          <w:p w14:paraId="6E14C449" w14:textId="77777777" w:rsidR="000F14B8" w:rsidRPr="005B1EB2" w:rsidRDefault="000F14B8" w:rsidP="00174652">
            <w:pPr>
              <w:autoSpaceDE w:val="0"/>
              <w:autoSpaceDN w:val="0"/>
              <w:adjustRightInd w:val="0"/>
              <w:rPr>
                <w:rFonts w:cs="Arial"/>
                <w:b/>
                <w:sz w:val="14"/>
                <w:szCs w:val="14"/>
              </w:rPr>
            </w:pPr>
            <w:r w:rsidRPr="005B1EB2">
              <w:rPr>
                <w:rFonts w:cs="Arial"/>
                <w:sz w:val="14"/>
                <w:szCs w:val="14"/>
              </w:rPr>
              <w:t>Auctioneers, Stock and Station Real Estate Agents Act 1941</w:t>
            </w:r>
          </w:p>
        </w:tc>
        <w:tc>
          <w:tcPr>
            <w:tcW w:w="1498" w:type="dxa"/>
            <w:tcBorders>
              <w:top w:val="single" w:sz="4" w:space="0" w:color="auto"/>
              <w:left w:val="single" w:sz="4" w:space="0" w:color="auto"/>
              <w:bottom w:val="single" w:sz="4" w:space="0" w:color="auto"/>
              <w:right w:val="single" w:sz="4" w:space="0" w:color="auto"/>
            </w:tcBorders>
          </w:tcPr>
          <w:p w14:paraId="2DBB1FEE"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Subjects including accounting, law, ethics, agency practice</w:t>
            </w:r>
          </w:p>
        </w:tc>
        <w:tc>
          <w:tcPr>
            <w:tcW w:w="850" w:type="dxa"/>
            <w:tcBorders>
              <w:top w:val="single" w:sz="4" w:space="0" w:color="auto"/>
              <w:left w:val="single" w:sz="4" w:space="0" w:color="auto"/>
              <w:bottom w:val="single" w:sz="4" w:space="0" w:color="auto"/>
              <w:right w:val="single" w:sz="4" w:space="0" w:color="auto"/>
            </w:tcBorders>
          </w:tcPr>
          <w:p w14:paraId="7EC4A73A"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tcPr>
          <w:p w14:paraId="59505DFF"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tcPr>
          <w:p w14:paraId="7B32D846"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tcPr>
          <w:p w14:paraId="689FF10F"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3 years part time</w:t>
            </w:r>
          </w:p>
        </w:tc>
        <w:tc>
          <w:tcPr>
            <w:tcW w:w="992" w:type="dxa"/>
            <w:tcBorders>
              <w:top w:val="single" w:sz="4" w:space="0" w:color="auto"/>
              <w:left w:val="single" w:sz="4" w:space="0" w:color="auto"/>
              <w:bottom w:val="single" w:sz="4" w:space="0" w:color="auto"/>
              <w:right w:val="single" w:sz="4" w:space="0" w:color="auto"/>
            </w:tcBorders>
          </w:tcPr>
          <w:p w14:paraId="5AEFC190"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tcPr>
          <w:p w14:paraId="3AE1877B" w14:textId="77777777" w:rsidR="000F14B8" w:rsidRPr="005B1EB2" w:rsidRDefault="000F14B8" w:rsidP="00174652">
            <w:pPr>
              <w:autoSpaceDE w:val="0"/>
              <w:autoSpaceDN w:val="0"/>
              <w:adjustRightInd w:val="0"/>
              <w:rPr>
                <w:rFonts w:cs="Arial"/>
                <w:sz w:val="14"/>
                <w:szCs w:val="14"/>
              </w:rPr>
            </w:pPr>
          </w:p>
        </w:tc>
      </w:tr>
      <w:tr w:rsidR="000F14B8" w14:paraId="5E3EDA71" w14:textId="77777777" w:rsidTr="0035719A">
        <w:trPr>
          <w:trHeight w:hRule="exact" w:val="427"/>
          <w:jc w:val="center"/>
        </w:trPr>
        <w:tc>
          <w:tcPr>
            <w:tcW w:w="1616" w:type="dxa"/>
            <w:tcBorders>
              <w:top w:val="single" w:sz="4" w:space="0" w:color="auto"/>
              <w:left w:val="single" w:sz="4" w:space="0" w:color="auto"/>
              <w:bottom w:val="single" w:sz="4" w:space="0" w:color="auto"/>
              <w:right w:val="single" w:sz="4" w:space="0" w:color="auto"/>
            </w:tcBorders>
          </w:tcPr>
          <w:p w14:paraId="0E4554DB" w14:textId="77777777" w:rsidR="000F14B8" w:rsidRPr="005B1EB2" w:rsidRDefault="000F14B8" w:rsidP="00174652">
            <w:pPr>
              <w:autoSpaceDE w:val="0"/>
              <w:autoSpaceDN w:val="0"/>
              <w:adjustRightInd w:val="0"/>
              <w:rPr>
                <w:rFonts w:cs="Arial"/>
                <w:b/>
                <w:sz w:val="14"/>
                <w:szCs w:val="14"/>
              </w:rPr>
            </w:pPr>
            <w:r w:rsidRPr="005B1EB2">
              <w:rPr>
                <w:rFonts w:cs="Arial"/>
                <w:b/>
                <w:sz w:val="14"/>
                <w:szCs w:val="14"/>
              </w:rPr>
              <w:t>2000 to 2005</w:t>
            </w:r>
          </w:p>
          <w:p w14:paraId="14D5116E" w14:textId="77777777" w:rsidR="000F14B8" w:rsidRPr="005B1EB2" w:rsidRDefault="000F14B8" w:rsidP="00174652">
            <w:pPr>
              <w:autoSpaceDE w:val="0"/>
              <w:autoSpaceDN w:val="0"/>
              <w:adjustRightInd w:val="0"/>
              <w:rPr>
                <w:rFonts w:cs="Arial"/>
                <w:sz w:val="14"/>
                <w:szCs w:val="14"/>
              </w:rPr>
            </w:pPr>
          </w:p>
          <w:p w14:paraId="4D0A6175" w14:textId="77777777" w:rsidR="000F14B8" w:rsidRPr="005B1EB2" w:rsidRDefault="000F14B8" w:rsidP="00174652">
            <w:pPr>
              <w:autoSpaceDE w:val="0"/>
              <w:autoSpaceDN w:val="0"/>
              <w:adjustRightInd w:val="0"/>
              <w:rPr>
                <w:rFonts w:cs="Arial"/>
                <w:sz w:val="14"/>
                <w:szCs w:val="14"/>
              </w:rPr>
            </w:pPr>
          </w:p>
          <w:p w14:paraId="22499DB2" w14:textId="77777777" w:rsidR="000F14B8" w:rsidRPr="005B1EB2" w:rsidRDefault="000F14B8" w:rsidP="00174652">
            <w:pPr>
              <w:autoSpaceDE w:val="0"/>
              <w:autoSpaceDN w:val="0"/>
              <w:adjustRightInd w:val="0"/>
              <w:rPr>
                <w:rFonts w:cs="Arial"/>
                <w:sz w:val="14"/>
                <w:szCs w:val="14"/>
              </w:rPr>
            </w:pPr>
          </w:p>
        </w:tc>
        <w:tc>
          <w:tcPr>
            <w:tcW w:w="1498" w:type="dxa"/>
            <w:tcBorders>
              <w:top w:val="single" w:sz="4" w:space="0" w:color="auto"/>
              <w:left w:val="single" w:sz="4" w:space="0" w:color="auto"/>
              <w:bottom w:val="single" w:sz="4" w:space="0" w:color="auto"/>
              <w:right w:val="single" w:sz="4" w:space="0" w:color="auto"/>
            </w:tcBorders>
          </w:tcPr>
          <w:p w14:paraId="7D33877B"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Diploma</w:t>
            </w:r>
          </w:p>
        </w:tc>
        <w:tc>
          <w:tcPr>
            <w:tcW w:w="850" w:type="dxa"/>
            <w:tcBorders>
              <w:top w:val="single" w:sz="4" w:space="0" w:color="auto"/>
              <w:left w:val="single" w:sz="4" w:space="0" w:color="auto"/>
              <w:bottom w:val="single" w:sz="4" w:space="0" w:color="auto"/>
              <w:right w:val="single" w:sz="4" w:space="0" w:color="auto"/>
            </w:tcBorders>
          </w:tcPr>
          <w:p w14:paraId="3CE18760"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tcPr>
          <w:p w14:paraId="331333EF"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tcPr>
          <w:p w14:paraId="02BC2B4C"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PRD01</w:t>
            </w:r>
          </w:p>
        </w:tc>
        <w:tc>
          <w:tcPr>
            <w:tcW w:w="992" w:type="dxa"/>
            <w:tcBorders>
              <w:top w:val="single" w:sz="4" w:space="0" w:color="auto"/>
              <w:left w:val="single" w:sz="4" w:space="0" w:color="auto"/>
              <w:bottom w:val="single" w:sz="4" w:space="0" w:color="auto"/>
              <w:right w:val="single" w:sz="4" w:space="0" w:color="auto"/>
            </w:tcBorders>
          </w:tcPr>
          <w:p w14:paraId="07D5C36D"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2 to 3 years part time</w:t>
            </w:r>
          </w:p>
        </w:tc>
        <w:tc>
          <w:tcPr>
            <w:tcW w:w="992" w:type="dxa"/>
            <w:tcBorders>
              <w:top w:val="single" w:sz="4" w:space="0" w:color="auto"/>
              <w:left w:val="single" w:sz="4" w:space="0" w:color="auto"/>
              <w:bottom w:val="single" w:sz="4" w:space="0" w:color="auto"/>
              <w:right w:val="single" w:sz="4" w:space="0" w:color="auto"/>
            </w:tcBorders>
          </w:tcPr>
          <w:p w14:paraId="2EB6E4A6"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tcPr>
          <w:p w14:paraId="396E79AE"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CPP07</w:t>
            </w:r>
          </w:p>
        </w:tc>
      </w:tr>
      <w:tr w:rsidR="000F14B8" w14:paraId="34728F71" w14:textId="77777777" w:rsidTr="0035719A">
        <w:trPr>
          <w:trHeight w:val="555"/>
          <w:jc w:val="center"/>
        </w:trPr>
        <w:tc>
          <w:tcPr>
            <w:tcW w:w="1616" w:type="dxa"/>
            <w:tcBorders>
              <w:top w:val="single" w:sz="4" w:space="0" w:color="auto"/>
              <w:left w:val="single" w:sz="4" w:space="0" w:color="auto"/>
              <w:bottom w:val="single" w:sz="4" w:space="0" w:color="auto"/>
              <w:right w:val="single" w:sz="4" w:space="0" w:color="auto"/>
            </w:tcBorders>
            <w:hideMark/>
          </w:tcPr>
          <w:p w14:paraId="2C4F1B7C" w14:textId="77777777" w:rsidR="000F14B8" w:rsidRPr="005B1EB2" w:rsidRDefault="000F14B8" w:rsidP="00174652">
            <w:pPr>
              <w:autoSpaceDE w:val="0"/>
              <w:autoSpaceDN w:val="0"/>
              <w:adjustRightInd w:val="0"/>
              <w:rPr>
                <w:rFonts w:cs="Arial"/>
                <w:b/>
                <w:sz w:val="14"/>
                <w:szCs w:val="14"/>
              </w:rPr>
            </w:pPr>
            <w:r w:rsidRPr="005B1EB2">
              <w:rPr>
                <w:rFonts w:cs="Arial"/>
                <w:b/>
                <w:sz w:val="14"/>
                <w:szCs w:val="14"/>
              </w:rPr>
              <w:lastRenderedPageBreak/>
              <w:t>2005 to 2009</w:t>
            </w:r>
          </w:p>
        </w:tc>
        <w:tc>
          <w:tcPr>
            <w:tcW w:w="1498" w:type="dxa"/>
            <w:tcBorders>
              <w:top w:val="single" w:sz="4" w:space="0" w:color="auto"/>
              <w:left w:val="single" w:sz="4" w:space="0" w:color="auto"/>
              <w:bottom w:val="single" w:sz="4" w:space="0" w:color="auto"/>
              <w:right w:val="single" w:sz="4" w:space="0" w:color="auto"/>
            </w:tcBorders>
            <w:hideMark/>
          </w:tcPr>
          <w:p w14:paraId="71DE363E"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Certificate IV In Property Services (Real Estate)</w:t>
            </w:r>
          </w:p>
        </w:tc>
        <w:tc>
          <w:tcPr>
            <w:tcW w:w="850" w:type="dxa"/>
            <w:tcBorders>
              <w:top w:val="single" w:sz="4" w:space="0" w:color="auto"/>
              <w:left w:val="single" w:sz="4" w:space="0" w:color="auto"/>
              <w:bottom w:val="single" w:sz="4" w:space="0" w:color="auto"/>
              <w:right w:val="single" w:sz="4" w:space="0" w:color="auto"/>
            </w:tcBorders>
            <w:hideMark/>
          </w:tcPr>
          <w:p w14:paraId="74D3CC53"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9672 and 9674</w:t>
            </w:r>
          </w:p>
        </w:tc>
        <w:tc>
          <w:tcPr>
            <w:tcW w:w="993" w:type="dxa"/>
            <w:tcBorders>
              <w:top w:val="single" w:sz="4" w:space="0" w:color="auto"/>
              <w:left w:val="single" w:sz="4" w:space="0" w:color="auto"/>
              <w:bottom w:val="single" w:sz="4" w:space="0" w:color="auto"/>
              <w:right w:val="single" w:sz="4" w:space="0" w:color="auto"/>
            </w:tcBorders>
            <w:hideMark/>
          </w:tcPr>
          <w:p w14:paraId="7C528A41"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90779NSW</w:t>
            </w:r>
          </w:p>
        </w:tc>
        <w:tc>
          <w:tcPr>
            <w:tcW w:w="992" w:type="dxa"/>
            <w:tcBorders>
              <w:top w:val="single" w:sz="4" w:space="0" w:color="auto"/>
              <w:left w:val="single" w:sz="4" w:space="0" w:color="auto"/>
              <w:bottom w:val="single" w:sz="4" w:space="0" w:color="auto"/>
              <w:right w:val="single" w:sz="4" w:space="0" w:color="auto"/>
            </w:tcBorders>
            <w:hideMark/>
          </w:tcPr>
          <w:p w14:paraId="058ED46E"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PRD01</w:t>
            </w:r>
          </w:p>
        </w:tc>
        <w:tc>
          <w:tcPr>
            <w:tcW w:w="992" w:type="dxa"/>
            <w:tcBorders>
              <w:top w:val="single" w:sz="4" w:space="0" w:color="auto"/>
              <w:left w:val="single" w:sz="4" w:space="0" w:color="auto"/>
              <w:bottom w:val="single" w:sz="4" w:space="0" w:color="auto"/>
              <w:right w:val="single" w:sz="4" w:space="0" w:color="auto"/>
            </w:tcBorders>
            <w:hideMark/>
          </w:tcPr>
          <w:p w14:paraId="53783A54"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2 years part time</w:t>
            </w:r>
          </w:p>
        </w:tc>
        <w:tc>
          <w:tcPr>
            <w:tcW w:w="992" w:type="dxa"/>
            <w:tcBorders>
              <w:top w:val="single" w:sz="4" w:space="0" w:color="auto"/>
              <w:left w:val="single" w:sz="4" w:space="0" w:color="auto"/>
              <w:bottom w:val="single" w:sz="4" w:space="0" w:color="auto"/>
              <w:right w:val="single" w:sz="4" w:space="0" w:color="auto"/>
            </w:tcBorders>
          </w:tcPr>
          <w:p w14:paraId="46629576"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14:paraId="4F0CADC0"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CPP07</w:t>
            </w:r>
          </w:p>
        </w:tc>
      </w:tr>
      <w:tr w:rsidR="000F14B8" w14:paraId="492794A7" w14:textId="77777777" w:rsidTr="0035719A">
        <w:trPr>
          <w:trHeight w:hRule="exact" w:val="742"/>
          <w:jc w:val="center"/>
        </w:trPr>
        <w:tc>
          <w:tcPr>
            <w:tcW w:w="1616" w:type="dxa"/>
            <w:tcBorders>
              <w:top w:val="single" w:sz="4" w:space="0" w:color="auto"/>
              <w:left w:val="single" w:sz="4" w:space="0" w:color="auto"/>
              <w:bottom w:val="single" w:sz="4" w:space="0" w:color="auto"/>
              <w:right w:val="single" w:sz="4" w:space="0" w:color="auto"/>
            </w:tcBorders>
            <w:hideMark/>
          </w:tcPr>
          <w:p w14:paraId="29F5C316" w14:textId="77777777" w:rsidR="000F14B8" w:rsidRPr="005B1EB2" w:rsidRDefault="000F14B8" w:rsidP="00174652">
            <w:pPr>
              <w:autoSpaceDE w:val="0"/>
              <w:autoSpaceDN w:val="0"/>
              <w:adjustRightInd w:val="0"/>
              <w:rPr>
                <w:rFonts w:cs="Arial"/>
                <w:b/>
                <w:sz w:val="14"/>
                <w:szCs w:val="14"/>
              </w:rPr>
            </w:pPr>
            <w:r w:rsidRPr="005B1EB2">
              <w:rPr>
                <w:rFonts w:cs="Arial"/>
                <w:b/>
                <w:sz w:val="14"/>
                <w:szCs w:val="14"/>
              </w:rPr>
              <w:t>2005 to 2009</w:t>
            </w:r>
          </w:p>
        </w:tc>
        <w:tc>
          <w:tcPr>
            <w:tcW w:w="1498" w:type="dxa"/>
            <w:tcBorders>
              <w:top w:val="single" w:sz="4" w:space="0" w:color="auto"/>
              <w:left w:val="single" w:sz="4" w:space="0" w:color="auto"/>
              <w:bottom w:val="single" w:sz="4" w:space="0" w:color="auto"/>
              <w:right w:val="single" w:sz="4" w:space="0" w:color="auto"/>
            </w:tcBorders>
          </w:tcPr>
          <w:p w14:paraId="5449DF15"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Certificate IV in Property Services (Operations)</w:t>
            </w:r>
          </w:p>
          <w:p w14:paraId="31001C65" w14:textId="77777777" w:rsidR="000F14B8" w:rsidRPr="005B1EB2" w:rsidRDefault="000F14B8" w:rsidP="00174652">
            <w:pPr>
              <w:autoSpaceDE w:val="0"/>
              <w:autoSpaceDN w:val="0"/>
              <w:adjustRightInd w:val="0"/>
              <w:rPr>
                <w:rFonts w:cs="Arial"/>
                <w:sz w:val="14"/>
                <w:szCs w:val="14"/>
              </w:rPr>
            </w:pPr>
          </w:p>
          <w:p w14:paraId="6C4E1A84" w14:textId="77777777" w:rsidR="000F14B8" w:rsidRPr="005B1EB2" w:rsidRDefault="000F14B8" w:rsidP="00174652">
            <w:pPr>
              <w:autoSpaceDE w:val="0"/>
              <w:autoSpaceDN w:val="0"/>
              <w:adjustRightInd w:val="0"/>
              <w:rPr>
                <w:rFonts w:cs="Arial"/>
                <w:sz w:val="14"/>
                <w:szCs w:val="14"/>
              </w:rPr>
            </w:pPr>
          </w:p>
        </w:tc>
        <w:tc>
          <w:tcPr>
            <w:tcW w:w="850" w:type="dxa"/>
            <w:tcBorders>
              <w:top w:val="single" w:sz="4" w:space="0" w:color="auto"/>
              <w:left w:val="single" w:sz="4" w:space="0" w:color="auto"/>
              <w:bottom w:val="single" w:sz="4" w:space="0" w:color="auto"/>
              <w:right w:val="single" w:sz="4" w:space="0" w:color="auto"/>
            </w:tcBorders>
            <w:hideMark/>
          </w:tcPr>
          <w:p w14:paraId="0B5C3344"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17685</w:t>
            </w:r>
          </w:p>
        </w:tc>
        <w:tc>
          <w:tcPr>
            <w:tcW w:w="993" w:type="dxa"/>
            <w:tcBorders>
              <w:top w:val="single" w:sz="4" w:space="0" w:color="auto"/>
              <w:left w:val="single" w:sz="4" w:space="0" w:color="auto"/>
              <w:bottom w:val="single" w:sz="4" w:space="0" w:color="auto"/>
              <w:right w:val="single" w:sz="4" w:space="0" w:color="auto"/>
            </w:tcBorders>
            <w:hideMark/>
          </w:tcPr>
          <w:p w14:paraId="6B276E2C"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CPP40607</w:t>
            </w:r>
          </w:p>
        </w:tc>
        <w:tc>
          <w:tcPr>
            <w:tcW w:w="992" w:type="dxa"/>
            <w:tcBorders>
              <w:top w:val="single" w:sz="4" w:space="0" w:color="auto"/>
              <w:left w:val="single" w:sz="4" w:space="0" w:color="auto"/>
              <w:bottom w:val="single" w:sz="4" w:space="0" w:color="auto"/>
              <w:right w:val="single" w:sz="4" w:space="0" w:color="auto"/>
            </w:tcBorders>
            <w:hideMark/>
          </w:tcPr>
          <w:p w14:paraId="62BA9035"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CPP07 Property Services</w:t>
            </w:r>
          </w:p>
        </w:tc>
        <w:tc>
          <w:tcPr>
            <w:tcW w:w="992" w:type="dxa"/>
            <w:tcBorders>
              <w:top w:val="single" w:sz="4" w:space="0" w:color="auto"/>
              <w:left w:val="single" w:sz="4" w:space="0" w:color="auto"/>
              <w:bottom w:val="single" w:sz="4" w:space="0" w:color="auto"/>
              <w:right w:val="single" w:sz="4" w:space="0" w:color="auto"/>
            </w:tcBorders>
          </w:tcPr>
          <w:p w14:paraId="2A3B35C5"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570 hours</w:t>
            </w:r>
          </w:p>
          <w:p w14:paraId="3C8A8B5A"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hideMark/>
          </w:tcPr>
          <w:p w14:paraId="2A10CBCC" w14:textId="77777777" w:rsidR="000F14B8" w:rsidRPr="005B1EB2" w:rsidRDefault="000F14B8" w:rsidP="004B7CC1">
            <w:pPr>
              <w:autoSpaceDE w:val="0"/>
              <w:autoSpaceDN w:val="0"/>
              <w:adjustRightInd w:val="0"/>
              <w:jc w:val="center"/>
              <w:rPr>
                <w:rFonts w:cs="Arial"/>
                <w:sz w:val="14"/>
                <w:szCs w:val="14"/>
              </w:rPr>
            </w:pPr>
            <w:r w:rsidRPr="005B1EB2">
              <w:rPr>
                <w:rFonts w:cs="Arial"/>
                <w:sz w:val="14"/>
                <w:szCs w:val="14"/>
              </w:rPr>
              <w:t>19196 Property (Operations)</w:t>
            </w:r>
          </w:p>
        </w:tc>
        <w:tc>
          <w:tcPr>
            <w:tcW w:w="993" w:type="dxa"/>
            <w:tcBorders>
              <w:top w:val="single" w:sz="4" w:space="0" w:color="auto"/>
              <w:left w:val="single" w:sz="4" w:space="0" w:color="auto"/>
              <w:bottom w:val="single" w:sz="4" w:space="0" w:color="auto"/>
              <w:right w:val="single" w:sz="4" w:space="0" w:color="auto"/>
            </w:tcBorders>
            <w:hideMark/>
          </w:tcPr>
          <w:p w14:paraId="61670B41"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18366</w:t>
            </w:r>
          </w:p>
        </w:tc>
      </w:tr>
      <w:tr w:rsidR="000F14B8" w14:paraId="2D287FE8" w14:textId="77777777" w:rsidTr="0035719A">
        <w:trPr>
          <w:trHeight w:val="699"/>
          <w:jc w:val="center"/>
        </w:trPr>
        <w:tc>
          <w:tcPr>
            <w:tcW w:w="1616" w:type="dxa"/>
            <w:tcBorders>
              <w:top w:val="single" w:sz="4" w:space="0" w:color="auto"/>
              <w:left w:val="single" w:sz="4" w:space="0" w:color="auto"/>
              <w:bottom w:val="single" w:sz="4" w:space="0" w:color="auto"/>
              <w:right w:val="single" w:sz="4" w:space="0" w:color="auto"/>
            </w:tcBorders>
            <w:hideMark/>
          </w:tcPr>
          <w:p w14:paraId="0E7EB4EB"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1</w:t>
            </w:r>
            <w:r w:rsidRPr="005B1EB2">
              <w:rPr>
                <w:rFonts w:cs="Arial"/>
                <w:b/>
                <w:sz w:val="14"/>
                <w:szCs w:val="14"/>
              </w:rPr>
              <w:t>9/6/2009 to 23/2/2012</w:t>
            </w:r>
          </w:p>
        </w:tc>
        <w:tc>
          <w:tcPr>
            <w:tcW w:w="1498" w:type="dxa"/>
            <w:tcBorders>
              <w:top w:val="single" w:sz="4" w:space="0" w:color="auto"/>
              <w:left w:val="single" w:sz="4" w:space="0" w:color="auto"/>
              <w:bottom w:val="single" w:sz="4" w:space="0" w:color="auto"/>
              <w:right w:val="single" w:sz="4" w:space="0" w:color="auto"/>
            </w:tcBorders>
            <w:hideMark/>
          </w:tcPr>
          <w:p w14:paraId="2DEF6494"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Certificate IV in Property Services (Operations)</w:t>
            </w:r>
          </w:p>
        </w:tc>
        <w:tc>
          <w:tcPr>
            <w:tcW w:w="850" w:type="dxa"/>
            <w:tcBorders>
              <w:top w:val="single" w:sz="4" w:space="0" w:color="auto"/>
              <w:left w:val="single" w:sz="4" w:space="0" w:color="auto"/>
              <w:bottom w:val="single" w:sz="4" w:space="0" w:color="auto"/>
              <w:right w:val="single" w:sz="4" w:space="0" w:color="auto"/>
            </w:tcBorders>
            <w:hideMark/>
          </w:tcPr>
          <w:p w14:paraId="53F24700"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18366</w:t>
            </w:r>
          </w:p>
        </w:tc>
        <w:tc>
          <w:tcPr>
            <w:tcW w:w="993" w:type="dxa"/>
            <w:tcBorders>
              <w:top w:val="single" w:sz="4" w:space="0" w:color="auto"/>
              <w:left w:val="single" w:sz="4" w:space="0" w:color="auto"/>
              <w:bottom w:val="single" w:sz="4" w:space="0" w:color="auto"/>
              <w:right w:val="single" w:sz="4" w:space="0" w:color="auto"/>
            </w:tcBorders>
            <w:hideMark/>
          </w:tcPr>
          <w:p w14:paraId="109A9E8C"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CPP40609</w:t>
            </w:r>
          </w:p>
        </w:tc>
        <w:tc>
          <w:tcPr>
            <w:tcW w:w="992" w:type="dxa"/>
            <w:tcBorders>
              <w:top w:val="single" w:sz="4" w:space="0" w:color="auto"/>
              <w:left w:val="single" w:sz="4" w:space="0" w:color="auto"/>
              <w:bottom w:val="single" w:sz="4" w:space="0" w:color="auto"/>
              <w:right w:val="single" w:sz="4" w:space="0" w:color="auto"/>
            </w:tcBorders>
            <w:hideMark/>
          </w:tcPr>
          <w:p w14:paraId="16C128A5"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CPP07 Property Services</w:t>
            </w:r>
          </w:p>
        </w:tc>
        <w:tc>
          <w:tcPr>
            <w:tcW w:w="992" w:type="dxa"/>
            <w:tcBorders>
              <w:top w:val="single" w:sz="4" w:space="0" w:color="auto"/>
              <w:left w:val="single" w:sz="4" w:space="0" w:color="auto"/>
              <w:bottom w:val="single" w:sz="4" w:space="0" w:color="auto"/>
              <w:right w:val="single" w:sz="4" w:space="0" w:color="auto"/>
            </w:tcBorders>
            <w:hideMark/>
          </w:tcPr>
          <w:p w14:paraId="0B40F5DF"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590 hours</w:t>
            </w:r>
          </w:p>
        </w:tc>
        <w:tc>
          <w:tcPr>
            <w:tcW w:w="992" w:type="dxa"/>
            <w:tcBorders>
              <w:top w:val="single" w:sz="4" w:space="0" w:color="auto"/>
              <w:left w:val="single" w:sz="4" w:space="0" w:color="auto"/>
              <w:bottom w:val="single" w:sz="4" w:space="0" w:color="auto"/>
              <w:right w:val="single" w:sz="4" w:space="0" w:color="auto"/>
            </w:tcBorders>
            <w:hideMark/>
          </w:tcPr>
          <w:p w14:paraId="56251AC4"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17685 Property Services Operations</w:t>
            </w:r>
          </w:p>
        </w:tc>
        <w:tc>
          <w:tcPr>
            <w:tcW w:w="993" w:type="dxa"/>
            <w:tcBorders>
              <w:top w:val="single" w:sz="4" w:space="0" w:color="auto"/>
              <w:left w:val="single" w:sz="4" w:space="0" w:color="auto"/>
              <w:bottom w:val="single" w:sz="4" w:space="0" w:color="auto"/>
              <w:right w:val="single" w:sz="4" w:space="0" w:color="auto"/>
            </w:tcBorders>
            <w:hideMark/>
          </w:tcPr>
          <w:p w14:paraId="6880B83A"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11168 Property Services Operations</w:t>
            </w:r>
          </w:p>
        </w:tc>
      </w:tr>
      <w:tr w:rsidR="000F14B8" w14:paraId="4AAF6C26" w14:textId="77777777" w:rsidTr="0035719A">
        <w:trPr>
          <w:trHeight w:val="411"/>
          <w:jc w:val="center"/>
        </w:trPr>
        <w:tc>
          <w:tcPr>
            <w:tcW w:w="1616" w:type="dxa"/>
            <w:tcBorders>
              <w:top w:val="single" w:sz="4" w:space="0" w:color="auto"/>
              <w:left w:val="single" w:sz="4" w:space="0" w:color="auto"/>
              <w:bottom w:val="single" w:sz="4" w:space="0" w:color="auto"/>
              <w:right w:val="single" w:sz="4" w:space="0" w:color="auto"/>
            </w:tcBorders>
            <w:hideMark/>
          </w:tcPr>
          <w:p w14:paraId="05BFC445" w14:textId="77777777" w:rsidR="000F14B8" w:rsidRPr="005B1EB2" w:rsidRDefault="000F14B8" w:rsidP="00174652">
            <w:pPr>
              <w:autoSpaceDE w:val="0"/>
              <w:autoSpaceDN w:val="0"/>
              <w:adjustRightInd w:val="0"/>
              <w:rPr>
                <w:rFonts w:cs="Arial"/>
                <w:b/>
                <w:sz w:val="14"/>
                <w:szCs w:val="14"/>
              </w:rPr>
            </w:pPr>
            <w:r w:rsidRPr="005B1EB2">
              <w:rPr>
                <w:rFonts w:cs="Arial"/>
                <w:b/>
                <w:sz w:val="14"/>
                <w:szCs w:val="14"/>
              </w:rPr>
              <w:t>24/2/2012  to 5/7/2012</w:t>
            </w:r>
          </w:p>
        </w:tc>
        <w:tc>
          <w:tcPr>
            <w:tcW w:w="1498" w:type="dxa"/>
            <w:tcBorders>
              <w:top w:val="single" w:sz="4" w:space="0" w:color="auto"/>
              <w:left w:val="single" w:sz="4" w:space="0" w:color="auto"/>
              <w:bottom w:val="single" w:sz="4" w:space="0" w:color="auto"/>
              <w:right w:val="single" w:sz="4" w:space="0" w:color="auto"/>
            </w:tcBorders>
            <w:hideMark/>
          </w:tcPr>
          <w:p w14:paraId="28D94E81"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Certificate IV</w:t>
            </w:r>
          </w:p>
        </w:tc>
        <w:tc>
          <w:tcPr>
            <w:tcW w:w="850" w:type="dxa"/>
            <w:tcBorders>
              <w:top w:val="single" w:sz="4" w:space="0" w:color="auto"/>
              <w:left w:val="single" w:sz="4" w:space="0" w:color="auto"/>
              <w:bottom w:val="single" w:sz="4" w:space="0" w:color="auto"/>
              <w:right w:val="single" w:sz="4" w:space="0" w:color="auto"/>
            </w:tcBorders>
          </w:tcPr>
          <w:p w14:paraId="33A5709F" w14:textId="77777777" w:rsidR="000F14B8" w:rsidRPr="005B1EB2" w:rsidRDefault="000F14B8" w:rsidP="00174652">
            <w:pPr>
              <w:autoSpaceDE w:val="0"/>
              <w:autoSpaceDN w:val="0"/>
              <w:adjustRightInd w:val="0"/>
              <w:rPr>
                <w:rFonts w:cs="Arial"/>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14:paraId="6CDE61B8"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CPP40609 OR</w:t>
            </w:r>
          </w:p>
          <w:p w14:paraId="2A57C782"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CPP40611</w:t>
            </w:r>
          </w:p>
        </w:tc>
        <w:tc>
          <w:tcPr>
            <w:tcW w:w="992" w:type="dxa"/>
            <w:tcBorders>
              <w:top w:val="single" w:sz="4" w:space="0" w:color="auto"/>
              <w:left w:val="single" w:sz="4" w:space="0" w:color="auto"/>
              <w:bottom w:val="single" w:sz="4" w:space="0" w:color="auto"/>
              <w:right w:val="single" w:sz="4" w:space="0" w:color="auto"/>
            </w:tcBorders>
            <w:hideMark/>
          </w:tcPr>
          <w:p w14:paraId="048D7CDA"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Transitional</w:t>
            </w:r>
          </w:p>
        </w:tc>
        <w:tc>
          <w:tcPr>
            <w:tcW w:w="992" w:type="dxa"/>
            <w:tcBorders>
              <w:top w:val="single" w:sz="4" w:space="0" w:color="auto"/>
              <w:left w:val="single" w:sz="4" w:space="0" w:color="auto"/>
              <w:bottom w:val="single" w:sz="4" w:space="0" w:color="auto"/>
              <w:right w:val="single" w:sz="4" w:space="0" w:color="auto"/>
            </w:tcBorders>
          </w:tcPr>
          <w:p w14:paraId="42FB7AA2" w14:textId="77777777" w:rsidR="000F14B8" w:rsidRPr="005B1EB2" w:rsidRDefault="000F14B8" w:rsidP="00174652">
            <w:pPr>
              <w:autoSpaceDE w:val="0"/>
              <w:autoSpaceDN w:val="0"/>
              <w:adjustRightInd w:val="0"/>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hideMark/>
          </w:tcPr>
          <w:p w14:paraId="449C5E9C"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Transitional</w:t>
            </w:r>
          </w:p>
        </w:tc>
        <w:tc>
          <w:tcPr>
            <w:tcW w:w="993" w:type="dxa"/>
            <w:tcBorders>
              <w:top w:val="single" w:sz="4" w:space="0" w:color="auto"/>
              <w:left w:val="single" w:sz="4" w:space="0" w:color="auto"/>
              <w:bottom w:val="single" w:sz="4" w:space="0" w:color="auto"/>
              <w:right w:val="single" w:sz="4" w:space="0" w:color="auto"/>
            </w:tcBorders>
            <w:hideMark/>
          </w:tcPr>
          <w:p w14:paraId="3DE664A2"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 xml:space="preserve">Transitional </w:t>
            </w:r>
          </w:p>
        </w:tc>
      </w:tr>
      <w:tr w:rsidR="000F14B8" w14:paraId="5D59DEB7" w14:textId="77777777" w:rsidTr="0035719A">
        <w:trPr>
          <w:trHeight w:val="475"/>
          <w:jc w:val="center"/>
        </w:trPr>
        <w:tc>
          <w:tcPr>
            <w:tcW w:w="1616" w:type="dxa"/>
            <w:tcBorders>
              <w:top w:val="single" w:sz="4" w:space="0" w:color="auto"/>
              <w:left w:val="single" w:sz="4" w:space="0" w:color="auto"/>
              <w:bottom w:val="single" w:sz="4" w:space="0" w:color="auto"/>
              <w:right w:val="single" w:sz="4" w:space="0" w:color="auto"/>
            </w:tcBorders>
            <w:hideMark/>
          </w:tcPr>
          <w:p w14:paraId="46D4CAB7" w14:textId="77777777" w:rsidR="000F14B8" w:rsidRPr="005B1EB2" w:rsidRDefault="000F14B8" w:rsidP="00174652">
            <w:pPr>
              <w:autoSpaceDE w:val="0"/>
              <w:autoSpaceDN w:val="0"/>
              <w:adjustRightInd w:val="0"/>
              <w:rPr>
                <w:rFonts w:cs="Arial"/>
                <w:b/>
                <w:sz w:val="14"/>
                <w:szCs w:val="14"/>
              </w:rPr>
            </w:pPr>
            <w:r w:rsidRPr="005B1EB2">
              <w:rPr>
                <w:rFonts w:cs="Arial"/>
                <w:b/>
                <w:sz w:val="14"/>
                <w:szCs w:val="14"/>
              </w:rPr>
              <w:t>6/7/2012 to 2019</w:t>
            </w:r>
          </w:p>
        </w:tc>
        <w:tc>
          <w:tcPr>
            <w:tcW w:w="1498" w:type="dxa"/>
            <w:tcBorders>
              <w:top w:val="single" w:sz="4" w:space="0" w:color="auto"/>
              <w:left w:val="single" w:sz="4" w:space="0" w:color="auto"/>
              <w:bottom w:val="single" w:sz="4" w:space="0" w:color="auto"/>
              <w:right w:val="single" w:sz="4" w:space="0" w:color="auto"/>
            </w:tcBorders>
            <w:hideMark/>
          </w:tcPr>
          <w:p w14:paraId="6C71B14F"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Certificate IV  in Property Services (Real Estate)</w:t>
            </w:r>
          </w:p>
        </w:tc>
        <w:tc>
          <w:tcPr>
            <w:tcW w:w="850" w:type="dxa"/>
            <w:tcBorders>
              <w:top w:val="single" w:sz="4" w:space="0" w:color="auto"/>
              <w:left w:val="single" w:sz="4" w:space="0" w:color="auto"/>
              <w:bottom w:val="single" w:sz="4" w:space="0" w:color="auto"/>
              <w:right w:val="single" w:sz="4" w:space="0" w:color="auto"/>
            </w:tcBorders>
            <w:hideMark/>
          </w:tcPr>
          <w:p w14:paraId="60AC13F1"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17672</w:t>
            </w:r>
          </w:p>
        </w:tc>
        <w:tc>
          <w:tcPr>
            <w:tcW w:w="993" w:type="dxa"/>
            <w:tcBorders>
              <w:top w:val="single" w:sz="4" w:space="0" w:color="auto"/>
              <w:left w:val="single" w:sz="4" w:space="0" w:color="auto"/>
              <w:bottom w:val="single" w:sz="4" w:space="0" w:color="auto"/>
              <w:right w:val="single" w:sz="4" w:space="0" w:color="auto"/>
            </w:tcBorders>
            <w:hideMark/>
          </w:tcPr>
          <w:p w14:paraId="4485E249"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CPP40307</w:t>
            </w:r>
          </w:p>
        </w:tc>
        <w:tc>
          <w:tcPr>
            <w:tcW w:w="992" w:type="dxa"/>
            <w:tcBorders>
              <w:top w:val="single" w:sz="4" w:space="0" w:color="auto"/>
              <w:left w:val="single" w:sz="4" w:space="0" w:color="auto"/>
              <w:bottom w:val="single" w:sz="4" w:space="0" w:color="auto"/>
              <w:right w:val="single" w:sz="4" w:space="0" w:color="auto"/>
            </w:tcBorders>
            <w:hideMark/>
          </w:tcPr>
          <w:p w14:paraId="5F46ED46"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CPP07 Property Services</w:t>
            </w:r>
          </w:p>
        </w:tc>
        <w:tc>
          <w:tcPr>
            <w:tcW w:w="992" w:type="dxa"/>
            <w:tcBorders>
              <w:top w:val="single" w:sz="4" w:space="0" w:color="auto"/>
              <w:left w:val="single" w:sz="4" w:space="0" w:color="auto"/>
              <w:bottom w:val="single" w:sz="4" w:space="0" w:color="auto"/>
              <w:right w:val="single" w:sz="4" w:space="0" w:color="auto"/>
            </w:tcBorders>
            <w:hideMark/>
          </w:tcPr>
          <w:p w14:paraId="3F097FB4"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730 hours</w:t>
            </w:r>
          </w:p>
        </w:tc>
        <w:tc>
          <w:tcPr>
            <w:tcW w:w="992" w:type="dxa"/>
            <w:tcBorders>
              <w:top w:val="single" w:sz="4" w:space="0" w:color="auto"/>
              <w:left w:val="single" w:sz="4" w:space="0" w:color="auto"/>
              <w:bottom w:val="single" w:sz="4" w:space="0" w:color="auto"/>
              <w:right w:val="single" w:sz="4" w:space="0" w:color="auto"/>
            </w:tcBorders>
            <w:hideMark/>
          </w:tcPr>
          <w:p w14:paraId="6A74FE18" w14:textId="77777777" w:rsidR="000F14B8" w:rsidRPr="005B1EB2" w:rsidRDefault="000F14B8" w:rsidP="00174652">
            <w:pPr>
              <w:autoSpaceDE w:val="0"/>
              <w:autoSpaceDN w:val="0"/>
              <w:adjustRightInd w:val="0"/>
              <w:rPr>
                <w:rFonts w:cs="Arial"/>
                <w:sz w:val="14"/>
                <w:szCs w:val="14"/>
              </w:rPr>
            </w:pPr>
            <w:r w:rsidRPr="005B1EB2">
              <w:rPr>
                <w:rFonts w:cs="Arial"/>
                <w:sz w:val="14"/>
                <w:szCs w:val="14"/>
              </w:rPr>
              <w:t>9672 Property Real Estate</w:t>
            </w:r>
          </w:p>
        </w:tc>
        <w:tc>
          <w:tcPr>
            <w:tcW w:w="993" w:type="dxa"/>
            <w:tcBorders>
              <w:top w:val="single" w:sz="4" w:space="0" w:color="auto"/>
              <w:left w:val="single" w:sz="4" w:space="0" w:color="auto"/>
              <w:bottom w:val="single" w:sz="4" w:space="0" w:color="auto"/>
              <w:right w:val="single" w:sz="4" w:space="0" w:color="auto"/>
            </w:tcBorders>
          </w:tcPr>
          <w:p w14:paraId="2544D987" w14:textId="77777777" w:rsidR="000F14B8" w:rsidRPr="005B1EB2" w:rsidRDefault="000F14B8" w:rsidP="00174652">
            <w:pPr>
              <w:autoSpaceDE w:val="0"/>
              <w:autoSpaceDN w:val="0"/>
              <w:adjustRightInd w:val="0"/>
              <w:rPr>
                <w:rFonts w:cs="Arial"/>
                <w:sz w:val="14"/>
                <w:szCs w:val="14"/>
              </w:rPr>
            </w:pPr>
          </w:p>
        </w:tc>
      </w:tr>
    </w:tbl>
    <w:p w14:paraId="5982AECD" w14:textId="1C6C49BA" w:rsidR="000F14B8" w:rsidRDefault="000F14B8" w:rsidP="00093380">
      <w:pPr>
        <w:autoSpaceDE w:val="0"/>
        <w:autoSpaceDN w:val="0"/>
        <w:adjustRightInd w:val="0"/>
        <w:spacing w:before="0" w:after="0"/>
        <w:contextualSpacing/>
        <w:jc w:val="center"/>
        <w:rPr>
          <w:rFonts w:cs="Arial"/>
          <w:sz w:val="16"/>
          <w:szCs w:val="16"/>
        </w:rPr>
      </w:pPr>
      <w:r w:rsidRPr="00917E46">
        <w:rPr>
          <w:rFonts w:cs="Arial"/>
          <w:b/>
          <w:szCs w:val="22"/>
        </w:rPr>
        <w:t>Source</w:t>
      </w:r>
      <w:r>
        <w:rPr>
          <w:rFonts w:cs="Arial"/>
        </w:rPr>
        <w:t xml:space="preserve">:  </w:t>
      </w:r>
      <w:r w:rsidRPr="00FD28FF">
        <w:rPr>
          <w:rFonts w:cs="Arial"/>
          <w:sz w:val="18"/>
          <w:szCs w:val="18"/>
        </w:rPr>
        <w:t>Author</w:t>
      </w:r>
      <w:r>
        <w:rPr>
          <w:rFonts w:cs="Arial"/>
        </w:rPr>
        <w:t xml:space="preserve"> - </w:t>
      </w:r>
      <w:r>
        <w:rPr>
          <w:rFonts w:cs="Arial"/>
          <w:sz w:val="16"/>
          <w:szCs w:val="16"/>
        </w:rPr>
        <w:t xml:space="preserve">Training packages from the Construction and Property Services Industry Skills Council and TAFE NSW.  Summary from various Hansard papers (NSW Parliament). </w:t>
      </w:r>
    </w:p>
    <w:p w14:paraId="01552F5B" w14:textId="77777777" w:rsidR="00093380" w:rsidRPr="00093380" w:rsidRDefault="00093380" w:rsidP="00093380">
      <w:pPr>
        <w:autoSpaceDE w:val="0"/>
        <w:autoSpaceDN w:val="0"/>
        <w:adjustRightInd w:val="0"/>
        <w:spacing w:before="0" w:after="0"/>
        <w:contextualSpacing/>
        <w:jc w:val="center"/>
        <w:rPr>
          <w:rFonts w:cs="Arial"/>
          <w:sz w:val="16"/>
          <w:szCs w:val="16"/>
        </w:rPr>
      </w:pPr>
    </w:p>
    <w:p w14:paraId="2AA8BA50" w14:textId="5FD4C239" w:rsidR="004B7CC1" w:rsidRDefault="000F14B8" w:rsidP="00093380">
      <w:pPr>
        <w:pStyle w:val="PRRESIncmainbody"/>
        <w:contextualSpacing/>
        <w:rPr>
          <w:lang w:val="en-GB"/>
        </w:rPr>
      </w:pPr>
      <w:r w:rsidRPr="00DB0E5F">
        <w:rPr>
          <w:lang w:val="en-GB"/>
        </w:rPr>
        <w:t>It is interesting to note</w:t>
      </w:r>
      <w:r>
        <w:rPr>
          <w:lang w:val="en-GB"/>
        </w:rPr>
        <w:t xml:space="preserve"> in the above table</w:t>
      </w:r>
      <w:r w:rsidRPr="00DB0E5F">
        <w:rPr>
          <w:lang w:val="en-GB"/>
        </w:rPr>
        <w:t>, in 2000 the minimum educational qualification was a diploma, and yet since 20</w:t>
      </w:r>
      <w:r>
        <w:rPr>
          <w:lang w:val="en-GB"/>
        </w:rPr>
        <w:t>05,</w:t>
      </w:r>
      <w:r w:rsidRPr="00DB0E5F">
        <w:rPr>
          <w:lang w:val="en-GB"/>
        </w:rPr>
        <w:t xml:space="preserve"> this </w:t>
      </w:r>
      <w:r w:rsidR="00526FA9">
        <w:rPr>
          <w:lang w:val="en-GB"/>
        </w:rPr>
        <w:t>was</w:t>
      </w:r>
      <w:r w:rsidRPr="00DB0E5F">
        <w:rPr>
          <w:lang w:val="en-GB"/>
        </w:rPr>
        <w:t xml:space="preserve"> diminished to a Certificate IV qualification.   </w:t>
      </w:r>
    </w:p>
    <w:p w14:paraId="771EAA99" w14:textId="77777777" w:rsidR="004B7CC1" w:rsidRDefault="004B7CC1" w:rsidP="000F14B8">
      <w:pPr>
        <w:pStyle w:val="PRRESIncmainbody"/>
        <w:rPr>
          <w:lang w:val="en-GB"/>
        </w:rPr>
      </w:pPr>
    </w:p>
    <w:p w14:paraId="0578D43B" w14:textId="7ED80CB9" w:rsidR="000F14B8" w:rsidRDefault="000F14B8" w:rsidP="000F14B8">
      <w:pPr>
        <w:pStyle w:val="PRRESIncmainbody"/>
        <w:rPr>
          <w:lang w:val="en-GB"/>
        </w:rPr>
      </w:pPr>
      <w:r>
        <w:rPr>
          <w:lang w:val="en-GB"/>
        </w:rPr>
        <w:t>Unde</w:t>
      </w:r>
      <w:r w:rsidRPr="00605E25">
        <w:rPr>
          <w:lang w:val="en-GB"/>
        </w:rPr>
        <w:t>r the A</w:t>
      </w:r>
      <w:r w:rsidR="00605E25" w:rsidRPr="00605E25">
        <w:rPr>
          <w:lang w:val="en-GB"/>
        </w:rPr>
        <w:t>ustralian Quality Framework (A</w:t>
      </w:r>
      <w:r w:rsidRPr="00605E25">
        <w:rPr>
          <w:lang w:val="en-GB"/>
        </w:rPr>
        <w:t>QF</w:t>
      </w:r>
      <w:r w:rsidR="00605E25" w:rsidRPr="00605E25">
        <w:rPr>
          <w:lang w:val="en-GB"/>
        </w:rPr>
        <w:t>)</w:t>
      </w:r>
      <w:r w:rsidRPr="00605E25">
        <w:rPr>
          <w:lang w:val="en-GB"/>
        </w:rPr>
        <w:t xml:space="preserve"> hierarchy framework, a Certificate IV is lower than an Associate Diploma, or a Diploma qualification. When government prescribed the minimum modules from</w:t>
      </w:r>
      <w:r>
        <w:rPr>
          <w:lang w:val="en-GB"/>
        </w:rPr>
        <w:t xml:space="preserve"> the </w:t>
      </w:r>
      <w:r w:rsidRPr="00A932B7">
        <w:rPr>
          <w:lang w:val="en-GB"/>
        </w:rPr>
        <w:t>N</w:t>
      </w:r>
      <w:r w:rsidR="00526FA9" w:rsidRPr="00A932B7">
        <w:rPr>
          <w:lang w:val="en-GB"/>
        </w:rPr>
        <w:t>ational</w:t>
      </w:r>
      <w:r w:rsidR="00EB31C8" w:rsidRPr="00A932B7">
        <w:rPr>
          <w:lang w:val="en-GB"/>
        </w:rPr>
        <w:t xml:space="preserve"> </w:t>
      </w:r>
      <w:r w:rsidR="00526FA9" w:rsidRPr="00A932B7">
        <w:rPr>
          <w:lang w:val="en-GB"/>
        </w:rPr>
        <w:t>Training Package (N</w:t>
      </w:r>
      <w:r w:rsidRPr="00A932B7">
        <w:rPr>
          <w:lang w:val="en-GB"/>
        </w:rPr>
        <w:t>TP</w:t>
      </w:r>
      <w:r w:rsidR="00526FA9" w:rsidRPr="00A932B7">
        <w:rPr>
          <w:lang w:val="en-GB"/>
        </w:rPr>
        <w:t>)</w:t>
      </w:r>
      <w:r w:rsidRPr="00A932B7">
        <w:rPr>
          <w:lang w:val="en-GB"/>
        </w:rPr>
        <w:t>, th</w:t>
      </w:r>
      <w:r>
        <w:rPr>
          <w:lang w:val="en-GB"/>
        </w:rPr>
        <w:t>e VET training providers were not mandated the qualification level.  Therefore, it became the norm to offer only a Certificate IV, which was the fastest and easiest approach to complete the modules requir</w:t>
      </w:r>
      <w:r w:rsidRPr="00DE6FA7">
        <w:rPr>
          <w:lang w:val="en-GB"/>
        </w:rPr>
        <w:t xml:space="preserve">ed for property agency licencing.  </w:t>
      </w:r>
    </w:p>
    <w:p w14:paraId="4BB6B274" w14:textId="77777777" w:rsidR="004B7CC1" w:rsidRPr="00DE6FA7" w:rsidRDefault="004B7CC1" w:rsidP="000F14B8">
      <w:pPr>
        <w:pStyle w:val="PRRESIncmainbody"/>
        <w:rPr>
          <w:lang w:val="en-GB"/>
        </w:rPr>
      </w:pPr>
    </w:p>
    <w:p w14:paraId="4EF8A84D" w14:textId="036EF89C" w:rsidR="000F14B8" w:rsidRPr="000F14B8" w:rsidRDefault="000F14B8" w:rsidP="000F14B8">
      <w:pPr>
        <w:pStyle w:val="PRRESIncmainbody"/>
        <w:rPr>
          <w:lang w:val="en-GB"/>
        </w:rPr>
      </w:pPr>
      <w:r w:rsidRPr="00DE6FA7">
        <w:rPr>
          <w:lang w:val="en-GB"/>
        </w:rPr>
        <w:t xml:space="preserve">With the recent introduction of the </w:t>
      </w:r>
      <w:r w:rsidRPr="00DE6FA7">
        <w:t>PSA Act 2002, i</w:t>
      </w:r>
      <w:r w:rsidRPr="00DE6FA7">
        <w:rPr>
          <w:lang w:val="en-GB"/>
        </w:rPr>
        <w:t>n 2020, a Diploma qualification is stipulated as the minimum entry lev</w:t>
      </w:r>
      <w:r>
        <w:rPr>
          <w:lang w:val="en-GB"/>
        </w:rPr>
        <w:t>el and prescribed learning modules for the licensee-in-charge class of property agency licenses.  This uplifting of the licensing q</w:t>
      </w:r>
      <w:r w:rsidRPr="00DB5E5E">
        <w:rPr>
          <w:lang w:val="en-GB"/>
        </w:rPr>
        <w:t>ualifications stems from the 2015 consultation and r</w:t>
      </w:r>
      <w:r w:rsidRPr="000F14B8">
        <w:rPr>
          <w:lang w:val="en-GB"/>
        </w:rPr>
        <w:t>eview process, coupled with the subsequent proceedings, mentioned in this chapter and the conclusions chapter, which was undertaken by NSW Fair Trading.</w:t>
      </w:r>
    </w:p>
    <w:p w14:paraId="345D7567" w14:textId="7041CDFE" w:rsidR="000F14B8" w:rsidRPr="000F14B8" w:rsidRDefault="000F14B8" w:rsidP="000F14B8">
      <w:pPr>
        <w:pStyle w:val="PRRESIncmainbody"/>
      </w:pPr>
      <w:r w:rsidRPr="000F14B8">
        <w:t xml:space="preserve"> </w:t>
      </w:r>
    </w:p>
    <w:p w14:paraId="006DCBAF" w14:textId="302583CB" w:rsidR="000F14B8" w:rsidRPr="000F14B8" w:rsidRDefault="000F14B8" w:rsidP="000F14B8">
      <w:pPr>
        <w:pStyle w:val="PRRESIncmainbody"/>
      </w:pPr>
      <w:r w:rsidRPr="000F14B8">
        <w:rPr>
          <w:lang w:val="en-GB"/>
        </w:rPr>
        <w:t>Therefore, the approach to downgrade the level of qualification from a Diploma level to a Certificate IV level was at odds with the governments historical policy geared towards consumer protection.  A</w:t>
      </w:r>
      <w:r w:rsidRPr="000F14B8">
        <w:t>dditionally, the public generally perceive that “higher educational qualifications” are linked to professionalism and well-informed knowledge</w:t>
      </w:r>
      <w:r w:rsidR="00EA5726">
        <w:t xml:space="preserve">. </w:t>
      </w:r>
      <w:r w:rsidRPr="000F14B8">
        <w:t xml:space="preserve">   </w:t>
      </w:r>
    </w:p>
    <w:p w14:paraId="7850FC87" w14:textId="2A6833CB" w:rsidR="004B7CC1" w:rsidRDefault="00EB31C8" w:rsidP="004B7CC1">
      <w:pPr>
        <w:pStyle w:val="PRRESIncmainbody"/>
        <w:rPr>
          <w:lang w:val="en-GB"/>
        </w:rPr>
      </w:pPr>
      <w:r>
        <w:rPr>
          <w:lang w:val="en-GB"/>
        </w:rPr>
        <w:t xml:space="preserve"> </w:t>
      </w:r>
    </w:p>
    <w:p w14:paraId="68C08B11" w14:textId="492B89AE" w:rsidR="0035719A" w:rsidRDefault="0035719A" w:rsidP="0035719A">
      <w:pPr>
        <w:pStyle w:val="PRRESIncmainbody"/>
      </w:pPr>
      <w:r w:rsidRPr="00F23775">
        <w:t>Therefore, educational requirements and industry experience underwent radical changes.  Previously, the successful completion of an approved prescribed course and a minimum of two years of industry experience were essential criteria for obtaining a licence.</w:t>
      </w:r>
    </w:p>
    <w:p w14:paraId="03B2D582" w14:textId="46ACFC3F" w:rsidR="000F14B8" w:rsidRDefault="000F14B8" w:rsidP="00EB31C8">
      <w:pPr>
        <w:pStyle w:val="PRRESIncmainbody"/>
      </w:pPr>
    </w:p>
    <w:p w14:paraId="7555CF9B" w14:textId="780A5B86" w:rsidR="00CA51D8" w:rsidRDefault="00CA51D8" w:rsidP="00EB31C8">
      <w:pPr>
        <w:pStyle w:val="PRRESIncmainbody"/>
      </w:pPr>
    </w:p>
    <w:p w14:paraId="197A6D3A" w14:textId="77777777" w:rsidR="006D0161" w:rsidRDefault="006D0161" w:rsidP="00ED1D42">
      <w:pPr>
        <w:pStyle w:val="Heading1"/>
      </w:pPr>
      <w:r>
        <w:t>CONCLUSIONS</w:t>
      </w:r>
    </w:p>
    <w:p w14:paraId="5878303A" w14:textId="0E0C2D39" w:rsidR="00D20587" w:rsidRDefault="000648F4" w:rsidP="00093380">
      <w:pPr>
        <w:pStyle w:val="PRRESIncmainbody"/>
      </w:pPr>
      <w:r>
        <w:t>Trust accounting and occupational licensing is an important regulatory mechanism to aid consumer protection for property transactions.  The legislative obligations placed on real estate agents can be enormous and time consuming.  However, it is ultimately the licensee of the property agency who is considered accountable for all trust money held on behalf of the property owner, tenants, purchasers and other stakeholders with a vested interest.</w:t>
      </w:r>
    </w:p>
    <w:p w14:paraId="042FA293" w14:textId="77777777" w:rsidR="00093380" w:rsidRPr="00093380" w:rsidRDefault="00093380" w:rsidP="00093380">
      <w:pPr>
        <w:pStyle w:val="PRRESIncmainbody"/>
      </w:pPr>
    </w:p>
    <w:p w14:paraId="15DEF84A" w14:textId="16C944DE" w:rsidR="00D20587" w:rsidRDefault="001F077D" w:rsidP="00D20587">
      <w:pPr>
        <w:pStyle w:val="PRRESIncmainbody"/>
        <w:rPr>
          <w:lang w:val="en-GB"/>
        </w:rPr>
      </w:pPr>
      <w:r w:rsidRPr="003E5BE9">
        <w:t xml:space="preserve">The data </w:t>
      </w:r>
      <w:r>
        <w:t xml:space="preserve">from the 15 year subset </w:t>
      </w:r>
      <w:r w:rsidRPr="003E5BE9">
        <w:t>showed 45.54% individuals were licenced prior to 2003 and 54.46% individuals were licenced from 2003.</w:t>
      </w:r>
      <w:r>
        <w:t xml:space="preserve"> Therefore downgrading the qualifications achieved an adverse impact for consumers.   </w:t>
      </w:r>
      <w:r w:rsidR="00D20587">
        <w:rPr>
          <w:lang w:val="en-GB"/>
        </w:rPr>
        <w:t>Moving forward and beyond 2020, t</w:t>
      </w:r>
      <w:r w:rsidR="00D20587" w:rsidRPr="00907623">
        <w:rPr>
          <w:lang w:val="en-GB"/>
        </w:rPr>
        <w:t xml:space="preserve">he government </w:t>
      </w:r>
      <w:r w:rsidR="00D20587">
        <w:rPr>
          <w:lang w:val="en-GB"/>
        </w:rPr>
        <w:t>has</w:t>
      </w:r>
      <w:r w:rsidR="00D20587" w:rsidRPr="00907623">
        <w:rPr>
          <w:lang w:val="en-GB"/>
        </w:rPr>
        <w:t xml:space="preserve"> adopt</w:t>
      </w:r>
      <w:r w:rsidR="00D20587">
        <w:rPr>
          <w:lang w:val="en-GB"/>
        </w:rPr>
        <w:t>ed</w:t>
      </w:r>
      <w:r w:rsidR="00D20587" w:rsidRPr="00907623">
        <w:rPr>
          <w:lang w:val="en-GB"/>
        </w:rPr>
        <w:t xml:space="preserve"> policies to </w:t>
      </w:r>
      <w:r w:rsidR="00D20587" w:rsidRPr="00907623">
        <w:rPr>
          <w:lang w:val="en-GB"/>
        </w:rPr>
        <w:lastRenderedPageBreak/>
        <w:t>achieve their objective</w:t>
      </w:r>
      <w:r w:rsidR="00D20587">
        <w:rPr>
          <w:lang w:val="en-GB"/>
        </w:rPr>
        <w:t xml:space="preserve"> for enhanced consumer protection, </w:t>
      </w:r>
      <w:r w:rsidR="00D20587" w:rsidRPr="00907623">
        <w:rPr>
          <w:lang w:val="en-GB"/>
        </w:rPr>
        <w:t>and educational pre-requisites are considered an important mechanism in this process</w:t>
      </w:r>
      <w:r w:rsidR="00D20587">
        <w:rPr>
          <w:lang w:val="en-GB"/>
        </w:rPr>
        <w:t>, for all licence categories</w:t>
      </w:r>
      <w:r w:rsidR="00D20587" w:rsidRPr="00907623">
        <w:rPr>
          <w:lang w:val="en-GB"/>
        </w:rPr>
        <w:t>.</w:t>
      </w:r>
      <w:r w:rsidR="00D20587">
        <w:rPr>
          <w:lang w:val="en-GB"/>
        </w:rPr>
        <w:t xml:space="preserve">   </w:t>
      </w:r>
    </w:p>
    <w:p w14:paraId="640EC332" w14:textId="77777777" w:rsidR="00093380" w:rsidRDefault="00093380" w:rsidP="004C68C0">
      <w:pPr>
        <w:pStyle w:val="PRRESIncmainbody"/>
      </w:pPr>
    </w:p>
    <w:p w14:paraId="58083ADF" w14:textId="1EE576E4" w:rsidR="004C68C0" w:rsidRDefault="004C68C0" w:rsidP="004C68C0">
      <w:pPr>
        <w:pStyle w:val="PRRESIncmainbody"/>
      </w:pPr>
      <w:r>
        <w:t>A major milestone was reached with new legislation implemented on the 23</w:t>
      </w:r>
      <w:r w:rsidRPr="0064033A">
        <w:rPr>
          <w:vertAlign w:val="superscript"/>
        </w:rPr>
        <w:t>rd</w:t>
      </w:r>
      <w:r>
        <w:t xml:space="preserve"> March 2020.  The new reforms include improvements to property agency licencing and certificates of registration, upgrading educational qualifications and the incorporation of industry experience.  These reforms provide a five year pathway aimed to raise the industry standards and thereby enhancing and supporting consumer protection.</w:t>
      </w:r>
    </w:p>
    <w:p w14:paraId="6B252347" w14:textId="594AABC7" w:rsidR="004C68C0" w:rsidRDefault="00093380" w:rsidP="004C68C0">
      <w:r>
        <w:t xml:space="preserve"> </w:t>
      </w:r>
    </w:p>
    <w:p w14:paraId="20ACD254" w14:textId="263A3451" w:rsidR="00093380" w:rsidRPr="00093380" w:rsidRDefault="00093380" w:rsidP="004C68C0">
      <w:pPr>
        <w:rPr>
          <w:b/>
        </w:rPr>
      </w:pPr>
      <w:r w:rsidRPr="00093380">
        <w:rPr>
          <w:b/>
        </w:rPr>
        <w:t>FURTHER RESEARCH</w:t>
      </w:r>
    </w:p>
    <w:p w14:paraId="21F5C492" w14:textId="1BFE2187" w:rsidR="00093380" w:rsidRDefault="00093380" w:rsidP="004C68C0">
      <w:r>
        <w:t xml:space="preserve">Whilst the research in this paper covered a 20 year data set, the research analysis is continuing to map trends with trust funds misappropriated and in particular whether pre and post 2020 identifies </w:t>
      </w:r>
      <w:r w:rsidR="001F077D">
        <w:t xml:space="preserve">similar </w:t>
      </w:r>
      <w:r>
        <w:t>noticeable trends such as the trends established for pre and post 2023.</w:t>
      </w:r>
    </w:p>
    <w:p w14:paraId="1BD86786" w14:textId="77777777" w:rsidR="004C68C0" w:rsidRPr="004C68C0" w:rsidRDefault="004C68C0" w:rsidP="004C68C0"/>
    <w:p w14:paraId="53505930" w14:textId="77777777" w:rsidR="00D20917" w:rsidRDefault="006D0161" w:rsidP="00ED1D42">
      <w:pPr>
        <w:pStyle w:val="Heading1"/>
      </w:pPr>
      <w:r>
        <w:t xml:space="preserve">REFERENCES </w:t>
      </w:r>
    </w:p>
    <w:p w14:paraId="3C611110" w14:textId="77777777" w:rsidR="00EA5726" w:rsidRDefault="00EA5726" w:rsidP="00EA5726">
      <w:pPr>
        <w:pStyle w:val="PhDReference"/>
      </w:pPr>
      <w:r>
        <w:t>Agboola, A.O., Ojo, O., Amidu A., (2010), The Ethics of Real Estate Agents in Emerging Economics: A cross-sectional survey of agents and service consumers’ perception in Nigeria. Property Management, Emerald Group. Vol 28, No. 5, pp. 339-357.</w:t>
      </w:r>
    </w:p>
    <w:p w14:paraId="5AFA30FA" w14:textId="29704659" w:rsidR="00EA5726" w:rsidRDefault="00EA5726" w:rsidP="00AB691B">
      <w:pPr>
        <w:pStyle w:val="PhDReference"/>
      </w:pPr>
      <w:r>
        <w:t>Annual Reports, Fair Trading NSW/Office Fair Trading NSW Published from 1997 to 2015</w:t>
      </w:r>
    </w:p>
    <w:p w14:paraId="7468580B" w14:textId="14A6B854" w:rsidR="00AB691B" w:rsidRPr="00AB691B" w:rsidRDefault="00AB691B" w:rsidP="00AB691B">
      <w:pPr>
        <w:pStyle w:val="PhDReference"/>
      </w:pPr>
      <w:r>
        <w:t xml:space="preserve">Antoniades, H. (2013b), Strata Managers and Educational Mishaps, Proceedings of the </w:t>
      </w:r>
      <w:r w:rsidRPr="00AB691B">
        <w:t>annual INTED 2013 Conference, paper I.D.1410.</w:t>
      </w:r>
    </w:p>
    <w:p w14:paraId="6206A338" w14:textId="77777777" w:rsidR="00AB691B" w:rsidRDefault="00D761A1" w:rsidP="00AB691B">
      <w:pPr>
        <w:pStyle w:val="PhDReference"/>
        <w:rPr>
          <w:color w:val="000000"/>
          <w:lang w:eastAsia="en-AU"/>
        </w:rPr>
      </w:pPr>
      <w:hyperlink r:id="rId11" w:history="1">
        <w:r w:rsidR="00AB691B" w:rsidRPr="00AB691B">
          <w:rPr>
            <w:rStyle w:val="Hyperlink"/>
            <w:color w:val="auto"/>
          </w:rPr>
          <w:t>Antoniades, H</w:t>
        </w:r>
      </w:hyperlink>
      <w:r w:rsidR="00AB691B" w:rsidRPr="00AB691B">
        <w:t> &amp;</w:t>
      </w:r>
      <w:r w:rsidR="00AB691B" w:rsidRPr="00472FD6">
        <w:t xml:space="preserve"> Eves, C (2013), 'Real Estate Agents: Why is Education</w:t>
      </w:r>
      <w:r w:rsidR="00AB691B" w:rsidRPr="00472FD6">
        <w:rPr>
          <w:color w:val="000000"/>
        </w:rPr>
        <w:t xml:space="preserve"> Important?',</w:t>
      </w:r>
      <w:r w:rsidR="00AB691B" w:rsidRPr="00472FD6">
        <w:rPr>
          <w:b/>
          <w:color w:val="000000"/>
        </w:rPr>
        <w:t> </w:t>
      </w:r>
      <w:r w:rsidR="00AB691B" w:rsidRPr="00472FD6">
        <w:rPr>
          <w:rStyle w:val="Emphasis"/>
          <w:color w:val="000000"/>
        </w:rPr>
        <w:t>Proceedings of the annual RICS COBRA 2013 conference</w:t>
      </w:r>
      <w:r w:rsidR="00AB691B" w:rsidRPr="00472FD6">
        <w:rPr>
          <w:b/>
          <w:color w:val="000000"/>
        </w:rPr>
        <w:t xml:space="preserve">, </w:t>
      </w:r>
      <w:r w:rsidR="00AB691B" w:rsidRPr="00472FD6">
        <w:rPr>
          <w:color w:val="000000"/>
        </w:rPr>
        <w:t>Construction, Building and Real Estate Research Conference (COBRA), RICS, New Delhi, India, pp. 1-12.</w:t>
      </w:r>
    </w:p>
    <w:p w14:paraId="6E284002" w14:textId="1AD8E9AB" w:rsidR="00EA5726" w:rsidRDefault="00EA5726" w:rsidP="00EA5726">
      <w:pPr>
        <w:pStyle w:val="PhDReference"/>
        <w:rPr>
          <w:lang w:eastAsia="en-AU"/>
        </w:rPr>
      </w:pPr>
      <w:r>
        <w:t xml:space="preserve">Barker D. (2008-2009), Ethics and Lobbying:  The Case of Real Estate Brokerage.  Journal of Business Ethics Vol 80. pp. 23-35   </w:t>
      </w:r>
      <w:r w:rsidRPr="00652CD4">
        <w:t xml:space="preserve"> </w:t>
      </w:r>
      <w:hyperlink r:id="rId12" w:history="1"/>
      <w:r w:rsidRPr="00652CD4">
        <w:rPr>
          <w:rStyle w:val="Hyperlink"/>
          <w:color w:val="000000" w:themeColor="text1"/>
        </w:rPr>
        <w:t xml:space="preserve"> </w:t>
      </w:r>
      <w:r>
        <w:rPr>
          <w:rFonts w:ascii="AdvPSBEM" w:hAnsi="AdvPSBEM" w:cs="AdvPSBEM"/>
          <w:sz w:val="21"/>
          <w:szCs w:val="21"/>
          <w:lang w:eastAsia="en-AU"/>
        </w:rPr>
        <w:t>DOI 10.1007/s10551-007-9434-0</w:t>
      </w:r>
    </w:p>
    <w:p w14:paraId="30CFC715" w14:textId="0FAAA8E0" w:rsidR="00AB691B" w:rsidRPr="005C05A3" w:rsidRDefault="00AB691B" w:rsidP="00AB691B">
      <w:pPr>
        <w:pStyle w:val="PhDReference"/>
      </w:pPr>
      <w:r w:rsidRPr="005C05A3">
        <w:t xml:space="preserve">Bowen, G. (2009), </w:t>
      </w:r>
      <w:r w:rsidRPr="005C05A3">
        <w:rPr>
          <w:lang w:eastAsia="en-AU"/>
        </w:rPr>
        <w:t>Document Analysis as a Qualitative Research Method, Qualitative Research Journal, Vol 9, No 2</w:t>
      </w:r>
      <w:r w:rsidRPr="005C05A3">
        <w:t>, pp. 27-40. DOI 10.3316/QRJ0902027</w:t>
      </w:r>
    </w:p>
    <w:p w14:paraId="02D963A1" w14:textId="77777777" w:rsidR="00AB691B" w:rsidRPr="004817EB" w:rsidRDefault="00AB691B" w:rsidP="00AB691B">
      <w:pPr>
        <w:pStyle w:val="PhDReference"/>
      </w:pPr>
      <w:r w:rsidRPr="004817EB">
        <w:t>Boyatzis, R.E. (1998)</w:t>
      </w:r>
      <w:r>
        <w:t>,</w:t>
      </w:r>
      <w:r w:rsidRPr="004817EB">
        <w:t xml:space="preserve"> Transforming Qualitative Information, Themati</w:t>
      </w:r>
      <w:r>
        <w:t>c Analysis and Code Development</w:t>
      </w:r>
      <w:r w:rsidRPr="004817EB">
        <w:t>.  Book.  Sage Publications.</w:t>
      </w:r>
    </w:p>
    <w:p w14:paraId="2F2C3AEA" w14:textId="77777777" w:rsidR="00EA5726" w:rsidRPr="00977BF7" w:rsidRDefault="00EA5726" w:rsidP="00EA5726">
      <w:pPr>
        <w:pStyle w:val="PhDReference"/>
      </w:pPr>
      <w:r>
        <w:t xml:space="preserve">Brinkmann, J. (2009), </w:t>
      </w:r>
      <w:r w:rsidRPr="00B26C5A">
        <w:t xml:space="preserve">Putting Ethics on the Agenda for Real Estate </w:t>
      </w:r>
      <w:r w:rsidRPr="00977BF7">
        <w:t>Agents.  Journal of Business Ethics.  Vol 88</w:t>
      </w:r>
      <w:r>
        <w:t>,</w:t>
      </w:r>
      <w:r w:rsidRPr="00977BF7">
        <w:t xml:space="preserve">  pp.65-82.</w:t>
      </w:r>
    </w:p>
    <w:p w14:paraId="394901C8" w14:textId="77777777" w:rsidR="00AB691B" w:rsidRDefault="00AB691B" w:rsidP="00AB691B">
      <w:pPr>
        <w:pStyle w:val="PhDReference"/>
      </w:pPr>
      <w:r w:rsidRPr="00E04E29">
        <w:t>Construction and Property Services</w:t>
      </w:r>
      <w:r>
        <w:t xml:space="preserve"> Industry Skills Council and TAFE NSW Training Package.</w:t>
      </w:r>
    </w:p>
    <w:p w14:paraId="59DD58B0" w14:textId="77777777" w:rsidR="00AB691B" w:rsidRDefault="00AB691B" w:rsidP="00AB691B">
      <w:pPr>
        <w:pStyle w:val="PhDReference"/>
      </w:pPr>
      <w:r w:rsidRPr="00E04E29">
        <w:t>Crews, G.L. (2004).  Real estate education on the run:  the classroom comes to town, Pacific Rim Real Estate Society Annual Conference, Thailand.</w:t>
      </w:r>
    </w:p>
    <w:p w14:paraId="0963AC8B" w14:textId="4FDF192D" w:rsidR="00AB691B" w:rsidRDefault="00AB691B" w:rsidP="00AB691B">
      <w:pPr>
        <w:pStyle w:val="PhDReference"/>
        <w:rPr>
          <w:lang w:eastAsia="en-AU"/>
        </w:rPr>
      </w:pPr>
      <w:r w:rsidRPr="00117059">
        <w:rPr>
          <w:lang w:eastAsia="en-AU"/>
        </w:rPr>
        <w:t>Eisner, E. W. (1991). The enlightened eye: Qualitative inquiry and the enhancement of educational practice. Toronto: Book, Collier Macmillan Canada.</w:t>
      </w:r>
    </w:p>
    <w:p w14:paraId="1508DC4A" w14:textId="76198A81" w:rsidR="00D20917" w:rsidRPr="00D20917" w:rsidRDefault="00F264ED" w:rsidP="00F264ED">
      <w:pPr>
        <w:pStyle w:val="PhDReference"/>
      </w:pPr>
      <w:r>
        <w:t>Fair Trading (NSW), Annual Reports as published for the year 2003 and 2016</w:t>
      </w:r>
    </w:p>
    <w:p w14:paraId="78AC3007" w14:textId="77777777" w:rsidR="00AB691B" w:rsidRPr="00B478E5" w:rsidRDefault="00AB691B" w:rsidP="00AB691B">
      <w:pPr>
        <w:pStyle w:val="PhDReference"/>
      </w:pPr>
      <w:r>
        <w:lastRenderedPageBreak/>
        <w:t>Glaser, B. &amp; Strauss, A. (1967), The Discovery of Grounded Theory: Strategies for Qualitative Research.  New York; Aldine de Gruyter</w:t>
      </w:r>
    </w:p>
    <w:p w14:paraId="2DFE7436" w14:textId="7E7E4FCC" w:rsidR="00A932B7" w:rsidRPr="00A82CE1" w:rsidRDefault="00A932B7" w:rsidP="00A932B7">
      <w:pPr>
        <w:pStyle w:val="PhDReference"/>
      </w:pPr>
      <w:r w:rsidRPr="00A82CE1">
        <w:t>Hennink, M., Hutter, I., Bailey, A. (2011) Qualitative research methods. Sage Publications. Critical Public Health, 22(1), pp. 111–112 https://doi.org/10.1080/09581596.2011.565689</w:t>
      </w:r>
    </w:p>
    <w:p w14:paraId="0B326A40" w14:textId="2822D75E" w:rsidR="00A932B7" w:rsidRDefault="00A932B7" w:rsidP="00A932B7">
      <w:pPr>
        <w:pStyle w:val="PhDReference"/>
        <w:rPr>
          <w:lang w:eastAsia="en-AU"/>
        </w:rPr>
      </w:pPr>
      <w:r>
        <w:rPr>
          <w:lang w:eastAsia="en-AU"/>
        </w:rPr>
        <w:t>Lincoln, Y.S., Guba, E.G., (1985) Naturalistic Inquiry, Sage Publications, USA.</w:t>
      </w:r>
    </w:p>
    <w:p w14:paraId="093A8E4D" w14:textId="4CC876C1" w:rsidR="00A932B7" w:rsidRPr="002C5A08" w:rsidRDefault="00A932B7" w:rsidP="00A932B7">
      <w:pPr>
        <w:pStyle w:val="PhDReference"/>
      </w:pPr>
      <w:r w:rsidRPr="002C5A08">
        <w:t>Manly Daily (online), 2 Dec 2015 9 Kathryn Welling , 'Industry body president will lift realtor training ', ‹https://infoweb-newsbank-com.ezproxy.sl.nsw.g ov.au/apps/news/document-view? p=AWNB&amp;docref=news/159776BC14F0AC08›</w:t>
      </w:r>
      <w:r>
        <w:t xml:space="preserve"> accessed 15</w:t>
      </w:r>
      <w:r w:rsidRPr="002C5A08">
        <w:rPr>
          <w:vertAlign w:val="superscript"/>
        </w:rPr>
        <w:t>th</w:t>
      </w:r>
      <w:r>
        <w:t xml:space="preserve"> February 2021</w:t>
      </w:r>
    </w:p>
    <w:p w14:paraId="4E45841E" w14:textId="5BEA628A" w:rsidR="00A932B7" w:rsidRPr="00906EE5" w:rsidRDefault="00A932B7" w:rsidP="00A932B7">
      <w:pPr>
        <w:pStyle w:val="PhDReference"/>
      </w:pPr>
      <w:r w:rsidRPr="00906EE5">
        <w:t>Northern Star, The (online), 23 Aug 2014 6 ‹https://infoweb-newsbankcom. ezproxy.sl.nsw.g ov.au/apps/news/document-  Number of Agents Up. view?p=AWNB&amp;docref=news/14FD1226C3278690› accessed 15th February 2021</w:t>
      </w:r>
    </w:p>
    <w:p w14:paraId="7846F199" w14:textId="5D0E784B" w:rsidR="00F264ED" w:rsidRPr="00447AA6" w:rsidRDefault="00F264ED" w:rsidP="00F264ED">
      <w:pPr>
        <w:pStyle w:val="PhDReference"/>
      </w:pPr>
      <w:r>
        <w:t xml:space="preserve">NSW Fair Trading </w:t>
      </w:r>
      <w:r w:rsidRPr="00447AA6">
        <w:t>(2016</w:t>
      </w:r>
      <w:r>
        <w:t>a</w:t>
      </w:r>
      <w:r w:rsidRPr="00447AA6">
        <w:t>)</w:t>
      </w:r>
      <w:r>
        <w:t>,</w:t>
      </w:r>
      <w:r w:rsidRPr="00447AA6">
        <w:t> </w:t>
      </w:r>
      <w:r w:rsidRPr="00447AA6">
        <w:rPr>
          <w:rStyle w:val="Emphasis"/>
        </w:rPr>
        <w:t>A review of training for licensed occupations in the New South Wales property services industry</w:t>
      </w:r>
      <w:r>
        <w:rPr>
          <w:rStyle w:val="Emphasis"/>
        </w:rPr>
        <w:t xml:space="preserve"> - final</w:t>
      </w:r>
      <w:r w:rsidRPr="00447AA6">
        <w:t>, pp. 1-51, Sydney.</w:t>
      </w:r>
    </w:p>
    <w:p w14:paraId="037A0C9B" w14:textId="77777777" w:rsidR="00F264ED" w:rsidRDefault="00F264ED" w:rsidP="00F264ED">
      <w:pPr>
        <w:pStyle w:val="PhDReference"/>
      </w:pPr>
      <w:r>
        <w:t xml:space="preserve">NSW Fair Trading  (2016b), Real Estate and Property Services Industry Reform Paper. November 2016 pp 1-46. </w:t>
      </w:r>
      <w:hyperlink r:id="rId13" w:history="1">
        <w:r>
          <w:rPr>
            <w:rStyle w:val="Hyperlink"/>
          </w:rPr>
          <w:t>https://www.fairtrading.nsw.gov.au/__data/assets/pdf_file/0019/421147/Real_estate_reform_paper_Nov_2016.pdf</w:t>
        </w:r>
      </w:hyperlink>
      <w:r>
        <w:rPr>
          <w:rStyle w:val="Hyperlink"/>
        </w:rPr>
        <w:t xml:space="preserve">  </w:t>
      </w:r>
      <w:r>
        <w:t>accessed 20</w:t>
      </w:r>
      <w:r w:rsidRPr="00865B28">
        <w:rPr>
          <w:vertAlign w:val="superscript"/>
        </w:rPr>
        <w:t>th</w:t>
      </w:r>
      <w:r>
        <w:t xml:space="preserve"> September 2019</w:t>
      </w:r>
    </w:p>
    <w:p w14:paraId="4664E1D2" w14:textId="77777777" w:rsidR="00AB691B" w:rsidRPr="001A372B" w:rsidRDefault="00AB691B" w:rsidP="00AB691B">
      <w:pPr>
        <w:pStyle w:val="PhDReference"/>
      </w:pPr>
      <w:r w:rsidRPr="001A372B">
        <w:t>Office of Fair Trading, (July 2008</w:t>
      </w:r>
      <w:r>
        <w:t>b</w:t>
      </w:r>
      <w:r w:rsidRPr="001A372B">
        <w:t>), The Report – Statutory Review of the Property, Stock and Business Agents Act 2002, Chapter 12, NSW Office of Fair Trading, Sydney.</w:t>
      </w:r>
    </w:p>
    <w:p w14:paraId="1A3CE0C9" w14:textId="2B7EE738" w:rsidR="00AB691B" w:rsidRDefault="00AB691B" w:rsidP="00AB691B">
      <w:pPr>
        <w:pStyle w:val="PhDReference"/>
      </w:pPr>
      <w:r w:rsidRPr="00E04E29">
        <w:t xml:space="preserve">Oladokun T.T., Olatoye O., (2011).  Incursion of non-professionals into property management practice in Nigeria.  Property Management.  Vol. 29 (3).  </w:t>
      </w:r>
      <w:r>
        <w:t>p</w:t>
      </w:r>
      <w:r w:rsidRPr="00E04E29">
        <w:t>p. 305-320.</w:t>
      </w:r>
    </w:p>
    <w:p w14:paraId="55F795C0" w14:textId="77777777" w:rsidR="00EB31C8" w:rsidRDefault="00EB31C8" w:rsidP="00EB31C8">
      <w:pPr>
        <w:pStyle w:val="PhDReference"/>
      </w:pPr>
      <w:r>
        <w:t>Parliament of  New South Wales, 6</w:t>
      </w:r>
      <w:r>
        <w:rPr>
          <w:vertAlign w:val="superscript"/>
        </w:rPr>
        <w:t>th</w:t>
      </w:r>
      <w:r>
        <w:t xml:space="preserve"> December 2001, Property Stock and Business Agents Bill, Second Reading Mr </w:t>
      </w:r>
      <w:r w:rsidRPr="008B5D7F">
        <w:t>Aquilina, pp. 19862-19869.</w:t>
      </w:r>
    </w:p>
    <w:p w14:paraId="1B33414D" w14:textId="7D2B777C" w:rsidR="00F264ED" w:rsidRPr="00C50953" w:rsidRDefault="00F264ED" w:rsidP="00F264ED">
      <w:pPr>
        <w:pStyle w:val="PhDReference"/>
      </w:pPr>
      <w:r>
        <w:t>Parliament of New South Wales (b), 12</w:t>
      </w:r>
      <w:r w:rsidRPr="009B3ECC">
        <w:rPr>
          <w:vertAlign w:val="superscript"/>
        </w:rPr>
        <w:t>th</w:t>
      </w:r>
      <w:r>
        <w:t xml:space="preserve"> November 2019, Property Industry, Council, pp. 32.</w:t>
      </w:r>
    </w:p>
    <w:p w14:paraId="2994BF66" w14:textId="77777777" w:rsidR="00AB691B" w:rsidRDefault="00AB691B" w:rsidP="00AB691B">
      <w:pPr>
        <w:pStyle w:val="PhDReference"/>
        <w:rPr>
          <w:lang w:eastAsia="en-AU"/>
        </w:rPr>
      </w:pPr>
      <w:r w:rsidRPr="00A82CE1">
        <w:rPr>
          <w:lang w:eastAsia="en-AU"/>
        </w:rPr>
        <w:t>Patton, M. Q. (1990). Qualitative evaluation and research methods (2nd ed.). Newbury Park, CA: Sage, Book pp 532.</w:t>
      </w:r>
    </w:p>
    <w:p w14:paraId="4A7F7C9A" w14:textId="77777777" w:rsidR="00AB691B" w:rsidRPr="00F71D96" w:rsidRDefault="00AB691B" w:rsidP="00AB691B">
      <w:pPr>
        <w:pStyle w:val="PhDReference"/>
      </w:pPr>
      <w:r>
        <w:t xml:space="preserve">Property Stock and Business Agents Act 2002 and the associated Regulations, New </w:t>
      </w:r>
      <w:r w:rsidRPr="00F71D96">
        <w:t>South Wales (State).</w:t>
      </w:r>
    </w:p>
    <w:p w14:paraId="535F4F6B" w14:textId="77777777" w:rsidR="00AB691B" w:rsidRPr="00F71D96" w:rsidRDefault="00AB691B" w:rsidP="00AB691B">
      <w:pPr>
        <w:pStyle w:val="PhDReference"/>
      </w:pPr>
      <w:r w:rsidRPr="00E04E29">
        <w:t>Rudolph, P.M., (1998)</w:t>
      </w:r>
      <w:r>
        <w:t xml:space="preserve">, </w:t>
      </w:r>
      <w:r w:rsidRPr="00E04E29">
        <w:t xml:space="preserve">Will mandatory licensing and standards raise the quality of real estate appraisals?  Some insights from agency theory.  Journal of Housing </w:t>
      </w:r>
      <w:r w:rsidRPr="00F71D96">
        <w:t>Economics. Vol 7. pp 165 – 179.</w:t>
      </w:r>
    </w:p>
    <w:p w14:paraId="79C6F57E" w14:textId="77777777" w:rsidR="00AB691B" w:rsidRDefault="00AB691B" w:rsidP="00AB691B">
      <w:pPr>
        <w:pStyle w:val="PhDReference"/>
      </w:pPr>
    </w:p>
    <w:p w14:paraId="3B325371" w14:textId="60C4CCDF" w:rsidR="00AB691B" w:rsidRPr="008E71A4" w:rsidRDefault="00AB691B" w:rsidP="00AB691B">
      <w:pPr>
        <w:pStyle w:val="PhDReference"/>
      </w:pPr>
      <w:r>
        <w:t>Saldana, J. (2013,2016) The Coding Manual for Qualitative Researchers.  Sage Publications, 3rd Edition.</w:t>
      </w:r>
    </w:p>
    <w:p w14:paraId="6ED1E922" w14:textId="04158AA8" w:rsidR="00A932B7" w:rsidRPr="002C5A08" w:rsidRDefault="00A932B7" w:rsidP="00A932B7">
      <w:pPr>
        <w:pStyle w:val="PhDReference"/>
      </w:pPr>
      <w:r w:rsidRPr="002C5A08">
        <w:t>Southern Courier (online), John Cunningham, president of the Real Estate Institute of NSW, 'What to expect from your agent', 17 May 2016 44 ‹https://infoweb-newsbankcom. ezproxy.sl.nsw.gov.au/apps/news/document-view? p=AUNB&amp;docref=news/15CED8A49BC2D790›</w:t>
      </w:r>
      <w:r>
        <w:t xml:space="preserve">  accessed 15</w:t>
      </w:r>
      <w:r w:rsidRPr="002C5A08">
        <w:rPr>
          <w:vertAlign w:val="superscript"/>
        </w:rPr>
        <w:t>th</w:t>
      </w:r>
      <w:r>
        <w:t xml:space="preserve"> February 2021</w:t>
      </w:r>
    </w:p>
    <w:p w14:paraId="5414240F" w14:textId="77777777" w:rsidR="00AB691B" w:rsidRDefault="00AB691B" w:rsidP="00AB691B">
      <w:pPr>
        <w:pStyle w:val="PhDReference"/>
      </w:pPr>
      <w:r w:rsidRPr="00C62EF0">
        <w:lastRenderedPageBreak/>
        <w:t>Williams</w:t>
      </w:r>
      <w:r>
        <w:t xml:space="preserve"> C., (2007), </w:t>
      </w:r>
      <w:r w:rsidRPr="00C62EF0">
        <w:t>Research Methods</w:t>
      </w:r>
      <w:r>
        <w:t xml:space="preserve">, </w:t>
      </w:r>
      <w:r w:rsidRPr="00C62EF0">
        <w:t>Journal of Business &amp; Economic Research</w:t>
      </w:r>
      <w:r>
        <w:t xml:space="preserve">, Vol. </w:t>
      </w:r>
      <w:r w:rsidRPr="00C62EF0">
        <w:t>5, N</w:t>
      </w:r>
      <w:r>
        <w:t xml:space="preserve">o. </w:t>
      </w:r>
      <w:r w:rsidRPr="00C62EF0">
        <w:t>3</w:t>
      </w:r>
      <w:r>
        <w:t>. pp. 65-72.</w:t>
      </w:r>
    </w:p>
    <w:p w14:paraId="06962933" w14:textId="77777777" w:rsidR="00AB691B" w:rsidRPr="009A2217" w:rsidRDefault="00AB691B" w:rsidP="00AB691B">
      <w:pPr>
        <w:pStyle w:val="PhDReference"/>
        <w:rPr>
          <w:rFonts w:eastAsiaTheme="minorHAnsi"/>
        </w:rPr>
      </w:pPr>
      <w:r w:rsidRPr="009A2217">
        <w:rPr>
          <w:rFonts w:eastAsiaTheme="minorHAnsi"/>
        </w:rPr>
        <w:t>Young, A</w:t>
      </w:r>
      <w:r>
        <w:rPr>
          <w:rFonts w:eastAsiaTheme="minorHAnsi"/>
        </w:rPr>
        <w:t>.</w:t>
      </w:r>
      <w:r w:rsidRPr="009A2217">
        <w:rPr>
          <w:rFonts w:eastAsiaTheme="minorHAnsi"/>
        </w:rPr>
        <w:t>N</w:t>
      </w:r>
      <w:r>
        <w:rPr>
          <w:rFonts w:eastAsiaTheme="minorHAnsi"/>
        </w:rPr>
        <w:t>.,</w:t>
      </w:r>
      <w:r w:rsidRPr="009A2217">
        <w:rPr>
          <w:rFonts w:eastAsiaTheme="minorHAnsi"/>
        </w:rPr>
        <w:t xml:space="preserve"> </w:t>
      </w:r>
      <w:r>
        <w:rPr>
          <w:rFonts w:eastAsiaTheme="minorHAnsi"/>
        </w:rPr>
        <w:t>(</w:t>
      </w:r>
      <w:r w:rsidRPr="009A2217">
        <w:rPr>
          <w:rFonts w:eastAsiaTheme="minorHAnsi"/>
        </w:rPr>
        <w:t>2011</w:t>
      </w:r>
      <w:r>
        <w:rPr>
          <w:rFonts w:eastAsiaTheme="minorHAnsi"/>
        </w:rPr>
        <w:t>)</w:t>
      </w:r>
      <w:r w:rsidRPr="009A2217">
        <w:rPr>
          <w:rFonts w:eastAsiaTheme="minorHAnsi"/>
        </w:rPr>
        <w:t>,  The Real Estate Agent’s Role in the Housing Crisis: A Proposal for Ethical Reform.  The Georgetown Journal of Legal Ethics, Vol. 24, pp.973-990.</w:t>
      </w:r>
    </w:p>
    <w:p w14:paraId="774A9D65" w14:textId="77777777" w:rsidR="007D7582" w:rsidRDefault="007D7582" w:rsidP="008E54AC"/>
    <w:p w14:paraId="04851D36" w14:textId="77777777" w:rsidR="007D7582" w:rsidRDefault="007D7582" w:rsidP="008E54AC"/>
    <w:p w14:paraId="7EC0E1F9" w14:textId="5F429436" w:rsidR="007D7582" w:rsidRPr="0005361A" w:rsidRDefault="00EB31C8" w:rsidP="00E87E05">
      <w:pPr>
        <w:pStyle w:val="ReferenceList"/>
        <w:rPr>
          <w:szCs w:val="22"/>
        </w:rPr>
      </w:pPr>
      <w:r>
        <w:rPr>
          <w:szCs w:val="22"/>
        </w:rPr>
        <w:t xml:space="preserve"> </w:t>
      </w:r>
    </w:p>
    <w:p w14:paraId="48AA0139" w14:textId="77777777" w:rsidR="007D7582" w:rsidRPr="0005361A" w:rsidRDefault="007D7582" w:rsidP="007D7582">
      <w:pPr>
        <w:pStyle w:val="EmailContact"/>
        <w:rPr>
          <w:szCs w:val="22"/>
        </w:rPr>
      </w:pPr>
      <w:r w:rsidRPr="0005361A">
        <w:rPr>
          <w:szCs w:val="22"/>
        </w:rPr>
        <w:t>Email contact: insert_your_e-mail_adress</w:t>
      </w:r>
    </w:p>
    <w:sectPr w:rsidR="007D7582" w:rsidRPr="0005361A" w:rsidSect="00BE1658">
      <w:headerReference w:type="even" r:id="rId14"/>
      <w:footerReference w:type="default" r:id="rId15"/>
      <w:headerReference w:type="first" r:id="rId16"/>
      <w:footerReference w:type="first" r:id="rId17"/>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850F" w14:textId="77777777" w:rsidR="00BE1658" w:rsidRDefault="00BE1658" w:rsidP="008E12A6">
      <w:pPr>
        <w:spacing w:before="0" w:after="0"/>
      </w:pPr>
      <w:r>
        <w:separator/>
      </w:r>
    </w:p>
    <w:p w14:paraId="30BE766E" w14:textId="77777777" w:rsidR="00BE1658" w:rsidRDefault="00BE1658"/>
  </w:endnote>
  <w:endnote w:type="continuationSeparator" w:id="0">
    <w:p w14:paraId="3793A543" w14:textId="77777777" w:rsidR="00BE1658" w:rsidRDefault="00BE1658" w:rsidP="008E12A6">
      <w:pPr>
        <w:spacing w:before="0" w:after="0"/>
      </w:pPr>
      <w:r>
        <w:continuationSeparator/>
      </w:r>
    </w:p>
    <w:p w14:paraId="3637DFE5" w14:textId="77777777" w:rsidR="00BE1658" w:rsidRDefault="00BE1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dvPSBEM">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7D665E43" w:rsidR="00851F66" w:rsidRDefault="00851F66"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D621DB">
      <w:t>Gold Coast</w:t>
    </w:r>
    <w:r>
      <w:t>,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t>January 2024</w:t>
    </w: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532881"/>
      <w:docPartObj>
        <w:docPartGallery w:val="Page Numbers (Bottom of Page)"/>
        <w:docPartUnique/>
      </w:docPartObj>
    </w:sdtPr>
    <w:sdtEndPr/>
    <w:sdtContent>
      <w:sdt>
        <w:sdtPr>
          <w:id w:val="-1705238520"/>
          <w:docPartObj>
            <w:docPartGallery w:val="Page Numbers (Top of Page)"/>
            <w:docPartUnique/>
          </w:docPartObj>
        </w:sdtPr>
        <w:sdtEndPr/>
        <w:sdtContent>
          <w:p w14:paraId="3680F417" w14:textId="64725971" w:rsidR="00851F66" w:rsidRDefault="00851F66" w:rsidP="00D428DE">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B68CF9B" w14:textId="77777777" w:rsidR="00851F66" w:rsidRDefault="00851F66" w:rsidP="00D428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9EA8" w14:textId="77777777" w:rsidR="00BE1658" w:rsidRDefault="00BE1658" w:rsidP="008E12A6">
      <w:pPr>
        <w:spacing w:before="0" w:after="0"/>
      </w:pPr>
      <w:r>
        <w:separator/>
      </w:r>
    </w:p>
    <w:p w14:paraId="031481DB" w14:textId="77777777" w:rsidR="00BE1658" w:rsidRDefault="00BE1658"/>
  </w:footnote>
  <w:footnote w:type="continuationSeparator" w:id="0">
    <w:p w14:paraId="07A65C3A" w14:textId="77777777" w:rsidR="00BE1658" w:rsidRDefault="00BE1658" w:rsidP="008E12A6">
      <w:pPr>
        <w:spacing w:before="0" w:after="0"/>
      </w:pPr>
      <w:r>
        <w:continuationSeparator/>
      </w:r>
    </w:p>
    <w:p w14:paraId="142CCDA0" w14:textId="77777777" w:rsidR="00BE1658" w:rsidRDefault="00BE1658"/>
  </w:footnote>
  <w:footnote w:id="1">
    <w:p w14:paraId="11782872" w14:textId="7735BBAF" w:rsidR="00851F66" w:rsidRPr="00EB31C8" w:rsidRDefault="00851F66" w:rsidP="00ED1D42">
      <w:pPr>
        <w:pStyle w:val="FootnoteText"/>
        <w:rPr>
          <w:highlight w:val="yellow"/>
        </w:rPr>
      </w:pPr>
      <w:r w:rsidRPr="00EB31C8">
        <w:rPr>
          <w:rStyle w:val="FootnoteReference"/>
          <w:highlight w:val="yellow"/>
        </w:rPr>
        <w:footnoteRef/>
      </w:r>
    </w:p>
    <w:p w14:paraId="7F553F86" w14:textId="5684BA9D" w:rsidR="00851F66" w:rsidRDefault="00851F66" w:rsidP="00ED1D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DF3A" w14:textId="1CCC7F58" w:rsidR="00137E75" w:rsidRDefault="00137E75">
    <w:pPr>
      <w:pStyle w:val="Header"/>
    </w:pPr>
    <w:r>
      <w:rPr>
        <w:noProof/>
      </w:rPr>
      <mc:AlternateContent>
        <mc:Choice Requires="wps">
          <w:drawing>
            <wp:anchor distT="0" distB="0" distL="0" distR="0" simplePos="0" relativeHeight="251659264" behindDoc="0" locked="0" layoutInCell="1" allowOverlap="1" wp14:anchorId="6C3E13EE" wp14:editId="03FCBAB4">
              <wp:simplePos x="635" y="635"/>
              <wp:positionH relativeFrom="page">
                <wp:align>center</wp:align>
              </wp:positionH>
              <wp:positionV relativeFrom="page">
                <wp:align>top</wp:align>
              </wp:positionV>
              <wp:extent cx="443865" cy="443865"/>
              <wp:effectExtent l="0" t="0" r="8890" b="4445"/>
              <wp:wrapNone/>
              <wp:docPr id="1501957250"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0AD053" w14:textId="53E6DE30" w:rsidR="00137E75" w:rsidRPr="00137E75" w:rsidRDefault="00137E75" w:rsidP="00137E75">
                          <w:pPr>
                            <w:spacing w:after="0"/>
                            <w:rPr>
                              <w:rFonts w:ascii="Calibri" w:eastAsia="Calibri" w:hAnsi="Calibri" w:cs="Calibri"/>
                              <w:noProof/>
                              <w:color w:val="EEDC00"/>
                              <w:sz w:val="24"/>
                            </w:rPr>
                          </w:pPr>
                          <w:r w:rsidRPr="00137E75">
                            <w:rPr>
                              <w:rFonts w:ascii="Calibri" w:eastAsia="Calibri" w:hAnsi="Calibri" w:cs="Calibri"/>
                              <w:noProof/>
                              <w:color w:val="EEDC00"/>
                              <w:sz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3E13EE" id="_x0000_t202" coordsize="21600,21600" o:spt="202" path="m,l,21600r21600,l21600,xe">
              <v:stroke joinstyle="miter"/>
              <v:path gradientshapeok="t" o:connecttype="rect"/>
            </v:shapetype>
            <v:shape id="Text Box 2" o:spid="_x0000_s1026" type="#_x0000_t202" alt="RMIT Classification: Trust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fill o:detectmouseclick="t"/>
              <v:textbox style="mso-fit-shape-to-text:t" inset="0,15pt,0,0">
                <w:txbxContent>
                  <w:p w14:paraId="620AD053" w14:textId="53E6DE30" w:rsidR="00137E75" w:rsidRPr="00137E75" w:rsidRDefault="00137E75" w:rsidP="00137E75">
                    <w:pPr>
                      <w:spacing w:after="0"/>
                      <w:rPr>
                        <w:rFonts w:ascii="Calibri" w:eastAsia="Calibri" w:hAnsi="Calibri" w:cs="Calibri"/>
                        <w:noProof/>
                        <w:color w:val="EEDC00"/>
                        <w:sz w:val="24"/>
                      </w:rPr>
                    </w:pPr>
                    <w:r w:rsidRPr="00137E75">
                      <w:rPr>
                        <w:rFonts w:ascii="Calibri" w:eastAsia="Calibri" w:hAnsi="Calibri" w:cs="Calibri"/>
                        <w:noProof/>
                        <w:color w:val="EEDC00"/>
                        <w:sz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4DF5A0C9" w:rsidR="00851F66" w:rsidRDefault="00851F66" w:rsidP="00D308B8">
    <w:pPr>
      <w:pStyle w:val="ConferenceDetails"/>
    </w:pPr>
    <w:r>
      <w:t>30</w:t>
    </w:r>
    <w:r w:rsidRPr="00D062C6">
      <w:rPr>
        <w:vertAlign w:val="superscript"/>
      </w:rPr>
      <w:t>TH</w:t>
    </w:r>
    <w:r>
      <w:t xml:space="preserve"> Annual Pacific Rim Real Estate Society Conference</w:t>
    </w:r>
  </w:p>
  <w:p w14:paraId="4CB5B79D" w14:textId="42F4411E" w:rsidR="00851F66" w:rsidRDefault="00851F66" w:rsidP="00D308B8">
    <w:pPr>
      <w:pStyle w:val="ConferenceDetails"/>
    </w:pPr>
    <w:r>
      <w:t>GOLD COAST, AUSTRALIA 14</w:t>
    </w:r>
    <w:r>
      <w:rPr>
        <w:vertAlign w:val="superscript"/>
      </w:rPr>
      <w:t xml:space="preserve">th </w:t>
    </w:r>
    <w:r>
      <w:t xml:space="preserve">– </w:t>
    </w:r>
    <w:r w:rsidRPr="00E26DBC">
      <w:t>17</w:t>
    </w:r>
    <w:r>
      <w:rPr>
        <w:vertAlign w:val="superscript"/>
      </w:rPr>
      <w:t xml:space="preserve">th  </w:t>
    </w: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1457"/>
    <w:multiLevelType w:val="hybridMultilevel"/>
    <w:tmpl w:val="F8D0E266"/>
    <w:lvl w:ilvl="0" w:tplc="0C30DD06">
      <w:start w:val="1"/>
      <w:numFmt w:val="bullet"/>
      <w:lvlText w:val="•"/>
      <w:lvlJc w:val="left"/>
      <w:pPr>
        <w:tabs>
          <w:tab w:val="num" w:pos="720"/>
        </w:tabs>
        <w:ind w:left="720" w:hanging="360"/>
      </w:pPr>
      <w:rPr>
        <w:rFonts w:ascii="Times New Roman" w:hAnsi="Times New Roman" w:hint="default"/>
      </w:rPr>
    </w:lvl>
    <w:lvl w:ilvl="1" w:tplc="B0D42218" w:tentative="1">
      <w:start w:val="1"/>
      <w:numFmt w:val="bullet"/>
      <w:lvlText w:val="•"/>
      <w:lvlJc w:val="left"/>
      <w:pPr>
        <w:tabs>
          <w:tab w:val="num" w:pos="1440"/>
        </w:tabs>
        <w:ind w:left="1440" w:hanging="360"/>
      </w:pPr>
      <w:rPr>
        <w:rFonts w:ascii="Times New Roman" w:hAnsi="Times New Roman" w:hint="default"/>
      </w:rPr>
    </w:lvl>
    <w:lvl w:ilvl="2" w:tplc="58EA9B4E" w:tentative="1">
      <w:start w:val="1"/>
      <w:numFmt w:val="bullet"/>
      <w:lvlText w:val="•"/>
      <w:lvlJc w:val="left"/>
      <w:pPr>
        <w:tabs>
          <w:tab w:val="num" w:pos="2160"/>
        </w:tabs>
        <w:ind w:left="2160" w:hanging="360"/>
      </w:pPr>
      <w:rPr>
        <w:rFonts w:ascii="Times New Roman" w:hAnsi="Times New Roman" w:hint="default"/>
      </w:rPr>
    </w:lvl>
    <w:lvl w:ilvl="3" w:tplc="A3A6936E" w:tentative="1">
      <w:start w:val="1"/>
      <w:numFmt w:val="bullet"/>
      <w:lvlText w:val="•"/>
      <w:lvlJc w:val="left"/>
      <w:pPr>
        <w:tabs>
          <w:tab w:val="num" w:pos="2880"/>
        </w:tabs>
        <w:ind w:left="2880" w:hanging="360"/>
      </w:pPr>
      <w:rPr>
        <w:rFonts w:ascii="Times New Roman" w:hAnsi="Times New Roman" w:hint="default"/>
      </w:rPr>
    </w:lvl>
    <w:lvl w:ilvl="4" w:tplc="7C8805A4" w:tentative="1">
      <w:start w:val="1"/>
      <w:numFmt w:val="bullet"/>
      <w:lvlText w:val="•"/>
      <w:lvlJc w:val="left"/>
      <w:pPr>
        <w:tabs>
          <w:tab w:val="num" w:pos="3600"/>
        </w:tabs>
        <w:ind w:left="3600" w:hanging="360"/>
      </w:pPr>
      <w:rPr>
        <w:rFonts w:ascii="Times New Roman" w:hAnsi="Times New Roman" w:hint="default"/>
      </w:rPr>
    </w:lvl>
    <w:lvl w:ilvl="5" w:tplc="CD26ADA4" w:tentative="1">
      <w:start w:val="1"/>
      <w:numFmt w:val="bullet"/>
      <w:lvlText w:val="•"/>
      <w:lvlJc w:val="left"/>
      <w:pPr>
        <w:tabs>
          <w:tab w:val="num" w:pos="4320"/>
        </w:tabs>
        <w:ind w:left="4320" w:hanging="360"/>
      </w:pPr>
      <w:rPr>
        <w:rFonts w:ascii="Times New Roman" w:hAnsi="Times New Roman" w:hint="default"/>
      </w:rPr>
    </w:lvl>
    <w:lvl w:ilvl="6" w:tplc="08DC23B0" w:tentative="1">
      <w:start w:val="1"/>
      <w:numFmt w:val="bullet"/>
      <w:lvlText w:val="•"/>
      <w:lvlJc w:val="left"/>
      <w:pPr>
        <w:tabs>
          <w:tab w:val="num" w:pos="5040"/>
        </w:tabs>
        <w:ind w:left="5040" w:hanging="360"/>
      </w:pPr>
      <w:rPr>
        <w:rFonts w:ascii="Times New Roman" w:hAnsi="Times New Roman" w:hint="default"/>
      </w:rPr>
    </w:lvl>
    <w:lvl w:ilvl="7" w:tplc="878C8174" w:tentative="1">
      <w:start w:val="1"/>
      <w:numFmt w:val="bullet"/>
      <w:lvlText w:val="•"/>
      <w:lvlJc w:val="left"/>
      <w:pPr>
        <w:tabs>
          <w:tab w:val="num" w:pos="5760"/>
        </w:tabs>
        <w:ind w:left="5760" w:hanging="360"/>
      </w:pPr>
      <w:rPr>
        <w:rFonts w:ascii="Times New Roman" w:hAnsi="Times New Roman" w:hint="default"/>
      </w:rPr>
    </w:lvl>
    <w:lvl w:ilvl="8" w:tplc="A1049B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F4BDC"/>
    <w:multiLevelType w:val="hybridMultilevel"/>
    <w:tmpl w:val="D71CE8A8"/>
    <w:lvl w:ilvl="0" w:tplc="0E02ADC4">
      <w:start w:val="1"/>
      <w:numFmt w:val="bullet"/>
      <w:lvlText w:val="•"/>
      <w:lvlJc w:val="left"/>
      <w:pPr>
        <w:tabs>
          <w:tab w:val="num" w:pos="720"/>
        </w:tabs>
        <w:ind w:left="720" w:hanging="360"/>
      </w:pPr>
      <w:rPr>
        <w:rFonts w:ascii="Times New Roman" w:hAnsi="Times New Roman" w:hint="default"/>
      </w:rPr>
    </w:lvl>
    <w:lvl w:ilvl="1" w:tplc="B6D4578E" w:tentative="1">
      <w:start w:val="1"/>
      <w:numFmt w:val="bullet"/>
      <w:lvlText w:val="•"/>
      <w:lvlJc w:val="left"/>
      <w:pPr>
        <w:tabs>
          <w:tab w:val="num" w:pos="1440"/>
        </w:tabs>
        <w:ind w:left="1440" w:hanging="360"/>
      </w:pPr>
      <w:rPr>
        <w:rFonts w:ascii="Times New Roman" w:hAnsi="Times New Roman" w:hint="default"/>
      </w:rPr>
    </w:lvl>
    <w:lvl w:ilvl="2" w:tplc="5F2A5A7E" w:tentative="1">
      <w:start w:val="1"/>
      <w:numFmt w:val="bullet"/>
      <w:lvlText w:val="•"/>
      <w:lvlJc w:val="left"/>
      <w:pPr>
        <w:tabs>
          <w:tab w:val="num" w:pos="2160"/>
        </w:tabs>
        <w:ind w:left="2160" w:hanging="360"/>
      </w:pPr>
      <w:rPr>
        <w:rFonts w:ascii="Times New Roman" w:hAnsi="Times New Roman" w:hint="default"/>
      </w:rPr>
    </w:lvl>
    <w:lvl w:ilvl="3" w:tplc="312AA9B8" w:tentative="1">
      <w:start w:val="1"/>
      <w:numFmt w:val="bullet"/>
      <w:lvlText w:val="•"/>
      <w:lvlJc w:val="left"/>
      <w:pPr>
        <w:tabs>
          <w:tab w:val="num" w:pos="2880"/>
        </w:tabs>
        <w:ind w:left="2880" w:hanging="360"/>
      </w:pPr>
      <w:rPr>
        <w:rFonts w:ascii="Times New Roman" w:hAnsi="Times New Roman" w:hint="default"/>
      </w:rPr>
    </w:lvl>
    <w:lvl w:ilvl="4" w:tplc="6B343BB6" w:tentative="1">
      <w:start w:val="1"/>
      <w:numFmt w:val="bullet"/>
      <w:lvlText w:val="•"/>
      <w:lvlJc w:val="left"/>
      <w:pPr>
        <w:tabs>
          <w:tab w:val="num" w:pos="3600"/>
        </w:tabs>
        <w:ind w:left="3600" w:hanging="360"/>
      </w:pPr>
      <w:rPr>
        <w:rFonts w:ascii="Times New Roman" w:hAnsi="Times New Roman" w:hint="default"/>
      </w:rPr>
    </w:lvl>
    <w:lvl w:ilvl="5" w:tplc="098C88CC" w:tentative="1">
      <w:start w:val="1"/>
      <w:numFmt w:val="bullet"/>
      <w:lvlText w:val="•"/>
      <w:lvlJc w:val="left"/>
      <w:pPr>
        <w:tabs>
          <w:tab w:val="num" w:pos="4320"/>
        </w:tabs>
        <w:ind w:left="4320" w:hanging="360"/>
      </w:pPr>
      <w:rPr>
        <w:rFonts w:ascii="Times New Roman" w:hAnsi="Times New Roman" w:hint="default"/>
      </w:rPr>
    </w:lvl>
    <w:lvl w:ilvl="6" w:tplc="7CF2C076" w:tentative="1">
      <w:start w:val="1"/>
      <w:numFmt w:val="bullet"/>
      <w:lvlText w:val="•"/>
      <w:lvlJc w:val="left"/>
      <w:pPr>
        <w:tabs>
          <w:tab w:val="num" w:pos="5040"/>
        </w:tabs>
        <w:ind w:left="5040" w:hanging="360"/>
      </w:pPr>
      <w:rPr>
        <w:rFonts w:ascii="Times New Roman" w:hAnsi="Times New Roman" w:hint="default"/>
      </w:rPr>
    </w:lvl>
    <w:lvl w:ilvl="7" w:tplc="13FADC64" w:tentative="1">
      <w:start w:val="1"/>
      <w:numFmt w:val="bullet"/>
      <w:lvlText w:val="•"/>
      <w:lvlJc w:val="left"/>
      <w:pPr>
        <w:tabs>
          <w:tab w:val="num" w:pos="5760"/>
        </w:tabs>
        <w:ind w:left="5760" w:hanging="360"/>
      </w:pPr>
      <w:rPr>
        <w:rFonts w:ascii="Times New Roman" w:hAnsi="Times New Roman" w:hint="default"/>
      </w:rPr>
    </w:lvl>
    <w:lvl w:ilvl="8" w:tplc="668EAAF8" w:tentative="1">
      <w:start w:val="1"/>
      <w:numFmt w:val="bullet"/>
      <w:lvlText w:val="•"/>
      <w:lvlJc w:val="left"/>
      <w:pPr>
        <w:tabs>
          <w:tab w:val="num" w:pos="6480"/>
        </w:tabs>
        <w:ind w:left="6480" w:hanging="360"/>
      </w:pPr>
      <w:rPr>
        <w:rFonts w:ascii="Times New Roman" w:hAnsi="Times New Roman" w:hint="default"/>
      </w:rPr>
    </w:lvl>
  </w:abstractNum>
  <w:num w:numId="1" w16cid:durableId="403374350">
    <w:abstractNumId w:val="1"/>
  </w:num>
  <w:num w:numId="2" w16cid:durableId="1100415957">
    <w:abstractNumId w:val="0"/>
  </w:num>
  <w:num w:numId="3" w16cid:durableId="1272205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37597"/>
    <w:rsid w:val="0005361A"/>
    <w:rsid w:val="00061E91"/>
    <w:rsid w:val="000648F4"/>
    <w:rsid w:val="0008059D"/>
    <w:rsid w:val="00093380"/>
    <w:rsid w:val="00095ECF"/>
    <w:rsid w:val="000D2B0E"/>
    <w:rsid w:val="000F14B8"/>
    <w:rsid w:val="000F1D5D"/>
    <w:rsid w:val="000F2961"/>
    <w:rsid w:val="00137E75"/>
    <w:rsid w:val="001560FA"/>
    <w:rsid w:val="00174652"/>
    <w:rsid w:val="001D6133"/>
    <w:rsid w:val="001F077D"/>
    <w:rsid w:val="0022334F"/>
    <w:rsid w:val="00250937"/>
    <w:rsid w:val="00252DDF"/>
    <w:rsid w:val="00264348"/>
    <w:rsid w:val="00287F35"/>
    <w:rsid w:val="002911FD"/>
    <w:rsid w:val="00292CDB"/>
    <w:rsid w:val="0029606C"/>
    <w:rsid w:val="002B3D8E"/>
    <w:rsid w:val="002B3E19"/>
    <w:rsid w:val="002C1C4A"/>
    <w:rsid w:val="002D54DF"/>
    <w:rsid w:val="002E23A2"/>
    <w:rsid w:val="00306BD9"/>
    <w:rsid w:val="003245FD"/>
    <w:rsid w:val="003538DF"/>
    <w:rsid w:val="00353AA3"/>
    <w:rsid w:val="0035719A"/>
    <w:rsid w:val="003626BA"/>
    <w:rsid w:val="00397E45"/>
    <w:rsid w:val="003A794F"/>
    <w:rsid w:val="003C20BE"/>
    <w:rsid w:val="003D7A26"/>
    <w:rsid w:val="003E5BE9"/>
    <w:rsid w:val="003F6D80"/>
    <w:rsid w:val="00401A4B"/>
    <w:rsid w:val="0040353A"/>
    <w:rsid w:val="00405D19"/>
    <w:rsid w:val="00414CC4"/>
    <w:rsid w:val="0042168F"/>
    <w:rsid w:val="004219ED"/>
    <w:rsid w:val="004262C9"/>
    <w:rsid w:val="00427023"/>
    <w:rsid w:val="0046110D"/>
    <w:rsid w:val="004618EE"/>
    <w:rsid w:val="00480AC7"/>
    <w:rsid w:val="004842CC"/>
    <w:rsid w:val="00496B09"/>
    <w:rsid w:val="00496E7D"/>
    <w:rsid w:val="00496F0D"/>
    <w:rsid w:val="004A44EC"/>
    <w:rsid w:val="004B7CC1"/>
    <w:rsid w:val="004C68C0"/>
    <w:rsid w:val="004D0B0F"/>
    <w:rsid w:val="004F2278"/>
    <w:rsid w:val="005170D8"/>
    <w:rsid w:val="005255E7"/>
    <w:rsid w:val="00526FA9"/>
    <w:rsid w:val="00527F14"/>
    <w:rsid w:val="005314FD"/>
    <w:rsid w:val="00544578"/>
    <w:rsid w:val="00591599"/>
    <w:rsid w:val="005C30E4"/>
    <w:rsid w:val="005C69DB"/>
    <w:rsid w:val="00600283"/>
    <w:rsid w:val="00602C6C"/>
    <w:rsid w:val="00605E25"/>
    <w:rsid w:val="00626415"/>
    <w:rsid w:val="00626858"/>
    <w:rsid w:val="00627959"/>
    <w:rsid w:val="00643DE9"/>
    <w:rsid w:val="00667F67"/>
    <w:rsid w:val="006C65CE"/>
    <w:rsid w:val="006D0161"/>
    <w:rsid w:val="0071041F"/>
    <w:rsid w:val="00723C9B"/>
    <w:rsid w:val="0074692C"/>
    <w:rsid w:val="0075724D"/>
    <w:rsid w:val="00773D02"/>
    <w:rsid w:val="007975B6"/>
    <w:rsid w:val="007A3A5D"/>
    <w:rsid w:val="007D7582"/>
    <w:rsid w:val="007E1D87"/>
    <w:rsid w:val="00842BAB"/>
    <w:rsid w:val="00851F66"/>
    <w:rsid w:val="008771E3"/>
    <w:rsid w:val="00880A27"/>
    <w:rsid w:val="00891010"/>
    <w:rsid w:val="008A4B5E"/>
    <w:rsid w:val="008B7424"/>
    <w:rsid w:val="008E12A6"/>
    <w:rsid w:val="008E54AC"/>
    <w:rsid w:val="008E7F70"/>
    <w:rsid w:val="008F5927"/>
    <w:rsid w:val="00936C6E"/>
    <w:rsid w:val="0095622F"/>
    <w:rsid w:val="00972069"/>
    <w:rsid w:val="00987C29"/>
    <w:rsid w:val="00995D55"/>
    <w:rsid w:val="009B0054"/>
    <w:rsid w:val="009B5276"/>
    <w:rsid w:val="009B6BB3"/>
    <w:rsid w:val="009C0F28"/>
    <w:rsid w:val="009C5B20"/>
    <w:rsid w:val="009E2BCD"/>
    <w:rsid w:val="009E7C57"/>
    <w:rsid w:val="00A079E2"/>
    <w:rsid w:val="00A1590B"/>
    <w:rsid w:val="00A16F87"/>
    <w:rsid w:val="00A426A0"/>
    <w:rsid w:val="00A84311"/>
    <w:rsid w:val="00A90745"/>
    <w:rsid w:val="00A932B7"/>
    <w:rsid w:val="00AB13DD"/>
    <w:rsid w:val="00AB691B"/>
    <w:rsid w:val="00AD457D"/>
    <w:rsid w:val="00AE6023"/>
    <w:rsid w:val="00AF4F12"/>
    <w:rsid w:val="00B11291"/>
    <w:rsid w:val="00B231D9"/>
    <w:rsid w:val="00B33D56"/>
    <w:rsid w:val="00B375D0"/>
    <w:rsid w:val="00B52E62"/>
    <w:rsid w:val="00B57E90"/>
    <w:rsid w:val="00B81B89"/>
    <w:rsid w:val="00BB1441"/>
    <w:rsid w:val="00BB1B73"/>
    <w:rsid w:val="00BB5F05"/>
    <w:rsid w:val="00BE1658"/>
    <w:rsid w:val="00BE315A"/>
    <w:rsid w:val="00BE69B4"/>
    <w:rsid w:val="00C00F10"/>
    <w:rsid w:val="00C03F94"/>
    <w:rsid w:val="00C259E4"/>
    <w:rsid w:val="00C30EA4"/>
    <w:rsid w:val="00C4269A"/>
    <w:rsid w:val="00C90537"/>
    <w:rsid w:val="00CA51D8"/>
    <w:rsid w:val="00CB132F"/>
    <w:rsid w:val="00CD1431"/>
    <w:rsid w:val="00CD24E9"/>
    <w:rsid w:val="00D062C6"/>
    <w:rsid w:val="00D1720B"/>
    <w:rsid w:val="00D20587"/>
    <w:rsid w:val="00D20917"/>
    <w:rsid w:val="00D308B8"/>
    <w:rsid w:val="00D408CA"/>
    <w:rsid w:val="00D428DE"/>
    <w:rsid w:val="00D621DB"/>
    <w:rsid w:val="00D66669"/>
    <w:rsid w:val="00D67A67"/>
    <w:rsid w:val="00D761A1"/>
    <w:rsid w:val="00D92FA4"/>
    <w:rsid w:val="00D93C1D"/>
    <w:rsid w:val="00DB0C6D"/>
    <w:rsid w:val="00DB26F3"/>
    <w:rsid w:val="00DC2754"/>
    <w:rsid w:val="00DC4928"/>
    <w:rsid w:val="00DD3F47"/>
    <w:rsid w:val="00DD460B"/>
    <w:rsid w:val="00DF3CEC"/>
    <w:rsid w:val="00E26DBC"/>
    <w:rsid w:val="00E6554D"/>
    <w:rsid w:val="00E80509"/>
    <w:rsid w:val="00E854D6"/>
    <w:rsid w:val="00E87E05"/>
    <w:rsid w:val="00E9027A"/>
    <w:rsid w:val="00EA5726"/>
    <w:rsid w:val="00EB31C8"/>
    <w:rsid w:val="00ED1D42"/>
    <w:rsid w:val="00EE50F4"/>
    <w:rsid w:val="00F23775"/>
    <w:rsid w:val="00F2384E"/>
    <w:rsid w:val="00F264ED"/>
    <w:rsid w:val="00F56E34"/>
    <w:rsid w:val="00F6447E"/>
    <w:rsid w:val="00F746A4"/>
    <w:rsid w:val="00FC7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paragraph" w:customStyle="1" w:styleId="AbstractPRRES2023">
    <w:name w:val="Abstract PRRES 2023"/>
    <w:basedOn w:val="Abstract"/>
    <w:link w:val="AbstractPRRES2023Char"/>
    <w:qFormat/>
    <w:rsid w:val="00B52E62"/>
    <w:pPr>
      <w:spacing w:before="0" w:line="360" w:lineRule="auto"/>
    </w:pPr>
    <w:rPr>
      <w:i w:val="0"/>
      <w:sz w:val="24"/>
      <w:szCs w:val="22"/>
      <w:u w:color="000000"/>
      <w:lang w:eastAsia="en-US"/>
    </w:rPr>
  </w:style>
  <w:style w:type="character" w:customStyle="1" w:styleId="AbstractPRRES2023Char">
    <w:name w:val="Abstract PRRES 2023 Char"/>
    <w:basedOn w:val="DefaultParagraphFont"/>
    <w:link w:val="AbstractPRRES2023"/>
    <w:rsid w:val="00B52E62"/>
    <w:rPr>
      <w:sz w:val="24"/>
      <w:szCs w:val="22"/>
      <w:u w:color="000000"/>
      <w:lang w:eastAsia="en-US"/>
    </w:rPr>
  </w:style>
  <w:style w:type="paragraph" w:customStyle="1" w:styleId="PhDNormal">
    <w:name w:val="PhD Normal"/>
    <w:link w:val="PhDNormalChar"/>
    <w:qFormat/>
    <w:rsid w:val="00C00F10"/>
    <w:pPr>
      <w:spacing w:after="120" w:line="360" w:lineRule="auto"/>
      <w:ind w:firstLine="567"/>
      <w:jc w:val="both"/>
    </w:pPr>
    <w:rPr>
      <w:sz w:val="24"/>
      <w:szCs w:val="22"/>
      <w:lang w:eastAsia="en-US"/>
    </w:rPr>
  </w:style>
  <w:style w:type="character" w:customStyle="1" w:styleId="PhDNormalChar">
    <w:name w:val="PhD Normal Char"/>
    <w:basedOn w:val="DefaultParagraphFont"/>
    <w:link w:val="PhDNormal"/>
    <w:rsid w:val="00C00F10"/>
    <w:rPr>
      <w:sz w:val="24"/>
      <w:szCs w:val="22"/>
      <w:lang w:eastAsia="en-US"/>
    </w:rPr>
  </w:style>
  <w:style w:type="character" w:styleId="Emphasis">
    <w:name w:val="Emphasis"/>
    <w:basedOn w:val="DefaultParagraphFont"/>
    <w:uiPriority w:val="20"/>
    <w:qFormat/>
    <w:rsid w:val="004F2278"/>
    <w:rPr>
      <w:i/>
      <w:iCs/>
    </w:rPr>
  </w:style>
  <w:style w:type="table" w:styleId="TableGrid">
    <w:name w:val="Table Grid"/>
    <w:basedOn w:val="TableNormal"/>
    <w:uiPriority w:val="59"/>
    <w:rsid w:val="00DD460B"/>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84E"/>
    <w:pPr>
      <w:spacing w:before="0" w:after="0"/>
      <w:ind w:left="720"/>
      <w:contextualSpacing/>
      <w:jc w:val="left"/>
    </w:pPr>
    <w:rPr>
      <w:sz w:val="24"/>
    </w:rPr>
  </w:style>
  <w:style w:type="paragraph" w:customStyle="1" w:styleId="PRRESIncmainbody">
    <w:name w:val="PRRES Inc main body"/>
    <w:basedOn w:val="PhDNormal"/>
    <w:link w:val="PRRESIncmainbodyChar"/>
    <w:qFormat/>
    <w:rsid w:val="0008059D"/>
    <w:pPr>
      <w:spacing w:after="0" w:line="240" w:lineRule="auto"/>
      <w:ind w:firstLine="0"/>
    </w:pPr>
    <w:rPr>
      <w:sz w:val="22"/>
    </w:rPr>
  </w:style>
  <w:style w:type="paragraph" w:customStyle="1" w:styleId="Style1">
    <w:name w:val="Style1"/>
    <w:basedOn w:val="Normal"/>
    <w:link w:val="Style1Char"/>
    <w:qFormat/>
    <w:rsid w:val="00C30EA4"/>
    <w:pPr>
      <w:pBdr>
        <w:top w:val="nil"/>
        <w:left w:val="nil"/>
        <w:bottom w:val="nil"/>
        <w:right w:val="nil"/>
        <w:between w:val="nil"/>
        <w:bar w:val="nil"/>
      </w:pBdr>
    </w:pPr>
    <w:rPr>
      <w:rFonts w:eastAsia="Arial Unicode MS" w:cs="Arial Unicode MS"/>
      <w:color w:val="000000"/>
      <w:szCs w:val="22"/>
      <w:u w:color="000000"/>
      <w:bdr w:val="nil"/>
      <w:lang w:val="en-US" w:eastAsia="en-GB"/>
      <w14:textOutline w14:w="12700" w14:cap="flat" w14:cmpd="sng" w14:algn="ctr">
        <w14:noFill/>
        <w14:prstDash w14:val="solid"/>
        <w14:miter w14:lim="400000"/>
      </w14:textOutline>
    </w:rPr>
  </w:style>
  <w:style w:type="character" w:customStyle="1" w:styleId="PRRESIncmainbodyChar">
    <w:name w:val="PRRES Inc main body Char"/>
    <w:basedOn w:val="PhDNormalChar"/>
    <w:link w:val="PRRESIncmainbody"/>
    <w:rsid w:val="0008059D"/>
    <w:rPr>
      <w:sz w:val="22"/>
      <w:szCs w:val="22"/>
      <w:lang w:eastAsia="en-US"/>
    </w:rPr>
  </w:style>
  <w:style w:type="character" w:customStyle="1" w:styleId="Style1Char">
    <w:name w:val="Style1 Char"/>
    <w:basedOn w:val="DefaultParagraphFont"/>
    <w:link w:val="Style1"/>
    <w:rsid w:val="00C30EA4"/>
    <w:rPr>
      <w:rFonts w:eastAsia="Arial Unicode MS" w:cs="Arial Unicode MS"/>
      <w:color w:val="000000"/>
      <w:sz w:val="22"/>
      <w:szCs w:val="22"/>
      <w:u w:color="000000"/>
      <w:bdr w:val="nil"/>
      <w:lang w:val="en-US" w:eastAsia="en-GB"/>
      <w14:textOutline w14:w="12700" w14:cap="flat" w14:cmpd="sng" w14:algn="ctr">
        <w14:noFill/>
        <w14:prstDash w14:val="solid"/>
        <w14:miter w14:lim="400000"/>
      </w14:textOutline>
    </w:rPr>
  </w:style>
  <w:style w:type="paragraph" w:customStyle="1" w:styleId="Paragraph">
    <w:name w:val="Paragraph"/>
    <w:basedOn w:val="Normal"/>
    <w:next w:val="Normal"/>
    <w:rsid w:val="00E854D6"/>
    <w:pPr>
      <w:widowControl w:val="0"/>
      <w:spacing w:before="240" w:after="0" w:line="480" w:lineRule="auto"/>
      <w:jc w:val="left"/>
    </w:pPr>
    <w:rPr>
      <w:sz w:val="24"/>
      <w:lang w:val="en-GB" w:eastAsia="en-GB"/>
    </w:rPr>
  </w:style>
  <w:style w:type="paragraph" w:customStyle="1" w:styleId="PhDReference">
    <w:name w:val="PhD Reference"/>
    <w:basedOn w:val="PhDNormal"/>
    <w:qFormat/>
    <w:rsid w:val="00EB31C8"/>
    <w:pPr>
      <w:spacing w:after="180" w:line="240" w:lineRule="auto"/>
      <w:ind w:left="454" w:hanging="454"/>
      <w:jc w:val="left"/>
    </w:pPr>
  </w:style>
  <w:style w:type="character" w:styleId="Hyperlink">
    <w:name w:val="Hyperlink"/>
    <w:basedOn w:val="DefaultParagraphFont"/>
    <w:uiPriority w:val="99"/>
    <w:rsid w:val="00F26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227">
      <w:bodyDiv w:val="1"/>
      <w:marLeft w:val="0"/>
      <w:marRight w:val="0"/>
      <w:marTop w:val="0"/>
      <w:marBottom w:val="0"/>
      <w:divBdr>
        <w:top w:val="none" w:sz="0" w:space="0" w:color="auto"/>
        <w:left w:val="none" w:sz="0" w:space="0" w:color="auto"/>
        <w:bottom w:val="none" w:sz="0" w:space="0" w:color="auto"/>
        <w:right w:val="none" w:sz="0" w:space="0" w:color="auto"/>
      </w:divBdr>
      <w:divsChild>
        <w:div w:id="677927489">
          <w:marLeft w:val="547"/>
          <w:marRight w:val="0"/>
          <w:marTop w:val="0"/>
          <w:marBottom w:val="0"/>
          <w:divBdr>
            <w:top w:val="none" w:sz="0" w:space="0" w:color="auto"/>
            <w:left w:val="none" w:sz="0" w:space="0" w:color="auto"/>
            <w:bottom w:val="none" w:sz="0" w:space="0" w:color="auto"/>
            <w:right w:val="none" w:sz="0" w:space="0" w:color="auto"/>
          </w:divBdr>
        </w:div>
      </w:divsChild>
    </w:div>
    <w:div w:id="2125541070">
      <w:bodyDiv w:val="1"/>
      <w:marLeft w:val="0"/>
      <w:marRight w:val="0"/>
      <w:marTop w:val="0"/>
      <w:marBottom w:val="0"/>
      <w:divBdr>
        <w:top w:val="none" w:sz="0" w:space="0" w:color="auto"/>
        <w:left w:val="none" w:sz="0" w:space="0" w:color="auto"/>
        <w:bottom w:val="none" w:sz="0" w:space="0" w:color="auto"/>
        <w:right w:val="none" w:sz="0" w:space="0" w:color="auto"/>
      </w:divBdr>
      <w:divsChild>
        <w:div w:id="210036654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trading.nsw.gov.au/__data/assets/pdf_file/0019/421147/Real_estate_reform_paper_Nov_2016.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nsw.gov.au/acts/1934-4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s.edu.au/staff/hera.antoniad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5" ma:contentTypeDescription="Create a new document." ma:contentTypeScope="" ma:versionID="e9dcdada1ffce3aacd901976843ac84b">
  <xsd:schema xmlns:xsd="http://www.w3.org/2001/XMLSchema" xmlns:xs="http://www.w3.org/2001/XMLSchema" xmlns:p="http://schemas.microsoft.com/office/2006/metadata/properties" xmlns:ns1="http://schemas.microsoft.com/sharepoint/v3" xmlns:ns3="0fb774b7-0571-4e61-9f02-9eb8691563b7" targetNamespace="http://schemas.microsoft.com/office/2006/metadata/properties" ma:root="true" ma:fieldsID="4613b65781e1fe585b30782e2aab1667" ns1:_="" ns3:_="">
    <xsd:import namespace="http://schemas.microsoft.com/sharepoint/v3"/>
    <xsd:import namespace="0fb774b7-0571-4e61-9f02-9eb869156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6DE9-6C16-4122-858D-25285F3335F1}">
  <ds:schemaRefs>
    <ds:schemaRef ds:uri="http://schemas.microsoft.com/sharepoint/v3/contenttype/forms"/>
  </ds:schemaRefs>
</ds:datastoreItem>
</file>

<file path=customXml/itemProps2.xml><?xml version="1.0" encoding="utf-8"?>
<ds:datastoreItem xmlns:ds="http://schemas.openxmlformats.org/officeDocument/2006/customXml" ds:itemID="{1AF115DF-345B-4B7D-BA54-6A047963A5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4EC1F9-D296-4282-B7C0-1339C64F4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324CA-A581-4727-B6B8-F31AC47F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3</TotalTime>
  <Pages>13</Pages>
  <Words>6097</Words>
  <Characters>36005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Connie Susilawati</cp:lastModifiedBy>
  <cp:revision>4</cp:revision>
  <cp:lastPrinted>2015-03-05T01:11:00Z</cp:lastPrinted>
  <dcterms:created xsi:type="dcterms:W3CDTF">2024-01-29T00:52:00Z</dcterms:created>
  <dcterms:modified xsi:type="dcterms:W3CDTF">2024-02-16T08:06:00Z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ClassificationContentMarkingHeaderShapeIds">
    <vt:lpwstr>71569bfe,59860c82,3d52e29</vt:lpwstr>
  </property>
  <property fmtid="{D5CDD505-2E9C-101B-9397-08002B2CF9AE}" pid="4" name="ClassificationContentMarkingHeaderFontProps">
    <vt:lpwstr>#eedc00,12,Calibri</vt:lpwstr>
  </property>
  <property fmtid="{D5CDD505-2E9C-101B-9397-08002B2CF9AE}" pid="5" name="ClassificationContentMarkingHeaderText">
    <vt:lpwstr>RMIT Classification: Trusted</vt:lpwstr>
  </property>
  <property fmtid="{D5CDD505-2E9C-101B-9397-08002B2CF9AE}" pid="6" name="MSIP_Label_8c3d088b-6243-4963-a2e2-8b321ab7f8fc_Enabled">
    <vt:lpwstr>true</vt:lpwstr>
  </property>
  <property fmtid="{D5CDD505-2E9C-101B-9397-08002B2CF9AE}" pid="7" name="MSIP_Label_8c3d088b-6243-4963-a2e2-8b321ab7f8fc_SetDate">
    <vt:lpwstr>2024-01-29T00:52:50Z</vt:lpwstr>
  </property>
  <property fmtid="{D5CDD505-2E9C-101B-9397-08002B2CF9AE}" pid="8" name="MSIP_Label_8c3d088b-6243-4963-a2e2-8b321ab7f8fc_Method">
    <vt:lpwstr>Standard</vt:lpwstr>
  </property>
  <property fmtid="{D5CDD505-2E9C-101B-9397-08002B2CF9AE}" pid="9" name="MSIP_Label_8c3d088b-6243-4963-a2e2-8b321ab7f8fc_Name">
    <vt:lpwstr>Trusted</vt:lpwstr>
  </property>
  <property fmtid="{D5CDD505-2E9C-101B-9397-08002B2CF9AE}" pid="10" name="MSIP_Label_8c3d088b-6243-4963-a2e2-8b321ab7f8fc_SiteId">
    <vt:lpwstr>d1323671-cdbe-4417-b4d4-bdb24b51316b</vt:lpwstr>
  </property>
  <property fmtid="{D5CDD505-2E9C-101B-9397-08002B2CF9AE}" pid="11" name="MSIP_Label_8c3d088b-6243-4963-a2e2-8b321ab7f8fc_ActionId">
    <vt:lpwstr>0e0c097f-d493-4a53-953c-d7dc884ce805</vt:lpwstr>
  </property>
  <property fmtid="{D5CDD505-2E9C-101B-9397-08002B2CF9AE}" pid="12" name="MSIP_Label_8c3d088b-6243-4963-a2e2-8b321ab7f8fc_ContentBits">
    <vt:lpwstr>1</vt:lpwstr>
  </property>
</Properties>
</file>