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2E673" w14:textId="0822F827" w:rsidR="00914346" w:rsidRPr="00597E56" w:rsidRDefault="00BA430E" w:rsidP="00F1501F">
      <w:pPr>
        <w:spacing w:after="0" w:line="240" w:lineRule="auto"/>
        <w:jc w:val="center"/>
        <w:rPr>
          <w:rFonts w:ascii="Palatino Linotype" w:hAnsi="Palatino Linotype"/>
          <w:b/>
          <w:bCs/>
          <w:sz w:val="36"/>
          <w:szCs w:val="36"/>
        </w:rPr>
      </w:pPr>
      <w:r w:rsidRPr="00597E56">
        <w:rPr>
          <w:rFonts w:ascii="Palatino Linotype" w:hAnsi="Palatino Linotype"/>
          <w:b/>
          <w:bCs/>
          <w:sz w:val="36"/>
          <w:szCs w:val="36"/>
        </w:rPr>
        <w:t xml:space="preserve">Aboriginal land </w:t>
      </w:r>
      <w:r w:rsidR="003751B9" w:rsidRPr="00597E56">
        <w:rPr>
          <w:rFonts w:ascii="Palatino Linotype" w:hAnsi="Palatino Linotype"/>
          <w:b/>
          <w:bCs/>
          <w:sz w:val="36"/>
          <w:szCs w:val="36"/>
        </w:rPr>
        <w:t>rights</w:t>
      </w:r>
      <w:r w:rsidR="00A33312" w:rsidRPr="00597E56">
        <w:rPr>
          <w:rFonts w:ascii="Palatino Linotype" w:hAnsi="Palatino Linotype"/>
          <w:b/>
          <w:bCs/>
          <w:sz w:val="36"/>
          <w:szCs w:val="36"/>
        </w:rPr>
        <w:t xml:space="preserve"> and</w:t>
      </w:r>
      <w:r w:rsidRPr="00597E56">
        <w:rPr>
          <w:rFonts w:ascii="Palatino Linotype" w:hAnsi="Palatino Linotype"/>
          <w:b/>
          <w:bCs/>
          <w:sz w:val="36"/>
          <w:szCs w:val="36"/>
        </w:rPr>
        <w:t xml:space="preserve"> </w:t>
      </w:r>
      <w:r w:rsidR="003751B9" w:rsidRPr="00597E56">
        <w:rPr>
          <w:rFonts w:ascii="Palatino Linotype" w:hAnsi="Palatino Linotype"/>
          <w:b/>
          <w:bCs/>
          <w:sz w:val="36"/>
          <w:szCs w:val="36"/>
        </w:rPr>
        <w:t>infrast</w:t>
      </w:r>
      <w:r w:rsidR="00224770" w:rsidRPr="00597E56">
        <w:rPr>
          <w:rFonts w:ascii="Palatino Linotype" w:hAnsi="Palatino Linotype"/>
          <w:b/>
          <w:bCs/>
          <w:sz w:val="36"/>
          <w:szCs w:val="36"/>
        </w:rPr>
        <w:t>ructure compensation assessment</w:t>
      </w:r>
      <w:r w:rsidR="003353E2" w:rsidRPr="00597E56">
        <w:rPr>
          <w:rFonts w:ascii="Palatino Linotype" w:hAnsi="Palatino Linotype"/>
          <w:b/>
          <w:bCs/>
          <w:sz w:val="36"/>
          <w:szCs w:val="36"/>
        </w:rPr>
        <w:t xml:space="preserve"> o</w:t>
      </w:r>
      <w:r w:rsidR="003751B9" w:rsidRPr="00597E56">
        <w:rPr>
          <w:rFonts w:ascii="Palatino Linotype" w:hAnsi="Palatino Linotype"/>
          <w:b/>
          <w:bCs/>
          <w:sz w:val="36"/>
          <w:szCs w:val="36"/>
        </w:rPr>
        <w:t>n Crown</w:t>
      </w:r>
      <w:r w:rsidR="0066348E" w:rsidRPr="00597E56">
        <w:rPr>
          <w:rFonts w:ascii="Palatino Linotype" w:hAnsi="Palatino Linotype"/>
          <w:b/>
          <w:bCs/>
          <w:sz w:val="36"/>
          <w:szCs w:val="36"/>
        </w:rPr>
        <w:t xml:space="preserve"> and non-freehold</w:t>
      </w:r>
      <w:r w:rsidR="00224770" w:rsidRPr="00597E56">
        <w:rPr>
          <w:rFonts w:ascii="Palatino Linotype" w:hAnsi="Palatino Linotype"/>
          <w:b/>
          <w:bCs/>
          <w:sz w:val="36"/>
          <w:szCs w:val="36"/>
        </w:rPr>
        <w:t xml:space="preserve"> </w:t>
      </w:r>
      <w:r w:rsidR="003751B9" w:rsidRPr="00597E56">
        <w:rPr>
          <w:rFonts w:ascii="Palatino Linotype" w:hAnsi="Palatino Linotype"/>
          <w:b/>
          <w:bCs/>
          <w:sz w:val="36"/>
          <w:szCs w:val="36"/>
        </w:rPr>
        <w:t>lands</w:t>
      </w:r>
      <w:r w:rsidR="00BF1494" w:rsidRPr="00597E56">
        <w:rPr>
          <w:rFonts w:ascii="Palatino Linotype" w:hAnsi="Palatino Linotype"/>
          <w:b/>
          <w:bCs/>
          <w:sz w:val="36"/>
          <w:szCs w:val="36"/>
        </w:rPr>
        <w:t xml:space="preserve"> in NSW</w:t>
      </w:r>
      <w:r w:rsidR="00A639D3" w:rsidRPr="00597E56">
        <w:rPr>
          <w:rStyle w:val="FootnoteReference"/>
          <w:rFonts w:ascii="Palatino Linotype" w:hAnsi="Palatino Linotype"/>
          <w:b/>
          <w:bCs/>
          <w:sz w:val="36"/>
          <w:szCs w:val="36"/>
        </w:rPr>
        <w:footnoteReference w:id="1"/>
      </w:r>
    </w:p>
    <w:p w14:paraId="6BD78CE0" w14:textId="47444E68" w:rsidR="00914346" w:rsidRPr="00597E56" w:rsidRDefault="00914346" w:rsidP="00F1501F">
      <w:pPr>
        <w:spacing w:after="0" w:line="240" w:lineRule="auto"/>
        <w:jc w:val="center"/>
        <w:rPr>
          <w:rFonts w:ascii="Palatino Linotype" w:hAnsi="Palatino Linotype"/>
          <w:b/>
          <w:bCs/>
          <w:sz w:val="24"/>
          <w:szCs w:val="24"/>
        </w:rPr>
      </w:pPr>
    </w:p>
    <w:p w14:paraId="43D2B0F2" w14:textId="0B2549F3" w:rsidR="00D7141B" w:rsidRPr="00597E56" w:rsidRDefault="00D7141B" w:rsidP="00F1501F">
      <w:pPr>
        <w:spacing w:after="0" w:line="240" w:lineRule="auto"/>
        <w:jc w:val="center"/>
        <w:rPr>
          <w:rFonts w:ascii="Palatino Linotype" w:hAnsi="Palatino Linotype" w:cs="Times New Roman (Body CS)"/>
          <w:b/>
          <w:bCs/>
          <w:sz w:val="24"/>
          <w:szCs w:val="24"/>
          <w:vertAlign w:val="superscript"/>
        </w:rPr>
      </w:pPr>
      <w:r w:rsidRPr="00597E56">
        <w:rPr>
          <w:rFonts w:ascii="Palatino Linotype" w:hAnsi="Palatino Linotype"/>
          <w:b/>
          <w:bCs/>
          <w:sz w:val="24"/>
          <w:szCs w:val="24"/>
        </w:rPr>
        <w:t>John Sheehan</w:t>
      </w:r>
      <w:r w:rsidR="00022D3F" w:rsidRPr="00597E56">
        <w:rPr>
          <w:rFonts w:ascii="Palatino Linotype" w:hAnsi="Palatino Linotype" w:cs="Times New Roman (Body CS)"/>
          <w:b/>
          <w:bCs/>
          <w:sz w:val="24"/>
          <w:szCs w:val="24"/>
          <w:vertAlign w:val="superscript"/>
        </w:rPr>
        <w:t>2</w:t>
      </w:r>
      <w:r w:rsidRPr="00597E56">
        <w:rPr>
          <w:rFonts w:ascii="Palatino Linotype" w:hAnsi="Palatino Linotype"/>
          <w:b/>
          <w:bCs/>
          <w:sz w:val="24"/>
          <w:szCs w:val="24"/>
        </w:rPr>
        <w:t xml:space="preserve"> </w:t>
      </w:r>
      <w:r w:rsidR="0066348E" w:rsidRPr="00597E56">
        <w:rPr>
          <w:rFonts w:ascii="Palatino Linotype" w:hAnsi="Palatino Linotype"/>
          <w:b/>
          <w:bCs/>
          <w:sz w:val="24"/>
          <w:szCs w:val="24"/>
        </w:rPr>
        <w:t>and Kenneth Rayner</w:t>
      </w:r>
      <w:r w:rsidR="005E0E17" w:rsidRPr="00597E56">
        <w:rPr>
          <w:rFonts w:ascii="Palatino Linotype" w:hAnsi="Palatino Linotype" w:cs="Times New Roman (Body CS)"/>
          <w:b/>
          <w:bCs/>
          <w:sz w:val="24"/>
          <w:szCs w:val="24"/>
          <w:vertAlign w:val="superscript"/>
        </w:rPr>
        <w:t>4</w:t>
      </w:r>
    </w:p>
    <w:p w14:paraId="07D8CC37" w14:textId="77777777" w:rsidR="00914346" w:rsidRPr="00597E56" w:rsidRDefault="00914346" w:rsidP="00F1501F">
      <w:pPr>
        <w:spacing w:after="0" w:line="240" w:lineRule="auto"/>
        <w:jc w:val="both"/>
        <w:rPr>
          <w:rFonts w:ascii="Palatino Linotype" w:hAnsi="Palatino Linotype"/>
          <w:sz w:val="28"/>
          <w:szCs w:val="28"/>
        </w:rPr>
      </w:pPr>
    </w:p>
    <w:p w14:paraId="157DB385" w14:textId="29F36FCB" w:rsidR="00022D3F" w:rsidRPr="00597E56" w:rsidRDefault="00022D3F" w:rsidP="00F1501F">
      <w:pPr>
        <w:spacing w:after="0" w:line="240" w:lineRule="auto"/>
        <w:jc w:val="center"/>
        <w:rPr>
          <w:rFonts w:ascii="Palatino Linotype" w:hAnsi="Palatino Linotype"/>
          <w:i/>
          <w:iCs/>
        </w:rPr>
      </w:pPr>
      <w:r w:rsidRPr="00597E56">
        <w:rPr>
          <w:rFonts w:ascii="Palatino Linotype" w:hAnsi="Palatino Linotype" w:cs="Times New Roman (Body CS)"/>
          <w:i/>
          <w:iCs/>
          <w:vertAlign w:val="superscript"/>
        </w:rPr>
        <w:t>2</w:t>
      </w:r>
      <w:r w:rsidR="001E5FF2" w:rsidRPr="00597E56">
        <w:rPr>
          <w:rFonts w:ascii="Palatino Linotype" w:hAnsi="Palatino Linotype"/>
          <w:i/>
          <w:iCs/>
        </w:rPr>
        <w:t>Faculty of Society and Design, Bond University, Gold Coast, Queensland.</w:t>
      </w:r>
    </w:p>
    <w:p w14:paraId="2F4C0B9E" w14:textId="790386A1" w:rsidR="00EB3FCC" w:rsidRPr="00597E56" w:rsidRDefault="005E0E17" w:rsidP="00F1501F">
      <w:pPr>
        <w:spacing w:after="0" w:line="240" w:lineRule="auto"/>
        <w:jc w:val="center"/>
        <w:rPr>
          <w:rFonts w:ascii="Palatino Linotype" w:hAnsi="Palatino Linotype"/>
          <w:i/>
          <w:iCs/>
        </w:rPr>
      </w:pPr>
      <w:r w:rsidRPr="00597E56">
        <w:rPr>
          <w:rFonts w:ascii="Palatino Linotype" w:hAnsi="Palatino Linotype" w:cs="Times New Roman (Body CS)"/>
          <w:i/>
          <w:iCs/>
          <w:vertAlign w:val="superscript"/>
        </w:rPr>
        <w:t>4</w:t>
      </w:r>
      <w:r w:rsidR="00EB3FCC" w:rsidRPr="00597E56">
        <w:rPr>
          <w:rFonts w:ascii="Palatino Linotype" w:hAnsi="Palatino Linotype"/>
          <w:i/>
          <w:iCs/>
        </w:rPr>
        <w:t>Faculty of Business and Law, Curtin University, Perth, Western Australia.</w:t>
      </w:r>
    </w:p>
    <w:p w14:paraId="30F48BF5" w14:textId="77777777" w:rsidR="00804FBF" w:rsidRPr="00597E56" w:rsidRDefault="00804FBF" w:rsidP="00F1501F">
      <w:pPr>
        <w:spacing w:after="0" w:line="240" w:lineRule="auto"/>
        <w:jc w:val="both"/>
        <w:rPr>
          <w:rFonts w:ascii="Palatino Linotype" w:hAnsi="Palatino Linotype"/>
          <w:b/>
          <w:sz w:val="32"/>
          <w:szCs w:val="32"/>
        </w:rPr>
      </w:pPr>
    </w:p>
    <w:p w14:paraId="172D4D68" w14:textId="2E69528D" w:rsidR="00150F04" w:rsidRPr="00597E56" w:rsidRDefault="00150F04" w:rsidP="00F1501F">
      <w:pPr>
        <w:spacing w:after="0" w:line="240" w:lineRule="auto"/>
        <w:jc w:val="both"/>
        <w:rPr>
          <w:rFonts w:ascii="Palatino Linotype" w:hAnsi="Palatino Linotype"/>
          <w:b/>
          <w:sz w:val="24"/>
          <w:szCs w:val="24"/>
        </w:rPr>
      </w:pPr>
      <w:r w:rsidRPr="00597E56">
        <w:rPr>
          <w:rFonts w:ascii="Palatino Linotype" w:hAnsi="Palatino Linotype"/>
          <w:b/>
          <w:sz w:val="24"/>
          <w:szCs w:val="24"/>
        </w:rPr>
        <w:t>Abstract</w:t>
      </w:r>
    </w:p>
    <w:p w14:paraId="2AE126C3" w14:textId="77777777" w:rsidR="00F1501F" w:rsidRPr="00597E56" w:rsidRDefault="00F1501F" w:rsidP="00F1501F">
      <w:pPr>
        <w:spacing w:after="0" w:line="240" w:lineRule="auto"/>
        <w:jc w:val="both"/>
        <w:rPr>
          <w:rFonts w:ascii="Palatino Linotype" w:hAnsi="Palatino Linotype"/>
          <w:b/>
        </w:rPr>
      </w:pPr>
    </w:p>
    <w:p w14:paraId="3F9AA445" w14:textId="3353D6FB" w:rsidR="00150F04" w:rsidRPr="00597E56" w:rsidRDefault="00C25459" w:rsidP="00F1501F">
      <w:pPr>
        <w:spacing w:after="0" w:line="240" w:lineRule="auto"/>
        <w:jc w:val="both"/>
        <w:rPr>
          <w:rFonts w:ascii="Palatino Linotype" w:hAnsi="Palatino Linotype"/>
          <w:bCs/>
        </w:rPr>
      </w:pPr>
      <w:r w:rsidRPr="00597E56">
        <w:rPr>
          <w:rFonts w:ascii="Palatino Linotype" w:hAnsi="Palatino Linotype"/>
          <w:bCs/>
        </w:rPr>
        <w:t xml:space="preserve">Statutory </w:t>
      </w:r>
      <w:r w:rsidR="00150F04" w:rsidRPr="00597E56">
        <w:rPr>
          <w:rFonts w:ascii="Palatino Linotype" w:hAnsi="Palatino Linotype"/>
          <w:bCs/>
        </w:rPr>
        <w:t xml:space="preserve">Aboriginal land rights in Australia </w:t>
      </w:r>
      <w:r w:rsidR="00163C5E" w:rsidRPr="00597E56">
        <w:rPr>
          <w:rFonts w:ascii="Palatino Linotype" w:hAnsi="Palatino Linotype"/>
          <w:bCs/>
        </w:rPr>
        <w:t>were</w:t>
      </w:r>
      <w:r w:rsidR="00B95999" w:rsidRPr="00597E56">
        <w:rPr>
          <w:rFonts w:ascii="Palatino Linotype" w:hAnsi="Palatino Linotype"/>
          <w:bCs/>
        </w:rPr>
        <w:t xml:space="preserve"> antecedent legislation </w:t>
      </w:r>
      <w:r w:rsidR="00C6269A" w:rsidRPr="00597E56">
        <w:rPr>
          <w:rFonts w:ascii="Palatino Linotype" w:hAnsi="Palatino Linotype"/>
          <w:bCs/>
        </w:rPr>
        <w:t>more than a quarter century</w:t>
      </w:r>
      <w:r w:rsidR="00150F04" w:rsidRPr="00597E56">
        <w:rPr>
          <w:rFonts w:ascii="Palatino Linotype" w:hAnsi="Palatino Linotype"/>
          <w:bCs/>
        </w:rPr>
        <w:t xml:space="preserve"> </w:t>
      </w:r>
      <w:r w:rsidR="00421D1C" w:rsidRPr="00597E56">
        <w:rPr>
          <w:rFonts w:ascii="Palatino Linotype" w:hAnsi="Palatino Linotype"/>
          <w:bCs/>
        </w:rPr>
        <w:t>prior</w:t>
      </w:r>
      <w:r w:rsidR="00150F04" w:rsidRPr="00597E56">
        <w:rPr>
          <w:rFonts w:ascii="Palatino Linotype" w:hAnsi="Palatino Linotype"/>
          <w:bCs/>
        </w:rPr>
        <w:t xml:space="preserve"> t</w:t>
      </w:r>
      <w:r w:rsidR="00FD18C7" w:rsidRPr="00597E56">
        <w:rPr>
          <w:rFonts w:ascii="Palatino Linotype" w:hAnsi="Palatino Linotype"/>
          <w:bCs/>
        </w:rPr>
        <w:t>o</w:t>
      </w:r>
      <w:r w:rsidR="00150F04" w:rsidRPr="00597E56">
        <w:rPr>
          <w:rFonts w:ascii="Palatino Linotype" w:hAnsi="Palatino Linotype"/>
          <w:bCs/>
        </w:rPr>
        <w:t xml:space="preserve"> recognition of native title by the High Court</w:t>
      </w:r>
      <w:r w:rsidRPr="00597E56">
        <w:rPr>
          <w:rFonts w:ascii="Palatino Linotype" w:hAnsi="Palatino Linotype"/>
          <w:bCs/>
        </w:rPr>
        <w:t xml:space="preserve"> in</w:t>
      </w:r>
      <w:r w:rsidRPr="00597E56">
        <w:rPr>
          <w:rStyle w:val="Emphasis"/>
          <w:rFonts w:ascii="Palatino Linotype" w:hAnsi="Palatino Linotype" w:cstheme="minorHAnsi"/>
          <w:i/>
          <w:iCs/>
          <w:sz w:val="22"/>
        </w:rPr>
        <w:t xml:space="preserve"> Mabo &amp; Ors v State of Queensland (1992)</w:t>
      </w:r>
      <w:r w:rsidRPr="00597E56">
        <w:rPr>
          <w:rStyle w:val="Emphasis"/>
          <w:rFonts w:ascii="Palatino Linotype" w:hAnsi="Palatino Linotype" w:cstheme="minorHAnsi"/>
          <w:sz w:val="22"/>
        </w:rPr>
        <w:t xml:space="preserve"> 175 CLR 1 </w:t>
      </w:r>
      <w:r w:rsidRPr="00597E56">
        <w:rPr>
          <w:rStyle w:val="Emphasis"/>
          <w:rFonts w:ascii="Palatino Linotype" w:hAnsi="Palatino Linotype" w:cstheme="minorHAnsi"/>
          <w:i/>
          <w:iCs/>
          <w:sz w:val="22"/>
        </w:rPr>
        <w:t>(Mabo No. 2)</w:t>
      </w:r>
      <w:r w:rsidRPr="00597E56">
        <w:rPr>
          <w:rStyle w:val="Emphasis"/>
          <w:rFonts w:ascii="Palatino Linotype" w:hAnsi="Palatino Linotype" w:cstheme="minorHAnsi"/>
          <w:sz w:val="22"/>
        </w:rPr>
        <w:t>.</w:t>
      </w:r>
      <w:r w:rsidR="00B95999" w:rsidRPr="00597E56">
        <w:rPr>
          <w:rFonts w:ascii="Palatino Linotype" w:hAnsi="Palatino Linotype"/>
          <w:bCs/>
        </w:rPr>
        <w:t xml:space="preserve"> Unsurprisingly a </w:t>
      </w:r>
      <w:r w:rsidR="00C6269A" w:rsidRPr="00597E56">
        <w:rPr>
          <w:rFonts w:ascii="Palatino Linotype" w:hAnsi="Palatino Linotype"/>
          <w:bCs/>
        </w:rPr>
        <w:t>notable</w:t>
      </w:r>
      <w:r w:rsidR="00B95999" w:rsidRPr="00597E56">
        <w:rPr>
          <w:rFonts w:ascii="Palatino Linotype" w:hAnsi="Palatino Linotype"/>
          <w:bCs/>
        </w:rPr>
        <w:t xml:space="preserve"> body literature now exists on native title </w:t>
      </w:r>
      <w:r w:rsidRPr="00597E56">
        <w:rPr>
          <w:rFonts w:ascii="Palatino Linotype" w:hAnsi="Palatino Linotype"/>
          <w:bCs/>
        </w:rPr>
        <w:t>(</w:t>
      </w:r>
      <w:r w:rsidR="00B95999" w:rsidRPr="00597E56">
        <w:rPr>
          <w:rFonts w:ascii="Palatino Linotype" w:hAnsi="Palatino Linotype"/>
          <w:bCs/>
        </w:rPr>
        <w:t>and even Indigenous cultural heritage protection</w:t>
      </w:r>
      <w:r w:rsidRPr="00597E56">
        <w:rPr>
          <w:rFonts w:ascii="Palatino Linotype" w:hAnsi="Palatino Linotype"/>
          <w:bCs/>
        </w:rPr>
        <w:t>)</w:t>
      </w:r>
      <w:r w:rsidR="00B95999" w:rsidRPr="00597E56">
        <w:rPr>
          <w:rFonts w:ascii="Palatino Linotype" w:hAnsi="Palatino Linotype"/>
          <w:bCs/>
        </w:rPr>
        <w:t xml:space="preserve">, whilst </w:t>
      </w:r>
      <w:r w:rsidRPr="00597E56">
        <w:rPr>
          <w:rFonts w:ascii="Palatino Linotype" w:hAnsi="Palatino Linotype"/>
          <w:bCs/>
        </w:rPr>
        <w:t xml:space="preserve">on </w:t>
      </w:r>
      <w:r w:rsidR="00D431EC" w:rsidRPr="00597E56">
        <w:rPr>
          <w:rFonts w:ascii="Palatino Linotype" w:hAnsi="Palatino Linotype"/>
          <w:bCs/>
        </w:rPr>
        <w:t xml:space="preserve">the topic of </w:t>
      </w:r>
      <w:r w:rsidR="00B95999" w:rsidRPr="00597E56">
        <w:rPr>
          <w:rFonts w:ascii="Palatino Linotype" w:hAnsi="Palatino Linotype"/>
          <w:bCs/>
        </w:rPr>
        <w:t xml:space="preserve">Aboriginal </w:t>
      </w:r>
      <w:r w:rsidR="00D431EC" w:rsidRPr="00597E56">
        <w:rPr>
          <w:rFonts w:ascii="Palatino Linotype" w:hAnsi="Palatino Linotype"/>
          <w:bCs/>
        </w:rPr>
        <w:t>l</w:t>
      </w:r>
      <w:r w:rsidR="00B95999" w:rsidRPr="00597E56">
        <w:rPr>
          <w:rFonts w:ascii="Palatino Linotype" w:hAnsi="Palatino Linotype"/>
          <w:bCs/>
        </w:rPr>
        <w:t xml:space="preserve">and rights </w:t>
      </w:r>
      <w:r w:rsidR="00903582" w:rsidRPr="00597E56">
        <w:rPr>
          <w:rFonts w:ascii="Palatino Linotype" w:hAnsi="Palatino Linotype"/>
          <w:bCs/>
        </w:rPr>
        <w:t>limited scholarship exists</w:t>
      </w:r>
      <w:r w:rsidR="00B95999" w:rsidRPr="00597E56">
        <w:rPr>
          <w:rFonts w:ascii="Palatino Linotype" w:hAnsi="Palatino Linotype"/>
          <w:bCs/>
        </w:rPr>
        <w:t>.</w:t>
      </w:r>
      <w:r w:rsidR="00421D1C" w:rsidRPr="00597E56">
        <w:rPr>
          <w:rFonts w:ascii="Palatino Linotype" w:hAnsi="Palatino Linotype"/>
          <w:bCs/>
        </w:rPr>
        <w:t xml:space="preserve"> </w:t>
      </w:r>
      <w:r w:rsidR="00D431EC" w:rsidRPr="00597E56">
        <w:rPr>
          <w:rFonts w:ascii="Palatino Linotype" w:hAnsi="Palatino Linotype"/>
          <w:bCs/>
        </w:rPr>
        <w:t>Consequently, the</w:t>
      </w:r>
      <w:r w:rsidR="00421D1C" w:rsidRPr="00597E56">
        <w:rPr>
          <w:rFonts w:ascii="Palatino Linotype" w:hAnsi="Palatino Linotype"/>
          <w:bCs/>
        </w:rPr>
        <w:t xml:space="preserve"> primary aim of this paper is to canvass the legislative framework for Aboriginal land claims</w:t>
      </w:r>
      <w:r w:rsidR="00D431EC" w:rsidRPr="00597E56">
        <w:rPr>
          <w:rFonts w:ascii="Palatino Linotype" w:hAnsi="Palatino Linotype"/>
          <w:bCs/>
        </w:rPr>
        <w:t xml:space="preserve"> in the Australian State of New South Wales (NSW)</w:t>
      </w:r>
      <w:r w:rsidR="00421D1C" w:rsidRPr="00597E56">
        <w:rPr>
          <w:rFonts w:ascii="Palatino Linotype" w:hAnsi="Palatino Linotype"/>
          <w:bCs/>
        </w:rPr>
        <w:t xml:space="preserve">. </w:t>
      </w:r>
      <w:r w:rsidRPr="00597E56">
        <w:rPr>
          <w:rFonts w:ascii="Palatino Linotype" w:hAnsi="Palatino Linotype"/>
          <w:bCs/>
        </w:rPr>
        <w:t>A</w:t>
      </w:r>
      <w:r w:rsidR="00421D1C" w:rsidRPr="00597E56">
        <w:rPr>
          <w:rFonts w:ascii="Palatino Linotype" w:hAnsi="Palatino Linotype"/>
          <w:bCs/>
        </w:rPr>
        <w:t xml:space="preserve"> second aim of the </w:t>
      </w:r>
      <w:r w:rsidR="00FD18C7" w:rsidRPr="00597E56">
        <w:rPr>
          <w:rFonts w:ascii="Palatino Linotype" w:hAnsi="Palatino Linotype"/>
          <w:bCs/>
        </w:rPr>
        <w:t>paper</w:t>
      </w:r>
      <w:r w:rsidR="00421D1C" w:rsidRPr="00597E56">
        <w:rPr>
          <w:rFonts w:ascii="Palatino Linotype" w:hAnsi="Palatino Linotype"/>
          <w:bCs/>
        </w:rPr>
        <w:t xml:space="preserve"> consider</w:t>
      </w:r>
      <w:r w:rsidR="00FD18C7" w:rsidRPr="00597E56">
        <w:rPr>
          <w:rFonts w:ascii="Palatino Linotype" w:hAnsi="Palatino Linotype"/>
          <w:bCs/>
        </w:rPr>
        <w:t>s</w:t>
      </w:r>
      <w:r w:rsidR="00421D1C" w:rsidRPr="00597E56">
        <w:rPr>
          <w:rFonts w:ascii="Palatino Linotype" w:hAnsi="Palatino Linotype"/>
          <w:bCs/>
        </w:rPr>
        <w:t xml:space="preserve"> how the notion of </w:t>
      </w:r>
      <w:r w:rsidR="00FD18C7" w:rsidRPr="00597E56">
        <w:rPr>
          <w:rFonts w:ascii="Palatino Linotype" w:hAnsi="Palatino Linotype"/>
          <w:bCs/>
        </w:rPr>
        <w:t>(</w:t>
      </w:r>
      <w:r w:rsidR="00421D1C" w:rsidRPr="00597E56">
        <w:rPr>
          <w:rFonts w:ascii="Palatino Linotype" w:hAnsi="Palatino Linotype"/>
          <w:bCs/>
        </w:rPr>
        <w:t>albeit only statutory</w:t>
      </w:r>
      <w:r w:rsidR="00FD18C7" w:rsidRPr="00597E56">
        <w:rPr>
          <w:rFonts w:ascii="Palatino Linotype" w:hAnsi="Palatino Linotype"/>
          <w:bCs/>
        </w:rPr>
        <w:t>)</w:t>
      </w:r>
      <w:r w:rsidR="00421D1C" w:rsidRPr="00597E56">
        <w:rPr>
          <w:rFonts w:ascii="Palatino Linotype" w:hAnsi="Palatino Linotype"/>
          <w:bCs/>
        </w:rPr>
        <w:t xml:space="preserve"> rights to Aboriginal lands </w:t>
      </w:r>
      <w:r w:rsidR="00E22FE8" w:rsidRPr="00597E56">
        <w:rPr>
          <w:rFonts w:ascii="Palatino Linotype" w:hAnsi="Palatino Linotype"/>
          <w:bCs/>
        </w:rPr>
        <w:t>does not align with established compensation law</w:t>
      </w:r>
      <w:r w:rsidR="00421D1C" w:rsidRPr="00597E56">
        <w:rPr>
          <w:rFonts w:ascii="Palatino Linotype" w:hAnsi="Palatino Linotype"/>
          <w:bCs/>
        </w:rPr>
        <w:t xml:space="preserve"> and practice. </w:t>
      </w:r>
      <w:r w:rsidR="007061AF" w:rsidRPr="00597E56">
        <w:rPr>
          <w:rFonts w:ascii="Palatino Linotype" w:hAnsi="Palatino Linotype"/>
          <w:bCs/>
        </w:rPr>
        <w:t>Finally</w:t>
      </w:r>
      <w:r w:rsidR="00400B6E" w:rsidRPr="00597E56">
        <w:rPr>
          <w:rFonts w:ascii="Palatino Linotype" w:hAnsi="Palatino Linotype"/>
          <w:bCs/>
        </w:rPr>
        <w:t>,</w:t>
      </w:r>
      <w:r w:rsidR="007061AF" w:rsidRPr="00597E56">
        <w:rPr>
          <w:rFonts w:ascii="Palatino Linotype" w:hAnsi="Palatino Linotype"/>
          <w:bCs/>
        </w:rPr>
        <w:t xml:space="preserve"> a sobering </w:t>
      </w:r>
      <w:r w:rsidR="004D3FB7" w:rsidRPr="00597E56">
        <w:rPr>
          <w:rFonts w:ascii="Palatino Linotype" w:hAnsi="Palatino Linotype"/>
          <w:bCs/>
        </w:rPr>
        <w:t xml:space="preserve">comparison </w:t>
      </w:r>
      <w:r w:rsidR="007061AF" w:rsidRPr="00597E56">
        <w:rPr>
          <w:rFonts w:ascii="Palatino Linotype" w:hAnsi="Palatino Linotype"/>
          <w:bCs/>
        </w:rPr>
        <w:t xml:space="preserve">is made </w:t>
      </w:r>
      <w:r w:rsidR="004D3FB7" w:rsidRPr="00597E56">
        <w:rPr>
          <w:rFonts w:ascii="Palatino Linotype" w:hAnsi="Palatino Linotype"/>
          <w:bCs/>
        </w:rPr>
        <w:t>with</w:t>
      </w:r>
      <w:r w:rsidR="007061AF" w:rsidRPr="00597E56">
        <w:rPr>
          <w:rFonts w:ascii="Palatino Linotype" w:hAnsi="Palatino Linotype"/>
          <w:bCs/>
        </w:rPr>
        <w:t xml:space="preserve"> the Australian State of Western Australia </w:t>
      </w:r>
      <w:r w:rsidR="00C83948" w:rsidRPr="00597E56">
        <w:rPr>
          <w:rFonts w:ascii="Palatino Linotype" w:hAnsi="Palatino Linotype"/>
          <w:bCs/>
        </w:rPr>
        <w:t xml:space="preserve">solely </w:t>
      </w:r>
      <w:r w:rsidR="007061AF" w:rsidRPr="00597E56">
        <w:rPr>
          <w:rStyle w:val="Emphasis"/>
          <w:rFonts w:ascii="Palatino Linotype" w:hAnsi="Palatino Linotype" w:cstheme="minorHAnsi"/>
          <w:sz w:val="22"/>
        </w:rPr>
        <w:t xml:space="preserve">absent </w:t>
      </w:r>
      <w:r w:rsidR="00C83948" w:rsidRPr="00597E56">
        <w:rPr>
          <w:rStyle w:val="Emphasis"/>
          <w:rFonts w:ascii="Palatino Linotype" w:hAnsi="Palatino Linotype" w:cstheme="minorHAnsi"/>
          <w:sz w:val="22"/>
        </w:rPr>
        <w:t xml:space="preserve">a </w:t>
      </w:r>
      <w:r w:rsidR="007061AF" w:rsidRPr="00597E56">
        <w:rPr>
          <w:rStyle w:val="Emphasis"/>
          <w:rFonts w:ascii="Palatino Linotype" w:hAnsi="Palatino Linotype" w:cstheme="minorHAnsi"/>
          <w:sz w:val="22"/>
        </w:rPr>
        <w:t>statutory Aboriginal land rights</w:t>
      </w:r>
      <w:r w:rsidR="00C83948" w:rsidRPr="00597E56">
        <w:rPr>
          <w:rStyle w:val="Emphasis"/>
          <w:rFonts w:ascii="Palatino Linotype" w:hAnsi="Palatino Linotype" w:cstheme="minorHAnsi"/>
          <w:sz w:val="22"/>
        </w:rPr>
        <w:t xml:space="preserve"> regime</w:t>
      </w:r>
      <w:r w:rsidR="007061AF" w:rsidRPr="00597E56">
        <w:rPr>
          <w:rStyle w:val="Emphasis"/>
          <w:rFonts w:ascii="Palatino Linotype" w:hAnsi="Palatino Linotype" w:cstheme="minorHAnsi"/>
          <w:sz w:val="22"/>
        </w:rPr>
        <w:t>.</w:t>
      </w:r>
      <w:r w:rsidR="004D3FB7" w:rsidRPr="00597E56">
        <w:rPr>
          <w:rFonts w:ascii="Palatino Linotype" w:hAnsi="Palatino Linotype"/>
          <w:bCs/>
        </w:rPr>
        <w:t xml:space="preserve"> </w:t>
      </w:r>
    </w:p>
    <w:p w14:paraId="3EFB0796" w14:textId="77777777" w:rsidR="0008313C" w:rsidRPr="00597E56" w:rsidRDefault="0008313C" w:rsidP="00F1501F">
      <w:pPr>
        <w:spacing w:after="0" w:line="240" w:lineRule="auto"/>
        <w:jc w:val="both"/>
        <w:rPr>
          <w:rFonts w:ascii="Palatino Linotype" w:hAnsi="Palatino Linotype"/>
          <w:sz w:val="28"/>
          <w:szCs w:val="28"/>
        </w:rPr>
      </w:pPr>
    </w:p>
    <w:p w14:paraId="75B82180" w14:textId="77777777" w:rsidR="00D7141B" w:rsidRPr="00597E56" w:rsidRDefault="00D7141B" w:rsidP="00F1501F">
      <w:pPr>
        <w:spacing w:after="0" w:line="240" w:lineRule="auto"/>
        <w:jc w:val="both"/>
        <w:rPr>
          <w:rFonts w:ascii="Palatino Linotype" w:hAnsi="Palatino Linotype"/>
          <w:b/>
          <w:sz w:val="24"/>
          <w:szCs w:val="24"/>
        </w:rPr>
      </w:pPr>
      <w:r w:rsidRPr="00597E56">
        <w:rPr>
          <w:rFonts w:ascii="Palatino Linotype" w:hAnsi="Palatino Linotype"/>
          <w:b/>
          <w:sz w:val="24"/>
          <w:szCs w:val="24"/>
        </w:rPr>
        <w:t>Introduction</w:t>
      </w:r>
    </w:p>
    <w:p w14:paraId="3F5EE926" w14:textId="77777777" w:rsidR="0008313C" w:rsidRPr="00597E56" w:rsidRDefault="0008313C" w:rsidP="00ED6CAA">
      <w:pPr>
        <w:spacing w:after="0" w:line="240" w:lineRule="auto"/>
        <w:jc w:val="both"/>
        <w:rPr>
          <w:rFonts w:ascii="Palatino Linotype" w:hAnsi="Palatino Linotype"/>
        </w:rPr>
      </w:pPr>
    </w:p>
    <w:p w14:paraId="1E8AFC26" w14:textId="6372BE7D" w:rsidR="00342B07" w:rsidRPr="00597E56" w:rsidRDefault="00EE246E" w:rsidP="00F1501F">
      <w:pPr>
        <w:pStyle w:val="BodyText"/>
        <w:rPr>
          <w:rFonts w:ascii="Palatino Linotype" w:eastAsia="Calibri" w:hAnsi="Palatino Linotype" w:cstheme="minorHAnsi"/>
          <w:sz w:val="22"/>
          <w:szCs w:val="22"/>
          <w:lang w:val="en-AU" w:eastAsia="en-AU"/>
        </w:rPr>
      </w:pPr>
      <w:r w:rsidRPr="00597E56">
        <w:rPr>
          <w:rFonts w:ascii="Palatino Linotype" w:eastAsia="Calibri" w:hAnsi="Palatino Linotype" w:cstheme="minorHAnsi"/>
          <w:sz w:val="22"/>
          <w:szCs w:val="22"/>
          <w:lang w:val="en-AU" w:eastAsia="en-AU"/>
        </w:rPr>
        <w:t xml:space="preserve">Statutory Aboriginal land rights </w:t>
      </w:r>
      <w:r w:rsidR="00AB4674" w:rsidRPr="00597E56">
        <w:rPr>
          <w:rFonts w:ascii="Palatino Linotype" w:eastAsia="Calibri" w:hAnsi="Palatino Linotype" w:cstheme="minorHAnsi"/>
          <w:sz w:val="22"/>
          <w:szCs w:val="22"/>
          <w:lang w:val="en-AU" w:eastAsia="en-AU"/>
        </w:rPr>
        <w:t xml:space="preserve">together with native title and </w:t>
      </w:r>
      <w:r w:rsidRPr="00597E56">
        <w:rPr>
          <w:rFonts w:ascii="Palatino Linotype" w:eastAsia="Calibri" w:hAnsi="Palatino Linotype" w:cstheme="minorHAnsi"/>
          <w:sz w:val="22"/>
          <w:szCs w:val="22"/>
          <w:lang w:val="en-AU" w:eastAsia="en-AU"/>
        </w:rPr>
        <w:t xml:space="preserve">Indigenous cultural heritage </w:t>
      </w:r>
      <w:r w:rsidR="00845B3A" w:rsidRPr="00597E56">
        <w:rPr>
          <w:rFonts w:ascii="Palatino Linotype" w:eastAsia="Calibri" w:hAnsi="Palatino Linotype" w:cstheme="minorHAnsi"/>
          <w:sz w:val="22"/>
          <w:szCs w:val="22"/>
          <w:lang w:val="en-AU" w:eastAsia="en-AU"/>
        </w:rPr>
        <w:t xml:space="preserve">items and sites </w:t>
      </w:r>
      <w:r w:rsidRPr="00597E56">
        <w:rPr>
          <w:rFonts w:ascii="Palatino Linotype" w:eastAsia="Calibri" w:hAnsi="Palatino Linotype" w:cstheme="minorHAnsi"/>
          <w:sz w:val="22"/>
          <w:szCs w:val="22"/>
          <w:lang w:val="en-AU" w:eastAsia="en-AU"/>
        </w:rPr>
        <w:t xml:space="preserve">comprise the three types of Indigenous estates that may be encountered when assessments of compensation are undertaken arising from the </w:t>
      </w:r>
      <w:r w:rsidR="00BF1494" w:rsidRPr="00597E56">
        <w:rPr>
          <w:rFonts w:ascii="Palatino Linotype" w:eastAsia="Calibri" w:hAnsi="Palatino Linotype" w:cstheme="minorHAnsi"/>
          <w:sz w:val="22"/>
          <w:szCs w:val="22"/>
          <w:lang w:val="en-AU" w:eastAsia="en-AU"/>
        </w:rPr>
        <w:t xml:space="preserve">compulsory </w:t>
      </w:r>
      <w:r w:rsidRPr="00597E56">
        <w:rPr>
          <w:rFonts w:ascii="Palatino Linotype" w:eastAsia="Calibri" w:hAnsi="Palatino Linotype" w:cstheme="minorHAnsi"/>
          <w:sz w:val="22"/>
          <w:szCs w:val="22"/>
          <w:lang w:val="en-AU" w:eastAsia="en-AU"/>
        </w:rPr>
        <w:t xml:space="preserve">acquisition of </w:t>
      </w:r>
      <w:r w:rsidR="00BF1494" w:rsidRPr="00597E56">
        <w:rPr>
          <w:rFonts w:ascii="Palatino Linotype" w:eastAsia="Calibri" w:hAnsi="Palatino Linotype" w:cstheme="minorHAnsi"/>
          <w:sz w:val="22"/>
          <w:szCs w:val="22"/>
          <w:lang w:val="en-AU" w:eastAsia="en-AU"/>
        </w:rPr>
        <w:t>infrastructure property rights on</w:t>
      </w:r>
      <w:r w:rsidR="00845B3A" w:rsidRPr="00597E56">
        <w:rPr>
          <w:rFonts w:ascii="Palatino Linotype" w:eastAsia="Calibri" w:hAnsi="Palatino Linotype" w:cstheme="minorHAnsi"/>
          <w:sz w:val="22"/>
          <w:szCs w:val="22"/>
          <w:lang w:val="en-AU" w:eastAsia="en-AU"/>
        </w:rPr>
        <w:t xml:space="preserve"> Crown or non-freehold</w:t>
      </w:r>
      <w:r w:rsidR="00BF1494" w:rsidRPr="00597E56">
        <w:rPr>
          <w:rFonts w:ascii="Palatino Linotype" w:eastAsia="Calibri" w:hAnsi="Palatino Linotype" w:cstheme="minorHAnsi"/>
          <w:sz w:val="22"/>
          <w:szCs w:val="22"/>
          <w:lang w:val="en-AU" w:eastAsia="en-AU"/>
        </w:rPr>
        <w:t xml:space="preserve"> lands. </w:t>
      </w:r>
      <w:r w:rsidR="003912F8" w:rsidRPr="00597E56">
        <w:rPr>
          <w:rFonts w:ascii="Palatino Linotype" w:eastAsia="Calibri" w:hAnsi="Palatino Linotype" w:cstheme="minorHAnsi"/>
          <w:sz w:val="22"/>
          <w:szCs w:val="22"/>
          <w:lang w:val="en-AU" w:eastAsia="en-AU"/>
        </w:rPr>
        <w:t>Adding obfuscation</w:t>
      </w:r>
      <w:r w:rsidR="00845B3A" w:rsidRPr="00597E56">
        <w:rPr>
          <w:rFonts w:ascii="Palatino Linotype" w:eastAsia="Calibri" w:hAnsi="Palatino Linotype" w:cstheme="minorHAnsi"/>
          <w:sz w:val="22"/>
          <w:szCs w:val="22"/>
          <w:lang w:val="en-AU" w:eastAsia="en-AU"/>
        </w:rPr>
        <w:t xml:space="preserve">, Indigenous cultural heritage items and sites can be present on privately held freehold land as well as Crown and non-freehold lands </w:t>
      </w:r>
      <w:r w:rsidR="003912F8" w:rsidRPr="00597E56">
        <w:rPr>
          <w:rFonts w:ascii="Palatino Linotype" w:eastAsia="Calibri" w:hAnsi="Palatino Linotype" w:cstheme="minorHAnsi"/>
          <w:sz w:val="22"/>
          <w:szCs w:val="22"/>
          <w:lang w:val="en-AU" w:eastAsia="en-AU"/>
        </w:rPr>
        <w:t xml:space="preserve">Irrespective, the </w:t>
      </w:r>
      <w:r w:rsidR="00C25459" w:rsidRPr="00597E56">
        <w:rPr>
          <w:rFonts w:ascii="Palatino Linotype" w:eastAsia="Calibri" w:hAnsi="Palatino Linotype" w:cstheme="minorHAnsi"/>
          <w:sz w:val="22"/>
          <w:szCs w:val="22"/>
          <w:lang w:val="en-AU" w:eastAsia="en-AU"/>
        </w:rPr>
        <w:t>acquisition</w:t>
      </w:r>
      <w:r w:rsidR="003912F8" w:rsidRPr="00597E56">
        <w:rPr>
          <w:rFonts w:ascii="Palatino Linotype" w:eastAsia="Calibri" w:hAnsi="Palatino Linotype" w:cstheme="minorHAnsi"/>
          <w:sz w:val="22"/>
          <w:szCs w:val="22"/>
          <w:lang w:val="en-AU" w:eastAsia="en-AU"/>
        </w:rPr>
        <w:t xml:space="preserve"> of infrastructure property </w:t>
      </w:r>
      <w:r w:rsidR="00BF1494" w:rsidRPr="00597E56">
        <w:rPr>
          <w:rFonts w:ascii="Palatino Linotype" w:eastAsia="Calibri" w:hAnsi="Palatino Linotype" w:cstheme="minorHAnsi"/>
          <w:sz w:val="22"/>
          <w:szCs w:val="22"/>
          <w:lang w:val="en-AU" w:eastAsia="en-AU"/>
        </w:rPr>
        <w:t xml:space="preserve">rights can </w:t>
      </w:r>
      <w:r w:rsidR="00C25459" w:rsidRPr="00597E56">
        <w:rPr>
          <w:rFonts w:ascii="Palatino Linotype" w:eastAsia="Calibri" w:hAnsi="Palatino Linotype" w:cstheme="minorHAnsi"/>
          <w:sz w:val="22"/>
          <w:szCs w:val="22"/>
          <w:lang w:val="en-AU" w:eastAsia="en-AU"/>
        </w:rPr>
        <w:t>include</w:t>
      </w:r>
      <w:r w:rsidR="00BF1494" w:rsidRPr="00597E56">
        <w:rPr>
          <w:rFonts w:ascii="Palatino Linotype" w:eastAsia="Calibri" w:hAnsi="Palatino Linotype" w:cstheme="minorHAnsi"/>
          <w:sz w:val="22"/>
          <w:szCs w:val="22"/>
          <w:lang w:val="en-AU" w:eastAsia="en-AU"/>
        </w:rPr>
        <w:t xml:space="preserve"> </w:t>
      </w:r>
      <w:r w:rsidR="003912F8" w:rsidRPr="00597E56">
        <w:rPr>
          <w:rFonts w:ascii="Palatino Linotype" w:eastAsia="Calibri" w:hAnsi="Palatino Linotype" w:cstheme="minorHAnsi"/>
          <w:sz w:val="22"/>
          <w:szCs w:val="22"/>
          <w:lang w:val="en-AU" w:eastAsia="en-AU"/>
        </w:rPr>
        <w:t xml:space="preserve">a surprising raft of </w:t>
      </w:r>
      <w:r w:rsidR="00C25459" w:rsidRPr="00597E56">
        <w:rPr>
          <w:rFonts w:ascii="Palatino Linotype" w:eastAsia="Calibri" w:hAnsi="Palatino Linotype" w:cstheme="minorHAnsi"/>
          <w:sz w:val="22"/>
          <w:szCs w:val="22"/>
          <w:lang w:val="en-AU" w:eastAsia="en-AU"/>
        </w:rPr>
        <w:t>uses</w:t>
      </w:r>
      <w:r w:rsidR="003912F8" w:rsidRPr="00597E56">
        <w:rPr>
          <w:rFonts w:ascii="Palatino Linotype" w:eastAsia="Calibri" w:hAnsi="Palatino Linotype" w:cstheme="minorHAnsi"/>
          <w:sz w:val="22"/>
          <w:szCs w:val="22"/>
          <w:lang w:val="en-AU" w:eastAsia="en-AU"/>
        </w:rPr>
        <w:t xml:space="preserve"> such as </w:t>
      </w:r>
      <w:r w:rsidR="00153A87" w:rsidRPr="00597E56">
        <w:rPr>
          <w:rFonts w:ascii="Palatino Linotype" w:eastAsia="Calibri" w:hAnsi="Palatino Linotype" w:cstheme="minorHAnsi"/>
          <w:sz w:val="22"/>
          <w:szCs w:val="22"/>
          <w:lang w:val="en-AU" w:eastAsia="en-AU"/>
        </w:rPr>
        <w:t>high tension electricity powerline easements, high pressure gas transmission</w:t>
      </w:r>
      <w:r w:rsidR="00BF1494" w:rsidRPr="00597E56">
        <w:rPr>
          <w:rFonts w:ascii="Palatino Linotype" w:eastAsia="Calibri" w:hAnsi="Palatino Linotype" w:cstheme="minorHAnsi"/>
          <w:sz w:val="22"/>
          <w:szCs w:val="22"/>
          <w:lang w:val="en-AU" w:eastAsia="en-AU"/>
        </w:rPr>
        <w:t xml:space="preserve"> pipeline easements, </w:t>
      </w:r>
      <w:r w:rsidR="00153A87" w:rsidRPr="00597E56">
        <w:rPr>
          <w:rFonts w:ascii="Palatino Linotype" w:eastAsia="Calibri" w:hAnsi="Palatino Linotype" w:cstheme="minorHAnsi"/>
          <w:sz w:val="22"/>
          <w:szCs w:val="22"/>
          <w:lang w:val="en-AU" w:eastAsia="en-AU"/>
        </w:rPr>
        <w:t>water pipeline easements</w:t>
      </w:r>
      <w:r w:rsidR="00BF1494" w:rsidRPr="00597E56">
        <w:rPr>
          <w:rFonts w:ascii="Palatino Linotype" w:eastAsia="Calibri" w:hAnsi="Palatino Linotype" w:cstheme="minorHAnsi"/>
          <w:sz w:val="22"/>
          <w:szCs w:val="22"/>
          <w:lang w:val="en-AU" w:eastAsia="en-AU"/>
        </w:rPr>
        <w:t>,</w:t>
      </w:r>
      <w:r w:rsidR="00010071" w:rsidRPr="00597E56">
        <w:rPr>
          <w:rFonts w:ascii="Palatino Linotype" w:eastAsia="Calibri" w:hAnsi="Palatino Linotype" w:cstheme="minorHAnsi"/>
          <w:sz w:val="22"/>
          <w:szCs w:val="22"/>
          <w:lang w:val="en-AU" w:eastAsia="en-AU"/>
        </w:rPr>
        <w:t xml:space="preserve"> physical access easements,</w:t>
      </w:r>
      <w:r w:rsidR="00BF1494" w:rsidRPr="00597E56">
        <w:rPr>
          <w:rFonts w:ascii="Palatino Linotype" w:eastAsia="Calibri" w:hAnsi="Palatino Linotype" w:cstheme="minorHAnsi"/>
          <w:sz w:val="22"/>
          <w:szCs w:val="22"/>
          <w:lang w:val="en-AU" w:eastAsia="en-AU"/>
        </w:rPr>
        <w:t xml:space="preserve"> or o</w:t>
      </w:r>
      <w:r w:rsidR="00E777CA" w:rsidRPr="00597E56">
        <w:rPr>
          <w:rFonts w:ascii="Palatino Linotype" w:eastAsia="Calibri" w:hAnsi="Palatino Linotype" w:cstheme="minorHAnsi"/>
          <w:sz w:val="22"/>
          <w:szCs w:val="22"/>
          <w:lang w:val="en-AU" w:eastAsia="en-AU"/>
        </w:rPr>
        <w:t>n occasion</w:t>
      </w:r>
      <w:r w:rsidR="00153A87" w:rsidRPr="00597E56">
        <w:rPr>
          <w:rFonts w:ascii="Palatino Linotype" w:eastAsia="Calibri" w:hAnsi="Palatino Linotype" w:cstheme="minorHAnsi"/>
          <w:sz w:val="22"/>
          <w:szCs w:val="22"/>
          <w:lang w:val="en-AU" w:eastAsia="en-AU"/>
        </w:rPr>
        <w:t xml:space="preserve"> a m</w:t>
      </w:r>
      <w:r w:rsidR="00CC263F" w:rsidRPr="00597E56">
        <w:rPr>
          <w:rFonts w:ascii="Palatino Linotype" w:eastAsia="Calibri" w:hAnsi="Palatino Linotype" w:cstheme="minorHAnsi"/>
          <w:sz w:val="22"/>
          <w:szCs w:val="22"/>
          <w:lang w:val="en-AU" w:eastAsia="en-AU"/>
        </w:rPr>
        <w:t>ultiple of such uses included</w:t>
      </w:r>
      <w:r w:rsidR="00153A87" w:rsidRPr="00597E56">
        <w:rPr>
          <w:rFonts w:ascii="Palatino Linotype" w:eastAsia="Calibri" w:hAnsi="Palatino Linotype" w:cstheme="minorHAnsi"/>
          <w:sz w:val="22"/>
          <w:szCs w:val="22"/>
          <w:lang w:val="en-AU" w:eastAsia="en-AU"/>
        </w:rPr>
        <w:t xml:space="preserve"> i</w:t>
      </w:r>
      <w:r w:rsidR="00E777CA" w:rsidRPr="00597E56">
        <w:rPr>
          <w:rFonts w:ascii="Palatino Linotype" w:eastAsia="Calibri" w:hAnsi="Palatino Linotype" w:cstheme="minorHAnsi"/>
          <w:sz w:val="22"/>
          <w:szCs w:val="22"/>
          <w:lang w:val="en-AU" w:eastAsia="en-AU"/>
        </w:rPr>
        <w:t>n a</w:t>
      </w:r>
      <w:r w:rsidR="00153A87" w:rsidRPr="00597E56">
        <w:rPr>
          <w:rFonts w:ascii="Palatino Linotype" w:eastAsia="Calibri" w:hAnsi="Palatino Linotype" w:cstheme="minorHAnsi"/>
          <w:sz w:val="22"/>
          <w:szCs w:val="22"/>
          <w:lang w:val="en-AU" w:eastAsia="en-AU"/>
        </w:rPr>
        <w:t xml:space="preserve"> single easement </w:t>
      </w:r>
      <w:r w:rsidR="001C1198" w:rsidRPr="00597E56">
        <w:rPr>
          <w:rFonts w:ascii="Palatino Linotype" w:eastAsia="Calibri" w:hAnsi="Palatino Linotype" w:cstheme="minorHAnsi"/>
          <w:sz w:val="22"/>
          <w:szCs w:val="22"/>
          <w:lang w:val="en-AU" w:eastAsia="en-AU"/>
        </w:rPr>
        <w:t>(or land)</w:t>
      </w:r>
      <w:r w:rsidR="00153A87" w:rsidRPr="00597E56">
        <w:rPr>
          <w:rFonts w:ascii="Palatino Linotype" w:eastAsia="Calibri" w:hAnsi="Palatino Linotype" w:cstheme="minorHAnsi"/>
          <w:sz w:val="22"/>
          <w:szCs w:val="22"/>
          <w:lang w:val="en-AU" w:eastAsia="en-AU"/>
        </w:rPr>
        <w:t>.</w:t>
      </w:r>
      <w:r w:rsidR="00AB4674" w:rsidRPr="00597E56">
        <w:rPr>
          <w:rFonts w:ascii="Palatino Linotype" w:eastAsia="Calibri" w:hAnsi="Palatino Linotype" w:cstheme="minorHAnsi"/>
          <w:sz w:val="22"/>
          <w:szCs w:val="22"/>
          <w:lang w:val="en-AU" w:eastAsia="en-AU"/>
        </w:rPr>
        <w:t xml:space="preserve"> </w:t>
      </w:r>
    </w:p>
    <w:p w14:paraId="4A3A62EF" w14:textId="77777777" w:rsidR="00342B07" w:rsidRPr="00597E56" w:rsidRDefault="00342B07" w:rsidP="00F1501F">
      <w:pPr>
        <w:pStyle w:val="BodyText"/>
        <w:rPr>
          <w:rFonts w:ascii="Palatino Linotype" w:eastAsia="Calibri" w:hAnsi="Palatino Linotype" w:cstheme="minorHAnsi"/>
          <w:sz w:val="28"/>
          <w:szCs w:val="28"/>
          <w:lang w:val="en-AU" w:eastAsia="en-AU"/>
        </w:rPr>
      </w:pPr>
    </w:p>
    <w:p w14:paraId="614FCC21" w14:textId="50E10309" w:rsidR="001C1198" w:rsidRPr="00597E56" w:rsidRDefault="00153A87" w:rsidP="00F1501F">
      <w:pPr>
        <w:pStyle w:val="BodyText"/>
        <w:rPr>
          <w:rStyle w:val="Emphasis"/>
          <w:rFonts w:ascii="Palatino Linotype" w:hAnsi="Palatino Linotype" w:cstheme="minorHAnsi"/>
          <w:sz w:val="22"/>
          <w:szCs w:val="22"/>
          <w:lang w:val="en-AU"/>
        </w:rPr>
      </w:pPr>
      <w:r w:rsidRPr="00597E56">
        <w:rPr>
          <w:rFonts w:ascii="Palatino Linotype" w:eastAsia="Calibri" w:hAnsi="Palatino Linotype" w:cstheme="minorHAnsi"/>
          <w:sz w:val="22"/>
          <w:szCs w:val="22"/>
          <w:lang w:val="en-AU" w:eastAsia="en-AU"/>
        </w:rPr>
        <w:t>Whilst n</w:t>
      </w:r>
      <w:r w:rsidR="00AB4674" w:rsidRPr="00597E56">
        <w:rPr>
          <w:rFonts w:ascii="Palatino Linotype" w:eastAsia="Calibri" w:hAnsi="Palatino Linotype" w:cstheme="minorHAnsi"/>
          <w:sz w:val="22"/>
          <w:szCs w:val="22"/>
          <w:lang w:val="en-AU" w:eastAsia="en-AU"/>
        </w:rPr>
        <w:t xml:space="preserve">ative title was first recognised in </w:t>
      </w:r>
      <w:r w:rsidR="00AB4674" w:rsidRPr="00597E56">
        <w:rPr>
          <w:rStyle w:val="Emphasis"/>
          <w:rFonts w:ascii="Palatino Linotype" w:hAnsi="Palatino Linotype" w:cstheme="minorHAnsi"/>
          <w:i/>
          <w:iCs/>
          <w:sz w:val="22"/>
          <w:szCs w:val="22"/>
          <w:lang w:val="en-AU"/>
        </w:rPr>
        <w:t>Mabo &amp; Ors v State of Queensland (1992)</w:t>
      </w:r>
      <w:r w:rsidR="00AB4674" w:rsidRPr="00597E56">
        <w:rPr>
          <w:rStyle w:val="Emphasis"/>
          <w:rFonts w:ascii="Palatino Linotype" w:hAnsi="Palatino Linotype" w:cstheme="minorHAnsi"/>
          <w:sz w:val="22"/>
          <w:szCs w:val="22"/>
          <w:lang w:val="en-AU"/>
        </w:rPr>
        <w:t xml:space="preserve"> 175 CLR 1 </w:t>
      </w:r>
      <w:r w:rsidR="00AB4674" w:rsidRPr="00597E56">
        <w:rPr>
          <w:rStyle w:val="Emphasis"/>
          <w:rFonts w:ascii="Palatino Linotype" w:hAnsi="Palatino Linotype" w:cstheme="minorHAnsi"/>
          <w:i/>
          <w:iCs/>
          <w:sz w:val="22"/>
          <w:szCs w:val="22"/>
          <w:lang w:val="en-AU"/>
        </w:rPr>
        <w:t>(Mabo No. 2)</w:t>
      </w:r>
      <w:r w:rsidR="00AB4674" w:rsidRPr="00597E56">
        <w:rPr>
          <w:rStyle w:val="Emphasis"/>
          <w:rFonts w:ascii="Palatino Linotype" w:hAnsi="Palatino Linotype" w:cstheme="minorHAnsi"/>
          <w:sz w:val="22"/>
          <w:szCs w:val="22"/>
          <w:lang w:val="en-AU"/>
        </w:rPr>
        <w:t xml:space="preserve"> and was partially codified by the </w:t>
      </w:r>
      <w:r w:rsidR="00AB4674" w:rsidRPr="00597E56">
        <w:rPr>
          <w:rStyle w:val="Emphasis"/>
          <w:rFonts w:ascii="Palatino Linotype" w:hAnsi="Palatino Linotype" w:cstheme="minorHAnsi"/>
          <w:i/>
          <w:iCs/>
          <w:sz w:val="22"/>
          <w:szCs w:val="22"/>
          <w:lang w:val="en-AU"/>
        </w:rPr>
        <w:t xml:space="preserve">Native Title Act 1993 </w:t>
      </w:r>
      <w:r w:rsidRPr="00597E56">
        <w:rPr>
          <w:rStyle w:val="Emphasis"/>
          <w:rFonts w:ascii="Palatino Linotype" w:hAnsi="Palatino Linotype" w:cstheme="minorHAnsi"/>
          <w:sz w:val="22"/>
          <w:szCs w:val="22"/>
          <w:lang w:val="en-AU"/>
        </w:rPr>
        <w:t>(</w:t>
      </w:r>
      <w:proofErr w:type="spellStart"/>
      <w:r w:rsidRPr="00597E56">
        <w:rPr>
          <w:rStyle w:val="Emphasis"/>
          <w:rFonts w:ascii="Palatino Linotype" w:hAnsi="Palatino Linotype" w:cstheme="minorHAnsi"/>
          <w:sz w:val="22"/>
          <w:szCs w:val="22"/>
          <w:lang w:val="en-AU"/>
        </w:rPr>
        <w:t>Cth</w:t>
      </w:r>
      <w:proofErr w:type="spellEnd"/>
      <w:r w:rsidRPr="00597E56">
        <w:rPr>
          <w:rStyle w:val="Emphasis"/>
          <w:rFonts w:ascii="Palatino Linotype" w:hAnsi="Palatino Linotype" w:cstheme="minorHAnsi"/>
          <w:sz w:val="22"/>
          <w:szCs w:val="22"/>
          <w:lang w:val="en-AU"/>
        </w:rPr>
        <w:t>.), s</w:t>
      </w:r>
      <w:r w:rsidR="00AB4674" w:rsidRPr="00597E56">
        <w:rPr>
          <w:rStyle w:val="Emphasis"/>
          <w:rFonts w:ascii="Palatino Linotype" w:hAnsi="Palatino Linotype" w:cstheme="minorHAnsi"/>
          <w:sz w:val="22"/>
          <w:szCs w:val="22"/>
          <w:lang w:val="en-AU"/>
        </w:rPr>
        <w:t xml:space="preserve">tatutory </w:t>
      </w:r>
      <w:r w:rsidRPr="00597E56">
        <w:rPr>
          <w:rStyle w:val="Emphasis"/>
          <w:rFonts w:ascii="Palatino Linotype" w:hAnsi="Palatino Linotype" w:cstheme="minorHAnsi"/>
          <w:sz w:val="22"/>
          <w:szCs w:val="22"/>
          <w:lang w:val="en-AU"/>
        </w:rPr>
        <w:t xml:space="preserve">Aboriginal </w:t>
      </w:r>
      <w:r w:rsidR="00AB4674" w:rsidRPr="00597E56">
        <w:rPr>
          <w:rStyle w:val="Emphasis"/>
          <w:rFonts w:ascii="Palatino Linotype" w:hAnsi="Palatino Linotype" w:cstheme="minorHAnsi"/>
          <w:sz w:val="22"/>
          <w:szCs w:val="22"/>
          <w:lang w:val="en-AU"/>
        </w:rPr>
        <w:t xml:space="preserve">land rights predate </w:t>
      </w:r>
      <w:r w:rsidRPr="00597E56">
        <w:rPr>
          <w:rStyle w:val="Emphasis"/>
          <w:rFonts w:ascii="Palatino Linotype" w:hAnsi="Palatino Linotype" w:cstheme="minorHAnsi"/>
          <w:sz w:val="22"/>
          <w:szCs w:val="22"/>
          <w:lang w:val="en-AU"/>
        </w:rPr>
        <w:t>the recognition of native title. The Commonwealth government enacted</w:t>
      </w:r>
      <w:r w:rsidR="00AB4674" w:rsidRPr="00597E56">
        <w:rPr>
          <w:rStyle w:val="Emphasis"/>
          <w:rFonts w:ascii="Palatino Linotype" w:hAnsi="Palatino Linotype" w:cstheme="minorHAnsi"/>
          <w:sz w:val="22"/>
          <w:szCs w:val="22"/>
          <w:lang w:val="en-AU"/>
        </w:rPr>
        <w:t xml:space="preserve"> </w:t>
      </w:r>
      <w:r w:rsidR="00AB4674" w:rsidRPr="00597E56">
        <w:rPr>
          <w:rStyle w:val="Emphasis"/>
          <w:rFonts w:ascii="Palatino Linotype" w:hAnsi="Palatino Linotype" w:cstheme="minorHAnsi"/>
          <w:sz w:val="22"/>
          <w:szCs w:val="22"/>
          <w:lang w:val="en-AU"/>
        </w:rPr>
        <w:lastRenderedPageBreak/>
        <w:t xml:space="preserve">the </w:t>
      </w:r>
      <w:r w:rsidR="00AB4674" w:rsidRPr="00597E56">
        <w:rPr>
          <w:rStyle w:val="Emphasis"/>
          <w:rFonts w:ascii="Palatino Linotype" w:hAnsi="Palatino Linotype" w:cstheme="minorHAnsi"/>
          <w:i/>
          <w:iCs/>
          <w:sz w:val="22"/>
          <w:szCs w:val="22"/>
          <w:lang w:val="en-AU"/>
        </w:rPr>
        <w:t>Aboriginal Land Rights (Northern Territory) Act 1976</w:t>
      </w:r>
      <w:r w:rsidRPr="00597E56">
        <w:rPr>
          <w:rStyle w:val="Emphasis"/>
          <w:rFonts w:ascii="Palatino Linotype" w:hAnsi="Palatino Linotype" w:cstheme="minorHAnsi"/>
          <w:sz w:val="22"/>
          <w:szCs w:val="22"/>
          <w:lang w:val="en-AU"/>
        </w:rPr>
        <w:t xml:space="preserve"> (</w:t>
      </w:r>
      <w:proofErr w:type="spellStart"/>
      <w:r w:rsidRPr="00597E56">
        <w:rPr>
          <w:rStyle w:val="Emphasis"/>
          <w:rFonts w:ascii="Palatino Linotype" w:hAnsi="Palatino Linotype" w:cstheme="minorHAnsi"/>
          <w:sz w:val="22"/>
          <w:szCs w:val="22"/>
          <w:lang w:val="en-AU"/>
        </w:rPr>
        <w:t>Cth</w:t>
      </w:r>
      <w:proofErr w:type="spellEnd"/>
      <w:r w:rsidRPr="00597E56">
        <w:rPr>
          <w:rStyle w:val="Emphasis"/>
          <w:rFonts w:ascii="Palatino Linotype" w:hAnsi="Palatino Linotype" w:cstheme="minorHAnsi"/>
          <w:sz w:val="22"/>
          <w:szCs w:val="22"/>
          <w:lang w:val="en-AU"/>
        </w:rPr>
        <w:t>.)</w:t>
      </w:r>
      <w:r w:rsidR="008D1A7E" w:rsidRPr="00597E56">
        <w:rPr>
          <w:rStyle w:val="FootnoteReference"/>
          <w:rFonts w:ascii="Palatino Linotype" w:hAnsi="Palatino Linotype" w:cstheme="minorHAnsi"/>
          <w:sz w:val="22"/>
          <w:szCs w:val="22"/>
          <w:lang w:val="en-AU"/>
        </w:rPr>
        <w:footnoteReference w:id="2"/>
      </w:r>
      <w:r w:rsidR="0012573E" w:rsidRPr="00597E56">
        <w:rPr>
          <w:rStyle w:val="Emphasis"/>
          <w:rFonts w:ascii="Palatino Linotype" w:hAnsi="Palatino Linotype" w:cstheme="minorHAnsi"/>
          <w:sz w:val="22"/>
          <w:szCs w:val="22"/>
          <w:lang w:val="en-AU"/>
        </w:rPr>
        <w:t xml:space="preserve"> </w:t>
      </w:r>
      <w:r w:rsidRPr="00597E56">
        <w:rPr>
          <w:rStyle w:val="Emphasis"/>
          <w:rFonts w:ascii="Palatino Linotype" w:eastAsia="Calibri" w:hAnsi="Palatino Linotype" w:cstheme="minorHAnsi"/>
          <w:sz w:val="22"/>
          <w:szCs w:val="22"/>
          <w:lang w:val="en-AU" w:eastAsia="en-AU"/>
        </w:rPr>
        <w:t>although</w:t>
      </w:r>
      <w:r w:rsidR="00AB4674" w:rsidRPr="00597E56">
        <w:rPr>
          <w:rStyle w:val="Emphasis"/>
          <w:rFonts w:ascii="Palatino Linotype" w:hAnsi="Palatino Linotype" w:cstheme="minorHAnsi"/>
          <w:sz w:val="22"/>
          <w:szCs w:val="22"/>
          <w:lang w:val="en-AU"/>
        </w:rPr>
        <w:t xml:space="preserve">, the </w:t>
      </w:r>
      <w:r w:rsidR="00E777CA" w:rsidRPr="00597E56">
        <w:rPr>
          <w:rStyle w:val="Emphasis"/>
          <w:rFonts w:ascii="Palatino Linotype" w:hAnsi="Palatino Linotype" w:cstheme="minorHAnsi"/>
          <w:sz w:val="22"/>
          <w:szCs w:val="22"/>
          <w:lang w:val="en-AU"/>
        </w:rPr>
        <w:t xml:space="preserve">earlier </w:t>
      </w:r>
      <w:r w:rsidR="00AB4674" w:rsidRPr="00597E56">
        <w:rPr>
          <w:rStyle w:val="Emphasis"/>
          <w:rFonts w:ascii="Palatino Linotype" w:hAnsi="Palatino Linotype" w:cstheme="minorHAnsi"/>
          <w:i/>
          <w:iCs/>
          <w:sz w:val="22"/>
          <w:szCs w:val="22"/>
          <w:lang w:val="en-AU"/>
        </w:rPr>
        <w:t>Aboriginal Land Trusts Act 1966</w:t>
      </w:r>
      <w:r w:rsidR="00E777CA" w:rsidRPr="00597E56">
        <w:rPr>
          <w:rStyle w:val="Emphasis"/>
          <w:rFonts w:ascii="Palatino Linotype" w:hAnsi="Palatino Linotype" w:cstheme="minorHAnsi"/>
          <w:sz w:val="22"/>
          <w:szCs w:val="22"/>
          <w:lang w:val="en-AU"/>
        </w:rPr>
        <w:t xml:space="preserve"> (SA) was antecedent</w:t>
      </w:r>
      <w:r w:rsidRPr="00597E56">
        <w:rPr>
          <w:rStyle w:val="Emphasis"/>
          <w:rFonts w:ascii="Palatino Linotype" w:hAnsi="Palatino Linotype" w:cstheme="minorHAnsi"/>
          <w:sz w:val="22"/>
          <w:szCs w:val="22"/>
          <w:lang w:val="en-AU"/>
        </w:rPr>
        <w:t xml:space="preserve"> </w:t>
      </w:r>
      <w:r w:rsidR="00E777CA" w:rsidRPr="00597E56">
        <w:rPr>
          <w:rStyle w:val="Emphasis"/>
          <w:rFonts w:ascii="Palatino Linotype" w:hAnsi="Palatino Linotype" w:cstheme="minorHAnsi"/>
          <w:sz w:val="22"/>
          <w:szCs w:val="22"/>
          <w:lang w:val="en-AU"/>
        </w:rPr>
        <w:t>legislation by a decade</w:t>
      </w:r>
      <w:r w:rsidR="00AB4674" w:rsidRPr="00597E56">
        <w:rPr>
          <w:rStyle w:val="Emphasis"/>
          <w:rFonts w:ascii="Palatino Linotype" w:hAnsi="Palatino Linotype" w:cstheme="minorHAnsi"/>
          <w:sz w:val="22"/>
          <w:szCs w:val="22"/>
          <w:lang w:val="en-AU"/>
        </w:rPr>
        <w:t xml:space="preserve"> albeit limited to the State of South Australia. </w:t>
      </w:r>
      <w:r w:rsidR="001C1198" w:rsidRPr="00597E56">
        <w:rPr>
          <w:rStyle w:val="Emphasis"/>
          <w:rFonts w:ascii="Palatino Linotype" w:hAnsi="Palatino Linotype" w:cstheme="minorHAnsi"/>
          <w:sz w:val="22"/>
          <w:szCs w:val="22"/>
          <w:lang w:val="en-AU"/>
        </w:rPr>
        <w:t xml:space="preserve">Much later in New South Wales, the </w:t>
      </w:r>
      <w:r w:rsidR="001C1198" w:rsidRPr="00597E56">
        <w:rPr>
          <w:rStyle w:val="Emphasis"/>
          <w:rFonts w:ascii="Palatino Linotype" w:hAnsi="Palatino Linotype" w:cstheme="minorHAnsi"/>
          <w:i/>
          <w:sz w:val="22"/>
          <w:szCs w:val="22"/>
          <w:lang w:val="en-AU"/>
        </w:rPr>
        <w:t>Aboriginal Land Rights Act 1983</w:t>
      </w:r>
      <w:r w:rsidR="005B00DE" w:rsidRPr="00597E56">
        <w:rPr>
          <w:rStyle w:val="Emphasis"/>
          <w:rFonts w:ascii="Palatino Linotype" w:hAnsi="Palatino Linotype" w:cstheme="minorHAnsi"/>
          <w:i/>
          <w:sz w:val="22"/>
          <w:szCs w:val="22"/>
          <w:lang w:val="en-AU"/>
        </w:rPr>
        <w:t xml:space="preserve"> </w:t>
      </w:r>
      <w:r w:rsidR="005B00DE" w:rsidRPr="00597E56">
        <w:rPr>
          <w:rStyle w:val="Emphasis"/>
          <w:rFonts w:ascii="Palatino Linotype" w:hAnsi="Palatino Linotype" w:cstheme="minorHAnsi"/>
          <w:sz w:val="22"/>
          <w:szCs w:val="22"/>
          <w:lang w:val="en-AU"/>
        </w:rPr>
        <w:t>(NSW)</w:t>
      </w:r>
      <w:r w:rsidR="001C1198" w:rsidRPr="00597E56">
        <w:rPr>
          <w:rStyle w:val="Emphasis"/>
          <w:rFonts w:ascii="Palatino Linotype" w:hAnsi="Palatino Linotype" w:cstheme="minorHAnsi"/>
          <w:sz w:val="22"/>
          <w:szCs w:val="22"/>
          <w:lang w:val="en-AU"/>
        </w:rPr>
        <w:t xml:space="preserve"> was enacted</w:t>
      </w:r>
      <w:r w:rsidR="001D1C5B" w:rsidRPr="00597E56">
        <w:rPr>
          <w:rStyle w:val="Emphasis"/>
          <w:rFonts w:ascii="Palatino Linotype" w:hAnsi="Palatino Linotype" w:cstheme="minorHAnsi"/>
          <w:sz w:val="22"/>
          <w:szCs w:val="22"/>
          <w:lang w:val="en-AU"/>
        </w:rPr>
        <w:t xml:space="preserve"> (Morphett, 2024, p.432</w:t>
      </w:r>
      <w:r w:rsidR="00010071" w:rsidRPr="00597E56">
        <w:rPr>
          <w:rStyle w:val="Emphasis"/>
          <w:rFonts w:ascii="Palatino Linotype" w:hAnsi="Palatino Linotype" w:cstheme="minorHAnsi"/>
          <w:sz w:val="22"/>
          <w:szCs w:val="22"/>
          <w:lang w:val="en-AU"/>
        </w:rPr>
        <w:t>.</w:t>
      </w:r>
      <w:r w:rsidR="001C1198" w:rsidRPr="00597E56">
        <w:rPr>
          <w:rStyle w:val="Emphasis"/>
          <w:rFonts w:ascii="Palatino Linotype" w:hAnsi="Palatino Linotype" w:cstheme="minorHAnsi"/>
          <w:sz w:val="22"/>
          <w:szCs w:val="22"/>
          <w:lang w:val="en-AU"/>
        </w:rPr>
        <w:t xml:space="preserve"> </w:t>
      </w:r>
      <w:r w:rsidR="00010071" w:rsidRPr="00597E56">
        <w:rPr>
          <w:rStyle w:val="Emphasis"/>
          <w:rFonts w:ascii="Palatino Linotype" w:hAnsi="Palatino Linotype" w:cstheme="minorHAnsi"/>
          <w:sz w:val="22"/>
          <w:szCs w:val="22"/>
          <w:lang w:val="en-AU"/>
        </w:rPr>
        <w:t>T</w:t>
      </w:r>
      <w:r w:rsidR="000A1DBB" w:rsidRPr="00597E56">
        <w:rPr>
          <w:rStyle w:val="Emphasis"/>
          <w:rFonts w:ascii="Palatino Linotype" w:hAnsi="Palatino Linotype" w:cstheme="minorHAnsi"/>
          <w:sz w:val="22"/>
          <w:szCs w:val="22"/>
          <w:lang w:val="en-AU"/>
        </w:rPr>
        <w:t xml:space="preserve">he </w:t>
      </w:r>
      <w:r w:rsidR="005B00DE" w:rsidRPr="00597E56">
        <w:rPr>
          <w:rStyle w:val="Emphasis"/>
          <w:rFonts w:ascii="Palatino Linotype" w:hAnsi="Palatino Linotype" w:cstheme="minorHAnsi"/>
          <w:sz w:val="22"/>
          <w:szCs w:val="22"/>
          <w:lang w:val="en-AU"/>
        </w:rPr>
        <w:t xml:space="preserve">claims </w:t>
      </w:r>
      <w:r w:rsidR="000A1DBB" w:rsidRPr="00597E56">
        <w:rPr>
          <w:rStyle w:val="Emphasis"/>
          <w:rFonts w:ascii="Palatino Linotype" w:hAnsi="Palatino Linotype" w:cstheme="minorHAnsi"/>
          <w:sz w:val="22"/>
          <w:szCs w:val="22"/>
          <w:lang w:val="en-AU"/>
        </w:rPr>
        <w:t xml:space="preserve">regime </w:t>
      </w:r>
      <w:r w:rsidR="005B00DE" w:rsidRPr="00597E56">
        <w:rPr>
          <w:rStyle w:val="Emphasis"/>
          <w:rFonts w:ascii="Palatino Linotype" w:hAnsi="Palatino Linotype" w:cstheme="minorHAnsi"/>
          <w:sz w:val="22"/>
          <w:szCs w:val="22"/>
          <w:lang w:val="en-AU"/>
        </w:rPr>
        <w:t xml:space="preserve">under that legislation </w:t>
      </w:r>
      <w:r w:rsidR="001C1198" w:rsidRPr="00597E56">
        <w:rPr>
          <w:rStyle w:val="Emphasis"/>
          <w:rFonts w:ascii="Palatino Linotype" w:hAnsi="Palatino Linotype" w:cstheme="minorHAnsi"/>
          <w:sz w:val="22"/>
          <w:szCs w:val="22"/>
          <w:lang w:val="en-AU"/>
        </w:rPr>
        <w:t xml:space="preserve">will be canvassed in </w:t>
      </w:r>
      <w:r w:rsidR="001F275F" w:rsidRPr="00597E56">
        <w:rPr>
          <w:rStyle w:val="Emphasis"/>
          <w:rFonts w:ascii="Palatino Linotype" w:hAnsi="Palatino Linotype" w:cstheme="minorHAnsi"/>
          <w:sz w:val="22"/>
          <w:szCs w:val="22"/>
          <w:lang w:val="en-AU"/>
        </w:rPr>
        <w:t xml:space="preserve">the following section of </w:t>
      </w:r>
      <w:r w:rsidR="001C1198" w:rsidRPr="00597E56">
        <w:rPr>
          <w:rStyle w:val="Emphasis"/>
          <w:rFonts w:ascii="Palatino Linotype" w:hAnsi="Palatino Linotype" w:cstheme="minorHAnsi"/>
          <w:sz w:val="22"/>
          <w:szCs w:val="22"/>
          <w:lang w:val="en-AU"/>
        </w:rPr>
        <w:t>this paper</w:t>
      </w:r>
      <w:r w:rsidR="00010071" w:rsidRPr="00597E56">
        <w:rPr>
          <w:rStyle w:val="Emphasis"/>
          <w:rFonts w:ascii="Palatino Linotype" w:hAnsi="Palatino Linotype" w:cstheme="minorHAnsi"/>
          <w:sz w:val="22"/>
          <w:szCs w:val="22"/>
          <w:lang w:val="en-AU"/>
        </w:rPr>
        <w:t xml:space="preserve"> before </w:t>
      </w:r>
      <w:r w:rsidR="00CF7DA3" w:rsidRPr="00597E56">
        <w:rPr>
          <w:rStyle w:val="Emphasis"/>
          <w:rFonts w:ascii="Palatino Linotype" w:hAnsi="Palatino Linotype" w:cstheme="minorHAnsi"/>
          <w:sz w:val="22"/>
          <w:szCs w:val="22"/>
          <w:lang w:val="en-AU"/>
        </w:rPr>
        <w:t xml:space="preserve">subsequently </w:t>
      </w:r>
      <w:r w:rsidR="00010071" w:rsidRPr="00597E56">
        <w:rPr>
          <w:rStyle w:val="Emphasis"/>
          <w:rFonts w:ascii="Palatino Linotype" w:hAnsi="Palatino Linotype" w:cstheme="minorHAnsi"/>
          <w:sz w:val="22"/>
          <w:szCs w:val="22"/>
          <w:lang w:val="en-AU"/>
        </w:rPr>
        <w:t>addressing the issue of compensation</w:t>
      </w:r>
      <w:r w:rsidR="001C1198" w:rsidRPr="00597E56">
        <w:rPr>
          <w:rStyle w:val="Emphasis"/>
          <w:rFonts w:ascii="Palatino Linotype" w:hAnsi="Palatino Linotype" w:cstheme="minorHAnsi"/>
          <w:sz w:val="22"/>
          <w:szCs w:val="22"/>
          <w:lang w:val="en-AU"/>
        </w:rPr>
        <w:t>.</w:t>
      </w:r>
      <w:r w:rsidR="00CF7DA3" w:rsidRPr="00597E56">
        <w:rPr>
          <w:rStyle w:val="Emphasis"/>
          <w:rFonts w:ascii="Palatino Linotype" w:hAnsi="Palatino Linotype" w:cstheme="minorHAnsi"/>
          <w:sz w:val="22"/>
          <w:szCs w:val="22"/>
          <w:lang w:val="en-AU"/>
        </w:rPr>
        <w:t xml:space="preserve"> </w:t>
      </w:r>
      <w:r w:rsidR="00BF04B8" w:rsidRPr="00597E56">
        <w:rPr>
          <w:rStyle w:val="Emphasis"/>
          <w:rFonts w:ascii="Palatino Linotype" w:hAnsi="Palatino Linotype" w:cstheme="minorHAnsi"/>
          <w:sz w:val="22"/>
          <w:szCs w:val="22"/>
          <w:lang w:val="en-AU"/>
        </w:rPr>
        <w:t>In the penultimate section of this paper</w:t>
      </w:r>
      <w:r w:rsidR="00CF7DA3" w:rsidRPr="00597E56">
        <w:rPr>
          <w:rStyle w:val="Emphasis"/>
          <w:rFonts w:ascii="Palatino Linotype" w:hAnsi="Palatino Linotype" w:cstheme="minorHAnsi"/>
          <w:sz w:val="22"/>
          <w:szCs w:val="22"/>
          <w:lang w:val="en-AU"/>
        </w:rPr>
        <w:t>, a comparison is undertaken of the NSW legislation with</w:t>
      </w:r>
      <w:r w:rsidR="00365219" w:rsidRPr="00597E56">
        <w:rPr>
          <w:rStyle w:val="Emphasis"/>
          <w:rFonts w:ascii="Palatino Linotype" w:hAnsi="Palatino Linotype" w:cstheme="minorHAnsi"/>
          <w:sz w:val="22"/>
          <w:szCs w:val="22"/>
          <w:lang w:val="en-AU"/>
        </w:rPr>
        <w:t xml:space="preserve"> </w:t>
      </w:r>
      <w:r w:rsidR="007061AF" w:rsidRPr="00597E56">
        <w:rPr>
          <w:rStyle w:val="Emphasis"/>
          <w:rFonts w:ascii="Palatino Linotype" w:hAnsi="Palatino Linotype" w:cstheme="minorHAnsi"/>
          <w:sz w:val="22"/>
          <w:szCs w:val="22"/>
          <w:lang w:val="en-AU"/>
        </w:rPr>
        <w:t xml:space="preserve">the </w:t>
      </w:r>
      <w:r w:rsidR="00365219" w:rsidRPr="00597E56">
        <w:rPr>
          <w:rStyle w:val="Emphasis"/>
          <w:rFonts w:ascii="Palatino Linotype" w:hAnsi="Palatino Linotype" w:cstheme="minorHAnsi"/>
          <w:sz w:val="22"/>
          <w:szCs w:val="22"/>
          <w:lang w:val="en-AU"/>
        </w:rPr>
        <w:t xml:space="preserve">somewhat disconcerting </w:t>
      </w:r>
      <w:r w:rsidR="00CF7DA3" w:rsidRPr="00597E56">
        <w:rPr>
          <w:rStyle w:val="Emphasis"/>
          <w:rFonts w:ascii="Palatino Linotype" w:hAnsi="Palatino Linotype" w:cstheme="minorHAnsi"/>
          <w:sz w:val="22"/>
          <w:szCs w:val="22"/>
          <w:lang w:val="en-AU"/>
        </w:rPr>
        <w:t>outlier legislation</w:t>
      </w:r>
      <w:r w:rsidR="007061AF" w:rsidRPr="00597E56">
        <w:rPr>
          <w:rStyle w:val="Emphasis"/>
          <w:rFonts w:ascii="Palatino Linotype" w:hAnsi="Palatino Linotype" w:cstheme="minorHAnsi"/>
          <w:sz w:val="22"/>
          <w:szCs w:val="22"/>
          <w:lang w:val="en-AU"/>
        </w:rPr>
        <w:t xml:space="preserve">, </w:t>
      </w:r>
      <w:r w:rsidR="00CF7DA3" w:rsidRPr="00597E56">
        <w:rPr>
          <w:rStyle w:val="Emphasis"/>
          <w:rFonts w:ascii="Palatino Linotype" w:hAnsi="Palatino Linotype" w:cstheme="minorHAnsi"/>
          <w:i/>
          <w:iCs/>
          <w:sz w:val="22"/>
          <w:szCs w:val="22"/>
          <w:lang w:val="en-AU"/>
        </w:rPr>
        <w:t>Aboriginal Heritage Act 1972</w:t>
      </w:r>
      <w:r w:rsidR="00CF7DA3" w:rsidRPr="00597E56">
        <w:rPr>
          <w:rStyle w:val="Emphasis"/>
          <w:rFonts w:ascii="Palatino Linotype" w:hAnsi="Palatino Linotype" w:cstheme="minorHAnsi"/>
          <w:sz w:val="22"/>
          <w:szCs w:val="22"/>
          <w:lang w:val="en-AU"/>
        </w:rPr>
        <w:t xml:space="preserve"> (WA)</w:t>
      </w:r>
      <w:r w:rsidR="00365219" w:rsidRPr="00597E56">
        <w:rPr>
          <w:rStyle w:val="Emphasis"/>
          <w:rFonts w:ascii="Palatino Linotype" w:hAnsi="Palatino Linotype" w:cstheme="minorHAnsi"/>
          <w:sz w:val="22"/>
          <w:szCs w:val="22"/>
          <w:lang w:val="en-AU"/>
        </w:rPr>
        <w:t>.</w:t>
      </w:r>
    </w:p>
    <w:p w14:paraId="5CD7C1C6" w14:textId="77777777" w:rsidR="00AD226C" w:rsidRPr="00597E56" w:rsidRDefault="00AD226C" w:rsidP="00F1501F">
      <w:pPr>
        <w:spacing w:after="0" w:line="240" w:lineRule="auto"/>
        <w:jc w:val="both"/>
        <w:rPr>
          <w:rFonts w:ascii="Palatino Linotype" w:hAnsi="Palatino Linotype"/>
          <w:b/>
          <w:iCs/>
          <w:sz w:val="32"/>
          <w:szCs w:val="32"/>
        </w:rPr>
      </w:pPr>
    </w:p>
    <w:p w14:paraId="51FCA178" w14:textId="5876B3AC" w:rsidR="0068202D" w:rsidRPr="00597E56" w:rsidRDefault="00AA26E4" w:rsidP="00F1501F">
      <w:pPr>
        <w:spacing w:after="0" w:line="240" w:lineRule="auto"/>
        <w:jc w:val="both"/>
        <w:rPr>
          <w:rFonts w:ascii="Palatino Linotype" w:hAnsi="Palatino Linotype"/>
          <w:b/>
          <w:iCs/>
          <w:sz w:val="24"/>
          <w:szCs w:val="24"/>
        </w:rPr>
      </w:pPr>
      <w:r w:rsidRPr="00597E56">
        <w:rPr>
          <w:rFonts w:ascii="Palatino Linotype" w:hAnsi="Palatino Linotype"/>
          <w:b/>
          <w:iCs/>
          <w:sz w:val="24"/>
          <w:szCs w:val="24"/>
        </w:rPr>
        <w:t xml:space="preserve">NSW </w:t>
      </w:r>
      <w:r w:rsidR="001C1198" w:rsidRPr="00597E56">
        <w:rPr>
          <w:rFonts w:ascii="Palatino Linotype" w:hAnsi="Palatino Linotype"/>
          <w:b/>
          <w:iCs/>
          <w:sz w:val="24"/>
          <w:szCs w:val="24"/>
        </w:rPr>
        <w:t xml:space="preserve">Aboriginal </w:t>
      </w:r>
      <w:r w:rsidR="007C055B" w:rsidRPr="00597E56">
        <w:rPr>
          <w:rFonts w:ascii="Palatino Linotype" w:hAnsi="Palatino Linotype"/>
          <w:b/>
          <w:iCs/>
          <w:sz w:val="24"/>
          <w:szCs w:val="24"/>
        </w:rPr>
        <w:t>l</w:t>
      </w:r>
      <w:r w:rsidR="001C1198" w:rsidRPr="00597E56">
        <w:rPr>
          <w:rFonts w:ascii="Palatino Linotype" w:hAnsi="Palatino Linotype"/>
          <w:b/>
          <w:iCs/>
          <w:sz w:val="24"/>
          <w:szCs w:val="24"/>
        </w:rPr>
        <w:t xml:space="preserve">and </w:t>
      </w:r>
      <w:r w:rsidR="000A1DBB" w:rsidRPr="00597E56">
        <w:rPr>
          <w:rFonts w:ascii="Palatino Linotype" w:hAnsi="Palatino Linotype"/>
          <w:b/>
          <w:iCs/>
          <w:sz w:val="24"/>
          <w:szCs w:val="24"/>
        </w:rPr>
        <w:t xml:space="preserve">rights </w:t>
      </w:r>
      <w:r w:rsidR="000F3C85" w:rsidRPr="00597E56">
        <w:rPr>
          <w:rFonts w:ascii="Palatino Linotype" w:hAnsi="Palatino Linotype"/>
          <w:b/>
          <w:iCs/>
          <w:sz w:val="24"/>
          <w:szCs w:val="24"/>
        </w:rPr>
        <w:t>claim</w:t>
      </w:r>
      <w:r w:rsidR="007C055B" w:rsidRPr="00597E56">
        <w:rPr>
          <w:rFonts w:ascii="Palatino Linotype" w:hAnsi="Palatino Linotype"/>
          <w:b/>
          <w:iCs/>
          <w:sz w:val="24"/>
          <w:szCs w:val="24"/>
        </w:rPr>
        <w:t xml:space="preserve"> </w:t>
      </w:r>
      <w:r w:rsidR="000A1DBB" w:rsidRPr="00597E56">
        <w:rPr>
          <w:rFonts w:ascii="Palatino Linotype" w:hAnsi="Palatino Linotype"/>
          <w:b/>
          <w:iCs/>
          <w:sz w:val="24"/>
          <w:szCs w:val="24"/>
        </w:rPr>
        <w:t>regime</w:t>
      </w:r>
      <w:r w:rsidR="007C055B" w:rsidRPr="00597E56">
        <w:rPr>
          <w:rFonts w:ascii="Palatino Linotype" w:hAnsi="Palatino Linotype"/>
          <w:b/>
          <w:iCs/>
          <w:sz w:val="24"/>
          <w:szCs w:val="24"/>
        </w:rPr>
        <w:t>.</w:t>
      </w:r>
    </w:p>
    <w:p w14:paraId="4E6DA0BF" w14:textId="77777777" w:rsidR="0068202D" w:rsidRPr="00597E56" w:rsidRDefault="0068202D" w:rsidP="00F1501F">
      <w:pPr>
        <w:pStyle w:val="ListParagraph"/>
        <w:spacing w:after="0" w:line="240" w:lineRule="auto"/>
        <w:jc w:val="both"/>
        <w:rPr>
          <w:rFonts w:ascii="Palatino Linotype" w:hAnsi="Palatino Linotype"/>
          <w:b/>
          <w:iCs/>
          <w:sz w:val="24"/>
          <w:szCs w:val="24"/>
        </w:rPr>
      </w:pPr>
    </w:p>
    <w:p w14:paraId="1E40A036" w14:textId="35831B79" w:rsidR="00C95434" w:rsidRPr="00597E56" w:rsidRDefault="00894A08" w:rsidP="00F1501F">
      <w:pPr>
        <w:spacing w:after="0" w:line="240" w:lineRule="auto"/>
        <w:jc w:val="both"/>
        <w:rPr>
          <w:rStyle w:val="Emphasis"/>
          <w:rFonts w:ascii="Palatino Linotype" w:hAnsi="Palatino Linotype" w:cstheme="minorHAnsi"/>
          <w:sz w:val="22"/>
        </w:rPr>
      </w:pPr>
      <w:r w:rsidRPr="00597E56">
        <w:rPr>
          <w:rFonts w:ascii="Palatino Linotype" w:hAnsi="Palatino Linotype"/>
          <w:bCs/>
        </w:rPr>
        <w:t>T</w:t>
      </w:r>
      <w:r w:rsidR="000037D6" w:rsidRPr="00597E56">
        <w:rPr>
          <w:rFonts w:ascii="Palatino Linotype" w:hAnsi="Palatino Linotype"/>
          <w:bCs/>
        </w:rPr>
        <w:t xml:space="preserve">he </w:t>
      </w:r>
      <w:r w:rsidR="005B00DE" w:rsidRPr="00597E56">
        <w:rPr>
          <w:rStyle w:val="Emphasis"/>
          <w:rFonts w:ascii="Palatino Linotype" w:hAnsi="Palatino Linotype" w:cstheme="minorHAnsi"/>
          <w:i/>
          <w:sz w:val="22"/>
        </w:rPr>
        <w:t>Aboriginal Land Rights Act 1983</w:t>
      </w:r>
      <w:r w:rsidR="00C95434" w:rsidRPr="00597E56">
        <w:rPr>
          <w:rStyle w:val="Emphasis"/>
          <w:rFonts w:ascii="Palatino Linotype" w:hAnsi="Palatino Linotype" w:cstheme="minorHAnsi"/>
          <w:i/>
          <w:sz w:val="22"/>
        </w:rPr>
        <w:t xml:space="preserve"> </w:t>
      </w:r>
      <w:r w:rsidR="00C95434" w:rsidRPr="00597E56">
        <w:rPr>
          <w:rStyle w:val="Emphasis"/>
          <w:rFonts w:ascii="Palatino Linotype" w:hAnsi="Palatino Linotype" w:cstheme="minorHAnsi"/>
          <w:sz w:val="22"/>
        </w:rPr>
        <w:t>(NSW)</w:t>
      </w:r>
      <w:r w:rsidR="000A1DBB" w:rsidRPr="00597E56">
        <w:rPr>
          <w:rStyle w:val="Emphasis"/>
          <w:rFonts w:ascii="Palatino Linotype" w:hAnsi="Palatino Linotype" w:cstheme="minorHAnsi"/>
          <w:sz w:val="22"/>
        </w:rPr>
        <w:t xml:space="preserve"> (ALRA)</w:t>
      </w:r>
      <w:r w:rsidRPr="00597E56">
        <w:rPr>
          <w:rStyle w:val="Emphasis"/>
          <w:rFonts w:ascii="Palatino Linotype" w:hAnsi="Palatino Linotype" w:cstheme="minorHAnsi"/>
          <w:sz w:val="22"/>
        </w:rPr>
        <w:t xml:space="preserve"> requires</w:t>
      </w:r>
      <w:r w:rsidR="00C95434" w:rsidRPr="00597E56">
        <w:rPr>
          <w:rStyle w:val="Emphasis"/>
          <w:rFonts w:ascii="Palatino Linotype" w:hAnsi="Palatino Linotype" w:cstheme="minorHAnsi"/>
          <w:sz w:val="22"/>
        </w:rPr>
        <w:t xml:space="preserve"> </w:t>
      </w:r>
      <w:r w:rsidRPr="00597E56">
        <w:rPr>
          <w:rStyle w:val="Emphasis"/>
          <w:rFonts w:ascii="Palatino Linotype" w:hAnsi="Palatino Linotype" w:cstheme="minorHAnsi"/>
          <w:sz w:val="22"/>
        </w:rPr>
        <w:t xml:space="preserve">that </w:t>
      </w:r>
      <w:r w:rsidR="00C95434" w:rsidRPr="00597E56">
        <w:rPr>
          <w:rStyle w:val="Emphasis"/>
          <w:rFonts w:ascii="Palatino Linotype" w:hAnsi="Palatino Linotype" w:cstheme="minorHAnsi"/>
          <w:sz w:val="22"/>
        </w:rPr>
        <w:t xml:space="preserve">any land claim must fall within the category of </w:t>
      </w:r>
      <w:r w:rsidR="00C95434" w:rsidRPr="00597E56">
        <w:rPr>
          <w:rStyle w:val="Emphasis"/>
          <w:rFonts w:ascii="Palatino Linotype" w:hAnsi="Palatino Linotype" w:cstheme="minorHAnsi"/>
          <w:b/>
          <w:sz w:val="22"/>
        </w:rPr>
        <w:t>claimable Crown lands</w:t>
      </w:r>
      <w:r w:rsidR="00C95434" w:rsidRPr="00597E56">
        <w:rPr>
          <w:rStyle w:val="Emphasis"/>
          <w:rFonts w:ascii="Palatino Linotype" w:hAnsi="Palatino Linotype" w:cstheme="minorHAnsi"/>
          <w:sz w:val="22"/>
        </w:rPr>
        <w:t xml:space="preserve"> as defined by s.36(1).  The criteria to be resolved to the reasonable satisfaction of the Minister is whether the specific Aboriginal land claim should be granted. For claims to be successful the criteria of s.36(1) must be met, namely the Crown Lands claimed:</w:t>
      </w:r>
    </w:p>
    <w:p w14:paraId="47F7436B" w14:textId="77777777" w:rsidR="00642941" w:rsidRPr="00597E56" w:rsidRDefault="00642941" w:rsidP="00F1501F">
      <w:pPr>
        <w:spacing w:after="0" w:line="240" w:lineRule="auto"/>
        <w:jc w:val="both"/>
        <w:rPr>
          <w:rStyle w:val="Emphasis"/>
          <w:rFonts w:ascii="Palatino Linotype" w:hAnsi="Palatino Linotype" w:cstheme="minorHAnsi"/>
          <w:i/>
          <w:sz w:val="22"/>
        </w:rPr>
      </w:pPr>
    </w:p>
    <w:p w14:paraId="304EF955" w14:textId="6C133488" w:rsidR="00C95434" w:rsidRPr="00597E56" w:rsidRDefault="00C95434" w:rsidP="00F1501F">
      <w:pPr>
        <w:spacing w:after="0" w:line="240" w:lineRule="auto"/>
        <w:ind w:left="567"/>
        <w:jc w:val="both"/>
        <w:rPr>
          <w:rFonts w:ascii="Palatino Linotype" w:hAnsi="Palatino Linotype" w:cstheme="minorHAnsi"/>
          <w:i/>
        </w:rPr>
      </w:pPr>
      <w:r w:rsidRPr="00597E56">
        <w:rPr>
          <w:rFonts w:ascii="Palatino Linotype" w:hAnsi="Palatino Linotype" w:cstheme="minorHAnsi"/>
          <w:i/>
        </w:rPr>
        <w:t xml:space="preserve">(a) </w:t>
      </w:r>
      <w:proofErr w:type="gramStart"/>
      <w:r w:rsidRPr="00597E56">
        <w:rPr>
          <w:rFonts w:ascii="Palatino Linotype" w:hAnsi="Palatino Linotype" w:cstheme="minorHAnsi"/>
          <w:i/>
        </w:rPr>
        <w:t>are able to</w:t>
      </w:r>
      <w:proofErr w:type="gramEnd"/>
      <w:r w:rsidRPr="00597E56">
        <w:rPr>
          <w:rFonts w:ascii="Palatino Linotype" w:hAnsi="Palatino Linotype" w:cstheme="minorHAnsi"/>
          <w:i/>
        </w:rPr>
        <w:t xml:space="preserve"> be lawfully sold or leased, or are reserved or dedicated for any purpose, under the Crown Lands Consolidation Act 1913 or the Western Lands Act 1901,</w:t>
      </w:r>
    </w:p>
    <w:p w14:paraId="3E8671F2" w14:textId="77777777" w:rsidR="00C95434" w:rsidRPr="00597E56" w:rsidRDefault="00C95434" w:rsidP="00F1501F">
      <w:pPr>
        <w:spacing w:after="0" w:line="240" w:lineRule="auto"/>
        <w:ind w:left="567"/>
        <w:jc w:val="both"/>
        <w:rPr>
          <w:rFonts w:ascii="Palatino Linotype" w:hAnsi="Palatino Linotype" w:cstheme="minorHAnsi"/>
          <w:i/>
        </w:rPr>
      </w:pPr>
      <w:r w:rsidRPr="00597E56">
        <w:rPr>
          <w:rFonts w:ascii="Palatino Linotype" w:hAnsi="Palatino Linotype" w:cstheme="minorHAnsi"/>
          <w:i/>
        </w:rPr>
        <w:t>(b) are not lawfully used or occupied,</w:t>
      </w:r>
    </w:p>
    <w:p w14:paraId="6BB8BD66" w14:textId="2B07D34B" w:rsidR="00C95434" w:rsidRPr="00597E56" w:rsidRDefault="00C95434" w:rsidP="00F1501F">
      <w:pPr>
        <w:spacing w:after="0" w:line="240" w:lineRule="auto"/>
        <w:ind w:left="567"/>
        <w:jc w:val="both"/>
        <w:rPr>
          <w:rFonts w:ascii="Palatino Linotype" w:hAnsi="Palatino Linotype" w:cstheme="minorHAnsi"/>
          <w:i/>
        </w:rPr>
      </w:pPr>
      <w:r w:rsidRPr="00597E56">
        <w:rPr>
          <w:rFonts w:ascii="Palatino Linotype" w:hAnsi="Palatino Linotype" w:cstheme="minorHAnsi"/>
          <w:i/>
        </w:rPr>
        <w:t>(b1) do not comprise lands which, in the opinion of a Crown Lands Minister, are needed or are likely to be needed as residential</w:t>
      </w:r>
      <w:r w:rsidR="00594636" w:rsidRPr="00597E56">
        <w:rPr>
          <w:rFonts w:ascii="Palatino Linotype" w:hAnsi="Palatino Linotype" w:cstheme="minorHAnsi"/>
          <w:i/>
        </w:rPr>
        <w:t xml:space="preserve"> lands,</w:t>
      </w:r>
      <w:r w:rsidRPr="00597E56">
        <w:rPr>
          <w:rFonts w:ascii="Palatino Linotype" w:hAnsi="Palatino Linotype" w:cstheme="minorHAnsi"/>
          <w:i/>
        </w:rPr>
        <w:t> </w:t>
      </w:r>
    </w:p>
    <w:p w14:paraId="1F6A1AF0" w14:textId="77777777" w:rsidR="00C95434" w:rsidRPr="00597E56" w:rsidRDefault="00C95434" w:rsidP="00F1501F">
      <w:pPr>
        <w:spacing w:after="0" w:line="240" w:lineRule="auto"/>
        <w:ind w:left="567"/>
        <w:jc w:val="both"/>
        <w:rPr>
          <w:rFonts w:ascii="Palatino Linotype" w:hAnsi="Palatino Linotype" w:cstheme="minorHAnsi"/>
          <w:i/>
        </w:rPr>
      </w:pPr>
      <w:r w:rsidRPr="00597E56">
        <w:rPr>
          <w:rFonts w:ascii="Palatino Linotype" w:hAnsi="Palatino Linotype" w:cstheme="minorHAnsi"/>
          <w:i/>
        </w:rPr>
        <w:t>(c) are not needed, nor likely to be needed, for an essential public purpose</w:t>
      </w:r>
      <w:r w:rsidRPr="00597E56">
        <w:rPr>
          <w:rFonts w:ascii="Palatino Linotype" w:hAnsi="Palatino Linotype" w:cstheme="minorHAnsi"/>
        </w:rPr>
        <w:t>,</w:t>
      </w:r>
      <w:r w:rsidRPr="00597E56">
        <w:rPr>
          <w:rFonts w:ascii="Palatino Linotype" w:hAnsi="Palatino Linotype" w:cstheme="minorHAnsi"/>
          <w:i/>
        </w:rPr>
        <w:t xml:space="preserve"> and</w:t>
      </w:r>
    </w:p>
    <w:p w14:paraId="016721BA" w14:textId="7A22E8F1" w:rsidR="00C95434" w:rsidRPr="00597E56" w:rsidRDefault="00C95434" w:rsidP="00F1501F">
      <w:pPr>
        <w:spacing w:after="0" w:line="240" w:lineRule="auto"/>
        <w:ind w:left="567"/>
        <w:jc w:val="both"/>
        <w:rPr>
          <w:rFonts w:ascii="Palatino Linotype" w:hAnsi="Palatino Linotype" w:cstheme="minorHAnsi"/>
          <w:i/>
        </w:rPr>
      </w:pPr>
      <w:r w:rsidRPr="00597E56">
        <w:rPr>
          <w:rFonts w:ascii="Palatino Linotype" w:hAnsi="Palatino Linotype" w:cstheme="minorHAnsi"/>
          <w:i/>
        </w:rPr>
        <w:t>(d) do not comprise</w:t>
      </w:r>
      <w:r w:rsidR="00594636" w:rsidRPr="00597E56">
        <w:rPr>
          <w:rFonts w:ascii="Palatino Linotype" w:hAnsi="Palatino Linotype" w:cstheme="minorHAnsi"/>
          <w:i/>
        </w:rPr>
        <w:t xml:space="preserve"> lands</w:t>
      </w:r>
      <w:r w:rsidR="00123916" w:rsidRPr="00597E56">
        <w:rPr>
          <w:rFonts w:ascii="Palatino Linotype" w:hAnsi="Palatino Linotype" w:cstheme="minorHAnsi"/>
          <w:i/>
        </w:rPr>
        <w:t xml:space="preserve"> </w:t>
      </w:r>
      <w:r w:rsidRPr="00597E56">
        <w:rPr>
          <w:rFonts w:ascii="Palatino Linotype" w:hAnsi="Palatino Linotype" w:cstheme="minorHAnsi"/>
          <w:i/>
        </w:rPr>
        <w:t>that are the subject of an application for a determination of</w:t>
      </w:r>
      <w:r w:rsidR="00594636" w:rsidRPr="00597E56">
        <w:rPr>
          <w:rFonts w:ascii="Palatino Linotype" w:hAnsi="Palatino Linotype" w:cstheme="minorHAnsi"/>
          <w:i/>
        </w:rPr>
        <w:t xml:space="preserve"> native title </w:t>
      </w:r>
      <w:r w:rsidRPr="00597E56">
        <w:rPr>
          <w:rFonts w:ascii="Palatino Linotype" w:hAnsi="Palatino Linotype" w:cstheme="minorHAnsi"/>
          <w:i/>
        </w:rPr>
        <w:t>(other than a non-claimant application that is an unopposed application) that has been</w:t>
      </w:r>
      <w:r w:rsidR="00594636" w:rsidRPr="00597E56">
        <w:rPr>
          <w:rFonts w:ascii="Palatino Linotype" w:hAnsi="Palatino Linotype" w:cstheme="minorHAnsi"/>
          <w:i/>
        </w:rPr>
        <w:t xml:space="preserve"> registered</w:t>
      </w:r>
      <w:r w:rsidR="00123916" w:rsidRPr="00597E56">
        <w:rPr>
          <w:rFonts w:ascii="Palatino Linotype" w:hAnsi="Palatino Linotype" w:cstheme="minorHAnsi"/>
          <w:i/>
        </w:rPr>
        <w:t xml:space="preserve"> </w:t>
      </w:r>
      <w:r w:rsidRPr="00597E56">
        <w:rPr>
          <w:rFonts w:ascii="Palatino Linotype" w:hAnsi="Palatino Linotype" w:cstheme="minorHAnsi"/>
          <w:i/>
        </w:rPr>
        <w:t>in accordance with the Commonwealth</w:t>
      </w:r>
      <w:r w:rsidR="00594636" w:rsidRPr="00597E56">
        <w:rPr>
          <w:rFonts w:ascii="Palatino Linotype" w:hAnsi="Palatino Linotype" w:cstheme="minorHAnsi"/>
          <w:i/>
        </w:rPr>
        <w:t xml:space="preserve"> Native Title Act,</w:t>
      </w:r>
      <w:r w:rsidR="00123916" w:rsidRPr="00597E56">
        <w:rPr>
          <w:rFonts w:ascii="Palatino Linotype" w:hAnsi="Palatino Linotype" w:cstheme="minorHAnsi"/>
          <w:i/>
        </w:rPr>
        <w:t xml:space="preserve"> </w:t>
      </w:r>
      <w:r w:rsidRPr="00597E56">
        <w:rPr>
          <w:rFonts w:ascii="Palatino Linotype" w:hAnsi="Palatino Linotype" w:cstheme="minorHAnsi"/>
          <w:i/>
        </w:rPr>
        <w:t>and</w:t>
      </w:r>
    </w:p>
    <w:p w14:paraId="6C858ED8" w14:textId="05FB6749" w:rsidR="00C95434" w:rsidRPr="00597E56" w:rsidRDefault="00C95434" w:rsidP="00F1501F">
      <w:pPr>
        <w:spacing w:after="0" w:line="240" w:lineRule="auto"/>
        <w:ind w:left="567"/>
        <w:jc w:val="both"/>
        <w:rPr>
          <w:rFonts w:ascii="Palatino Linotype" w:hAnsi="Palatino Linotype" w:cstheme="minorHAnsi"/>
          <w:i/>
        </w:rPr>
      </w:pPr>
      <w:r w:rsidRPr="00597E56">
        <w:rPr>
          <w:rFonts w:ascii="Palatino Linotype" w:hAnsi="Palatino Linotype" w:cstheme="minorHAnsi"/>
          <w:i/>
        </w:rPr>
        <w:t>(e) do not comprise</w:t>
      </w:r>
      <w:r w:rsidR="00594636" w:rsidRPr="00597E56">
        <w:rPr>
          <w:rFonts w:ascii="Palatino Linotype" w:hAnsi="Palatino Linotype" w:cstheme="minorHAnsi"/>
          <w:i/>
        </w:rPr>
        <w:t xml:space="preserve"> lands</w:t>
      </w:r>
      <w:r w:rsidRPr="00597E56">
        <w:rPr>
          <w:rFonts w:ascii="Palatino Linotype" w:hAnsi="Palatino Linotype" w:cstheme="minorHAnsi"/>
          <w:i/>
        </w:rPr>
        <w:t> that are the subject of an approved determination of</w:t>
      </w:r>
      <w:r w:rsidR="00594636" w:rsidRPr="00597E56">
        <w:rPr>
          <w:rFonts w:ascii="Palatino Linotype" w:hAnsi="Palatino Linotype" w:cstheme="minorHAnsi"/>
          <w:i/>
        </w:rPr>
        <w:t xml:space="preserve"> native title</w:t>
      </w:r>
      <w:r w:rsidR="00123916" w:rsidRPr="00597E56">
        <w:rPr>
          <w:rFonts w:ascii="Palatino Linotype" w:hAnsi="Palatino Linotype" w:cstheme="minorHAnsi"/>
          <w:i/>
        </w:rPr>
        <w:t xml:space="preserve"> </w:t>
      </w:r>
      <w:r w:rsidRPr="00597E56">
        <w:rPr>
          <w:rFonts w:ascii="Palatino Linotype" w:hAnsi="Palatino Linotype" w:cstheme="minorHAnsi"/>
          <w:i/>
        </w:rPr>
        <w:t>(within the meaning of the Commonwealth</w:t>
      </w:r>
      <w:r w:rsidR="00594636" w:rsidRPr="00597E56">
        <w:rPr>
          <w:rFonts w:ascii="Palatino Linotype" w:hAnsi="Palatino Linotype" w:cstheme="minorHAnsi"/>
          <w:i/>
        </w:rPr>
        <w:t xml:space="preserve"> Native Title Act)</w:t>
      </w:r>
      <w:r w:rsidRPr="00597E56">
        <w:rPr>
          <w:rFonts w:ascii="Palatino Linotype" w:hAnsi="Palatino Linotype" w:cstheme="minorHAnsi"/>
          <w:i/>
        </w:rPr>
        <w:t xml:space="preserve"> (other than an approved determination that no</w:t>
      </w:r>
      <w:r w:rsidR="00594636" w:rsidRPr="00597E56">
        <w:rPr>
          <w:rFonts w:ascii="Palatino Linotype" w:hAnsi="Palatino Linotype" w:cstheme="minorHAnsi"/>
          <w:i/>
        </w:rPr>
        <w:t xml:space="preserve"> native title</w:t>
      </w:r>
      <w:r w:rsidR="00123916" w:rsidRPr="00597E56">
        <w:rPr>
          <w:rFonts w:ascii="Palatino Linotype" w:hAnsi="Palatino Linotype" w:cstheme="minorHAnsi"/>
          <w:i/>
        </w:rPr>
        <w:t xml:space="preserve"> </w:t>
      </w:r>
      <w:r w:rsidRPr="00597E56">
        <w:rPr>
          <w:rFonts w:ascii="Palatino Linotype" w:hAnsi="Palatino Linotype" w:cstheme="minorHAnsi"/>
          <w:i/>
        </w:rPr>
        <w:t>exists in the</w:t>
      </w:r>
      <w:r w:rsidR="00594636" w:rsidRPr="00597E56">
        <w:rPr>
          <w:rFonts w:ascii="Palatino Linotype" w:hAnsi="Palatino Linotype" w:cstheme="minorHAnsi"/>
          <w:i/>
        </w:rPr>
        <w:t xml:space="preserve"> lands).</w:t>
      </w:r>
    </w:p>
    <w:p w14:paraId="5AC5F01A" w14:textId="77777777" w:rsidR="00C95434" w:rsidRPr="00597E56" w:rsidRDefault="00C95434" w:rsidP="00F1501F">
      <w:pPr>
        <w:spacing w:after="0" w:line="240" w:lineRule="auto"/>
        <w:jc w:val="both"/>
        <w:rPr>
          <w:rFonts w:ascii="Palatino Linotype" w:hAnsi="Palatino Linotype" w:cstheme="minorHAnsi"/>
          <w:i/>
          <w:sz w:val="28"/>
          <w:szCs w:val="28"/>
        </w:rPr>
      </w:pPr>
    </w:p>
    <w:p w14:paraId="7910B6A5" w14:textId="1808E279" w:rsidR="00385B18" w:rsidRPr="00597E56" w:rsidRDefault="00594636" w:rsidP="00F1501F">
      <w:pPr>
        <w:pStyle w:val="NoSpacing"/>
        <w:jc w:val="both"/>
        <w:rPr>
          <w:rFonts w:ascii="Palatino Linotype" w:hAnsi="Palatino Linotype" w:cstheme="minorHAnsi"/>
        </w:rPr>
      </w:pPr>
      <w:r w:rsidRPr="00597E56">
        <w:rPr>
          <w:rFonts w:ascii="Palatino Linotype" w:hAnsi="Palatino Linotype" w:cstheme="minorHAnsi"/>
        </w:rPr>
        <w:t xml:space="preserve">Whilst a proposed public work </w:t>
      </w:r>
      <w:r w:rsidR="007C055B" w:rsidRPr="00597E56">
        <w:rPr>
          <w:rFonts w:ascii="Palatino Linotype" w:hAnsi="Palatino Linotype" w:cstheme="minorHAnsi"/>
        </w:rPr>
        <w:t xml:space="preserve">might </w:t>
      </w:r>
      <w:r w:rsidR="00C95434" w:rsidRPr="00597E56">
        <w:rPr>
          <w:rFonts w:ascii="Palatino Linotype" w:hAnsi="Palatino Linotype" w:cstheme="minorHAnsi"/>
        </w:rPr>
        <w:t xml:space="preserve">be reasonably construed as an </w:t>
      </w:r>
      <w:r w:rsidR="007C055B" w:rsidRPr="00597E56">
        <w:rPr>
          <w:rFonts w:ascii="Palatino Linotype" w:hAnsi="Palatino Linotype" w:cstheme="minorHAnsi"/>
        </w:rPr>
        <w:t>“</w:t>
      </w:r>
      <w:r w:rsidR="00C95434" w:rsidRPr="00597E56">
        <w:rPr>
          <w:rFonts w:ascii="Palatino Linotype" w:hAnsi="Palatino Linotype" w:cstheme="minorHAnsi"/>
        </w:rPr>
        <w:t>essential public purpose</w:t>
      </w:r>
      <w:r w:rsidR="007C055B" w:rsidRPr="00597E56">
        <w:rPr>
          <w:rFonts w:ascii="Palatino Linotype" w:hAnsi="Palatino Linotype" w:cstheme="minorHAnsi"/>
        </w:rPr>
        <w:t>”</w:t>
      </w:r>
      <w:r w:rsidR="00C95434" w:rsidRPr="00597E56">
        <w:rPr>
          <w:rFonts w:ascii="Palatino Linotype" w:hAnsi="Palatino Linotype" w:cstheme="minorHAnsi"/>
        </w:rPr>
        <w:t xml:space="preserve"> as defined by </w:t>
      </w:r>
      <w:r w:rsidR="00C95434" w:rsidRPr="00597E56">
        <w:rPr>
          <w:rFonts w:ascii="Palatino Linotype" w:hAnsi="Palatino Linotype" w:cstheme="minorHAnsi"/>
          <w:i/>
        </w:rPr>
        <w:t>s.36(1)(c)</w:t>
      </w:r>
      <w:r w:rsidRPr="00597E56">
        <w:rPr>
          <w:rFonts w:ascii="Palatino Linotype" w:hAnsi="Palatino Linotype" w:cstheme="minorHAnsi"/>
          <w:i/>
        </w:rPr>
        <w:t>,</w:t>
      </w:r>
      <w:r w:rsidRPr="00597E56">
        <w:rPr>
          <w:rFonts w:ascii="Palatino Linotype" w:hAnsi="Palatino Linotype" w:cstheme="minorHAnsi"/>
        </w:rPr>
        <w:t xml:space="preserve"> as</w:t>
      </w:r>
      <w:r w:rsidR="00C95434" w:rsidRPr="00597E56">
        <w:rPr>
          <w:rFonts w:ascii="Palatino Linotype" w:hAnsi="Palatino Linotype" w:cstheme="minorHAnsi"/>
        </w:rPr>
        <w:t xml:space="preserve"> at the date of lodgement of </w:t>
      </w:r>
      <w:r w:rsidRPr="00597E56">
        <w:rPr>
          <w:rFonts w:ascii="Palatino Linotype" w:hAnsi="Palatino Linotype" w:cstheme="minorHAnsi"/>
        </w:rPr>
        <w:t xml:space="preserve">an </w:t>
      </w:r>
      <w:r w:rsidR="00C95434" w:rsidRPr="00597E56">
        <w:rPr>
          <w:rFonts w:ascii="Palatino Linotype" w:hAnsi="Palatino Linotype" w:cstheme="minorHAnsi"/>
        </w:rPr>
        <w:t>Aboriginal land claim</w:t>
      </w:r>
      <w:r w:rsidR="00C95434" w:rsidRPr="00597E56">
        <w:rPr>
          <w:rFonts w:ascii="Palatino Linotype" w:hAnsi="Palatino Linotype" w:cstheme="minorHAnsi"/>
          <w:b/>
        </w:rPr>
        <w:t xml:space="preserve"> </w:t>
      </w:r>
      <w:r w:rsidR="00C95434" w:rsidRPr="00597E56">
        <w:rPr>
          <w:rFonts w:ascii="Palatino Linotype" w:hAnsi="Palatino Linotype" w:cstheme="minorHAnsi"/>
        </w:rPr>
        <w:t>identification of the</w:t>
      </w:r>
      <w:r w:rsidRPr="00597E56">
        <w:rPr>
          <w:rFonts w:ascii="Palatino Linotype" w:hAnsi="Palatino Linotype" w:cstheme="minorHAnsi"/>
        </w:rPr>
        <w:t xml:space="preserve"> Crown</w:t>
      </w:r>
      <w:r w:rsidR="00C95434" w:rsidRPr="00597E56">
        <w:rPr>
          <w:rFonts w:ascii="Palatino Linotype" w:hAnsi="Palatino Linotype" w:cstheme="minorHAnsi"/>
        </w:rPr>
        <w:t xml:space="preserve"> land for an essential public purpose </w:t>
      </w:r>
      <w:proofErr w:type="gramStart"/>
      <w:r w:rsidR="00AA26E4" w:rsidRPr="00597E56">
        <w:rPr>
          <w:rFonts w:ascii="Palatino Linotype" w:hAnsi="Palatino Linotype" w:cstheme="minorHAnsi"/>
        </w:rPr>
        <w:t>has</w:t>
      </w:r>
      <w:r w:rsidR="00C95434" w:rsidRPr="00597E56">
        <w:rPr>
          <w:rFonts w:ascii="Palatino Linotype" w:hAnsi="Palatino Linotype" w:cstheme="minorHAnsi"/>
        </w:rPr>
        <w:t xml:space="preserve"> to</w:t>
      </w:r>
      <w:proofErr w:type="gramEnd"/>
      <w:r w:rsidR="00C95434" w:rsidRPr="00597E56">
        <w:rPr>
          <w:rFonts w:ascii="Palatino Linotype" w:hAnsi="Palatino Linotype" w:cstheme="minorHAnsi"/>
        </w:rPr>
        <w:t xml:space="preserve"> be evident for the claim to be refused</w:t>
      </w:r>
      <w:r w:rsidRPr="00597E56">
        <w:rPr>
          <w:rFonts w:ascii="Palatino Linotype" w:hAnsi="Palatino Linotype" w:cstheme="minorHAnsi"/>
        </w:rPr>
        <w:t xml:space="preserve"> by the Minister</w:t>
      </w:r>
      <w:r w:rsidR="00C95434" w:rsidRPr="00597E56">
        <w:rPr>
          <w:rFonts w:ascii="Palatino Linotype" w:hAnsi="Palatino Linotype" w:cstheme="minorHAnsi"/>
        </w:rPr>
        <w:t xml:space="preserve">. </w:t>
      </w:r>
    </w:p>
    <w:p w14:paraId="3DDA6C78" w14:textId="77777777" w:rsidR="00385B18" w:rsidRPr="00597E56" w:rsidRDefault="00385B18" w:rsidP="00F1501F">
      <w:pPr>
        <w:pStyle w:val="NoSpacing"/>
        <w:jc w:val="both"/>
        <w:rPr>
          <w:rFonts w:ascii="Palatino Linotype" w:hAnsi="Palatino Linotype" w:cstheme="minorHAnsi"/>
        </w:rPr>
      </w:pPr>
    </w:p>
    <w:p w14:paraId="7698EF95" w14:textId="07920C31" w:rsidR="00C95434" w:rsidRPr="00597E56" w:rsidRDefault="00CB6E87" w:rsidP="00F1501F">
      <w:pPr>
        <w:pStyle w:val="NoSpacing"/>
        <w:jc w:val="both"/>
        <w:rPr>
          <w:rFonts w:ascii="Palatino Linotype" w:hAnsi="Palatino Linotype" w:cstheme="minorHAnsi"/>
          <w:spacing w:val="-9"/>
          <w:w w:val="103"/>
        </w:rPr>
      </w:pPr>
      <w:r w:rsidRPr="00597E56">
        <w:rPr>
          <w:rFonts w:ascii="Palatino Linotype" w:hAnsi="Palatino Linotype" w:cstheme="minorHAnsi"/>
        </w:rPr>
        <w:t>This criterion</w:t>
      </w:r>
      <w:r w:rsidR="00C95434" w:rsidRPr="00597E56">
        <w:rPr>
          <w:rFonts w:ascii="Palatino Linotype" w:hAnsi="Palatino Linotype" w:cstheme="minorHAnsi"/>
        </w:rPr>
        <w:t xml:space="preserve"> was affirmed by Craig J. in</w:t>
      </w:r>
      <w:r w:rsidR="00C95434" w:rsidRPr="00597E56">
        <w:rPr>
          <w:rStyle w:val="Emphasis"/>
          <w:rFonts w:ascii="Palatino Linotype" w:hAnsi="Palatino Linotype" w:cstheme="minorHAnsi"/>
          <w:sz w:val="22"/>
        </w:rPr>
        <w:t xml:space="preserve"> </w:t>
      </w:r>
      <w:r w:rsidR="00C95434" w:rsidRPr="00597E56">
        <w:rPr>
          <w:rFonts w:ascii="Palatino Linotype" w:hAnsi="Palatino Linotype" w:cstheme="minorHAnsi"/>
          <w:i/>
        </w:rPr>
        <w:t xml:space="preserve">Coffs Harbour and District Local Aboriginal Land Council v Minister Administering the Crown Lands Act [2013] NSWLEC 216 (24 December 2013) (Coffs Harbour) </w:t>
      </w:r>
      <w:r w:rsidR="007C055B" w:rsidRPr="00597E56">
        <w:rPr>
          <w:rFonts w:ascii="Palatino Linotype" w:hAnsi="Palatino Linotype" w:cstheme="minorHAnsi"/>
          <w:spacing w:val="-9"/>
          <w:w w:val="103"/>
        </w:rPr>
        <w:t>stating</w:t>
      </w:r>
      <w:r w:rsidR="00C95434" w:rsidRPr="00597E56">
        <w:rPr>
          <w:rFonts w:ascii="Palatino Linotype" w:hAnsi="Palatino Linotype" w:cstheme="minorHAnsi"/>
          <w:spacing w:val="-9"/>
          <w:w w:val="103"/>
        </w:rPr>
        <w:t>:</w:t>
      </w:r>
    </w:p>
    <w:p w14:paraId="642C14AC" w14:textId="77777777" w:rsidR="00C95434" w:rsidRPr="00597E56" w:rsidRDefault="00C95434" w:rsidP="00F1501F">
      <w:pPr>
        <w:pStyle w:val="NoSpacing"/>
        <w:ind w:left="567"/>
        <w:jc w:val="both"/>
        <w:rPr>
          <w:rFonts w:ascii="Palatino Linotype" w:hAnsi="Palatino Linotype" w:cstheme="minorHAnsi"/>
          <w:spacing w:val="-9"/>
          <w:w w:val="103"/>
        </w:rPr>
      </w:pPr>
    </w:p>
    <w:p w14:paraId="547730D6" w14:textId="5D7B17BA" w:rsidR="00C95434" w:rsidRPr="00597E56" w:rsidRDefault="00C95434" w:rsidP="00F1501F">
      <w:pPr>
        <w:spacing w:after="0" w:line="240" w:lineRule="auto"/>
        <w:ind w:left="567"/>
        <w:jc w:val="both"/>
        <w:rPr>
          <w:rFonts w:ascii="Palatino Linotype" w:hAnsi="Palatino Linotype" w:cstheme="minorHAnsi"/>
          <w:i/>
          <w:w w:val="103"/>
        </w:rPr>
      </w:pPr>
      <w:r w:rsidRPr="00597E56">
        <w:rPr>
          <w:rFonts w:ascii="Palatino Linotype" w:hAnsi="Palatino Linotype" w:cstheme="minorHAnsi"/>
          <w:i/>
          <w:w w:val="103"/>
        </w:rPr>
        <w:t xml:space="preserve">… </w:t>
      </w:r>
      <w:r w:rsidRPr="00597E56">
        <w:rPr>
          <w:rFonts w:ascii="Palatino Linotype" w:hAnsi="Palatino Linotype" w:cstheme="minorHAnsi"/>
          <w:w w:val="103"/>
        </w:rPr>
        <w:t>[t]</w:t>
      </w:r>
      <w:r w:rsidRPr="00597E56">
        <w:rPr>
          <w:rFonts w:ascii="Palatino Linotype" w:hAnsi="Palatino Linotype" w:cstheme="minorHAnsi"/>
          <w:i/>
          <w:w w:val="103"/>
        </w:rPr>
        <w:t xml:space="preserve">he relevant date for determining whether land is “claimable Crown land” is the date that the claim is lodged. This necessitates consideration of those facts as they existed </w:t>
      </w:r>
      <w:r w:rsidRPr="00597E56">
        <w:rPr>
          <w:rFonts w:ascii="Palatino Linotype" w:hAnsi="Palatino Linotype" w:cstheme="minorHAnsi"/>
          <w:w w:val="103"/>
        </w:rPr>
        <w:t xml:space="preserve">[at the date </w:t>
      </w:r>
      <w:r w:rsidRPr="00597E56">
        <w:rPr>
          <w:rFonts w:ascii="Palatino Linotype" w:hAnsi="Palatino Linotype" w:cstheme="minorHAnsi"/>
          <w:w w:val="103"/>
        </w:rPr>
        <w:lastRenderedPageBreak/>
        <w:t>of claim lodgement]</w:t>
      </w:r>
      <w:r w:rsidRPr="00597E56">
        <w:rPr>
          <w:rFonts w:ascii="Palatino Linotype" w:hAnsi="Palatino Linotype" w:cstheme="minorHAnsi"/>
          <w:i/>
          <w:w w:val="103"/>
        </w:rPr>
        <w:t xml:space="preserve"> demonstrating that the likely need for one or more of the identified public purposes was then shown to exist.</w:t>
      </w:r>
      <w:r w:rsidRPr="00597E56">
        <w:rPr>
          <w:rStyle w:val="FootnoteReference"/>
          <w:rFonts w:ascii="Palatino Linotype" w:hAnsi="Palatino Linotype" w:cstheme="minorHAnsi"/>
          <w:spacing w:val="-9"/>
          <w:w w:val="103"/>
        </w:rPr>
        <w:footnoteReference w:id="3"/>
      </w:r>
    </w:p>
    <w:p w14:paraId="488D8FA2" w14:textId="77777777" w:rsidR="00642941" w:rsidRPr="00597E56" w:rsidRDefault="00642941" w:rsidP="00F1501F">
      <w:pPr>
        <w:spacing w:after="0" w:line="240" w:lineRule="auto"/>
        <w:ind w:left="567"/>
        <w:jc w:val="both"/>
        <w:rPr>
          <w:rStyle w:val="Emphasis"/>
          <w:rFonts w:ascii="Palatino Linotype" w:hAnsi="Palatino Linotype" w:cstheme="minorHAnsi"/>
          <w:i/>
          <w:sz w:val="22"/>
        </w:rPr>
      </w:pPr>
    </w:p>
    <w:p w14:paraId="46E22336" w14:textId="2E1A08A1" w:rsidR="00C95434" w:rsidRPr="00597E56" w:rsidRDefault="00C95434" w:rsidP="00F1501F">
      <w:pPr>
        <w:spacing w:after="0" w:line="240" w:lineRule="auto"/>
        <w:jc w:val="both"/>
        <w:rPr>
          <w:rStyle w:val="Emphasis"/>
          <w:rFonts w:ascii="Palatino Linotype" w:hAnsi="Palatino Linotype" w:cstheme="minorHAnsi"/>
          <w:sz w:val="22"/>
        </w:rPr>
      </w:pPr>
      <w:r w:rsidRPr="00597E56">
        <w:rPr>
          <w:rStyle w:val="Emphasis"/>
          <w:rFonts w:ascii="Palatino Linotype" w:hAnsi="Palatino Linotype" w:cstheme="minorHAnsi"/>
          <w:sz w:val="22"/>
        </w:rPr>
        <w:t>Further, Craig J. stated:</w:t>
      </w:r>
    </w:p>
    <w:p w14:paraId="2721A7B2" w14:textId="77777777" w:rsidR="00642941" w:rsidRPr="00597E56" w:rsidRDefault="00642941" w:rsidP="00F1501F">
      <w:pPr>
        <w:spacing w:after="0" w:line="240" w:lineRule="auto"/>
        <w:ind w:left="567"/>
        <w:jc w:val="both"/>
        <w:rPr>
          <w:rStyle w:val="Emphasis"/>
          <w:rFonts w:ascii="Palatino Linotype" w:hAnsi="Palatino Linotype" w:cstheme="minorHAnsi"/>
          <w:i/>
          <w:sz w:val="22"/>
        </w:rPr>
      </w:pPr>
    </w:p>
    <w:p w14:paraId="6C6DB6FD" w14:textId="77777777" w:rsidR="00C95434" w:rsidRPr="00597E56" w:rsidRDefault="00C95434" w:rsidP="00F1501F">
      <w:pPr>
        <w:spacing w:after="0" w:line="240" w:lineRule="auto"/>
        <w:ind w:left="567"/>
        <w:jc w:val="both"/>
        <w:rPr>
          <w:rStyle w:val="Emphasis"/>
          <w:rFonts w:ascii="Palatino Linotype" w:hAnsi="Palatino Linotype" w:cstheme="minorHAnsi"/>
          <w:i/>
          <w:sz w:val="22"/>
        </w:rPr>
      </w:pPr>
      <w:r w:rsidRPr="00597E56">
        <w:rPr>
          <w:rStyle w:val="Emphasis"/>
          <w:rFonts w:ascii="Palatino Linotype" w:hAnsi="Palatino Linotype" w:cstheme="minorHAnsi"/>
          <w:sz w:val="22"/>
        </w:rPr>
        <w:t>…</w:t>
      </w:r>
      <w:r w:rsidRPr="00597E56">
        <w:rPr>
          <w:rStyle w:val="Emphasis"/>
          <w:rFonts w:ascii="Palatino Linotype" w:hAnsi="Palatino Linotype" w:cstheme="minorHAnsi"/>
          <w:i/>
          <w:sz w:val="22"/>
        </w:rPr>
        <w:t>Section 36(7) requires that if the Minister “fails to satisfy the Court that the lands or a part thereof are not or is not claimable Crown lands” an order for transfer of the lands or relevant parts to the Land Council is required to be made, Thus, the Minister bears the onus of establishing … that the claimed land is likely to be needed for one or more of the identified essential public purposes…</w:t>
      </w:r>
      <w:r w:rsidRPr="00597E56">
        <w:rPr>
          <w:rStyle w:val="FootnoteReference"/>
          <w:rFonts w:ascii="Palatino Linotype" w:hAnsi="Palatino Linotype" w:cstheme="minorHAnsi"/>
          <w:iCs/>
        </w:rPr>
        <w:footnoteReference w:id="4"/>
      </w:r>
    </w:p>
    <w:p w14:paraId="24B71B96" w14:textId="77777777" w:rsidR="00AD226C" w:rsidRPr="00597E56" w:rsidRDefault="00AD226C" w:rsidP="00F1501F">
      <w:pPr>
        <w:pStyle w:val="NoSpacing"/>
        <w:jc w:val="both"/>
        <w:rPr>
          <w:rStyle w:val="Emphasis"/>
          <w:rFonts w:ascii="Palatino Linotype" w:hAnsi="Palatino Linotype" w:cstheme="minorHAnsi"/>
          <w:sz w:val="28"/>
          <w:szCs w:val="28"/>
        </w:rPr>
      </w:pPr>
    </w:p>
    <w:p w14:paraId="76F37086" w14:textId="421B19BC" w:rsidR="00C95434" w:rsidRPr="00597E56" w:rsidRDefault="00C95434" w:rsidP="00F1501F">
      <w:pPr>
        <w:pStyle w:val="NoSpacing"/>
        <w:jc w:val="both"/>
        <w:rPr>
          <w:rFonts w:ascii="Palatino Linotype" w:hAnsi="Palatino Linotype" w:cstheme="minorHAnsi"/>
        </w:rPr>
      </w:pPr>
      <w:r w:rsidRPr="00597E56">
        <w:rPr>
          <w:rStyle w:val="Emphasis"/>
          <w:rFonts w:ascii="Palatino Linotype" w:hAnsi="Palatino Linotype" w:cstheme="minorHAnsi"/>
          <w:sz w:val="22"/>
        </w:rPr>
        <w:t xml:space="preserve">Whether the </w:t>
      </w:r>
      <w:r w:rsidR="007C055B" w:rsidRPr="00597E56">
        <w:rPr>
          <w:rStyle w:val="Emphasis"/>
          <w:rFonts w:ascii="Palatino Linotype" w:hAnsi="Palatino Linotype" w:cstheme="minorHAnsi"/>
          <w:sz w:val="22"/>
        </w:rPr>
        <w:t xml:space="preserve">Crown </w:t>
      </w:r>
      <w:r w:rsidRPr="00597E56">
        <w:rPr>
          <w:rStyle w:val="Emphasis"/>
          <w:rFonts w:ascii="Palatino Linotype" w:hAnsi="Palatino Linotype" w:cstheme="minorHAnsi"/>
          <w:sz w:val="22"/>
        </w:rPr>
        <w:t xml:space="preserve">land had been identified for an essential public purpose as defined at </w:t>
      </w:r>
      <w:r w:rsidRPr="00597E56">
        <w:rPr>
          <w:rFonts w:ascii="Palatino Linotype" w:hAnsi="Palatino Linotype" w:cstheme="minorHAnsi"/>
          <w:i/>
        </w:rPr>
        <w:t>s.36(1)(c)</w:t>
      </w:r>
      <w:r w:rsidRPr="00597E56">
        <w:rPr>
          <w:rFonts w:ascii="Palatino Linotype" w:hAnsi="Palatino Linotype" w:cstheme="minorHAnsi"/>
        </w:rPr>
        <w:t xml:space="preserve"> </w:t>
      </w:r>
      <w:r w:rsidR="007C055B" w:rsidRPr="00597E56">
        <w:rPr>
          <w:rFonts w:ascii="Palatino Linotype" w:hAnsi="Palatino Linotype" w:cstheme="minorHAnsi"/>
        </w:rPr>
        <w:t>was considered by the Court of Appeal</w:t>
      </w:r>
      <w:r w:rsidR="00385B18" w:rsidRPr="00597E56">
        <w:rPr>
          <w:rFonts w:ascii="Palatino Linotype" w:hAnsi="Palatino Linotype" w:cstheme="minorHAnsi"/>
        </w:rPr>
        <w:t xml:space="preserve"> in the </w:t>
      </w:r>
      <w:r w:rsidR="00385B18" w:rsidRPr="00597E56">
        <w:rPr>
          <w:rFonts w:ascii="Palatino Linotype" w:hAnsi="Palatino Linotype" w:cstheme="minorHAnsi"/>
          <w:i/>
          <w:spacing w:val="-9"/>
          <w:w w:val="103"/>
        </w:rPr>
        <w:t xml:space="preserve">Minister Administering the Crown Lands Act v </w:t>
      </w:r>
      <w:proofErr w:type="spellStart"/>
      <w:r w:rsidR="00385B18" w:rsidRPr="00597E56">
        <w:rPr>
          <w:rFonts w:ascii="Palatino Linotype" w:hAnsi="Palatino Linotype" w:cstheme="minorHAnsi"/>
          <w:i/>
          <w:spacing w:val="-9"/>
          <w:w w:val="103"/>
        </w:rPr>
        <w:t>Deerrubbin</w:t>
      </w:r>
      <w:proofErr w:type="spellEnd"/>
      <w:r w:rsidR="00385B18" w:rsidRPr="00597E56">
        <w:rPr>
          <w:rFonts w:ascii="Palatino Linotype" w:hAnsi="Palatino Linotype" w:cstheme="minorHAnsi"/>
          <w:i/>
          <w:spacing w:val="-9"/>
          <w:w w:val="103"/>
        </w:rPr>
        <w:t xml:space="preserve"> Local Aboriginal Land Council (No.2</w:t>
      </w:r>
      <w:proofErr w:type="gramStart"/>
      <w:r w:rsidR="00385B18" w:rsidRPr="00597E56">
        <w:rPr>
          <w:rFonts w:ascii="Palatino Linotype" w:hAnsi="Palatino Linotype" w:cstheme="minorHAnsi"/>
          <w:i/>
          <w:spacing w:val="-9"/>
          <w:w w:val="103"/>
        </w:rPr>
        <w:t xml:space="preserve">)  </w:t>
      </w:r>
      <w:r w:rsidR="00385B18" w:rsidRPr="00597E56">
        <w:rPr>
          <w:rFonts w:ascii="Palatino Linotype" w:hAnsi="Palatino Linotype" w:cstheme="minorHAnsi"/>
          <w:spacing w:val="-9"/>
          <w:w w:val="103"/>
        </w:rPr>
        <w:t>[</w:t>
      </w:r>
      <w:proofErr w:type="gramEnd"/>
      <w:r w:rsidR="00385B18" w:rsidRPr="00597E56">
        <w:rPr>
          <w:rFonts w:ascii="Palatino Linotype" w:hAnsi="Palatino Linotype" w:cstheme="minorHAnsi"/>
          <w:spacing w:val="-9"/>
          <w:w w:val="103"/>
        </w:rPr>
        <w:t>2001] NSWCA 28 wherein it was held t</w:t>
      </w:r>
      <w:r w:rsidR="00385B18" w:rsidRPr="00597E56">
        <w:rPr>
          <w:rFonts w:ascii="Palatino Linotype" w:hAnsi="Palatino Linotype" w:cstheme="minorHAnsi"/>
        </w:rPr>
        <w:t xml:space="preserve">hat </w:t>
      </w:r>
      <w:r w:rsidRPr="00597E56">
        <w:rPr>
          <w:rFonts w:ascii="Palatino Linotype" w:hAnsi="Palatino Linotype" w:cstheme="minorHAnsi"/>
        </w:rPr>
        <w:t xml:space="preserve">satisfying the ‘likely’ public need </w:t>
      </w:r>
      <w:r w:rsidR="00385B18" w:rsidRPr="00597E56">
        <w:rPr>
          <w:rFonts w:ascii="Palatino Linotype" w:hAnsi="Palatino Linotype" w:cstheme="minorHAnsi"/>
        </w:rPr>
        <w:t>criteria must be</w:t>
      </w:r>
      <w:r w:rsidRPr="00597E56">
        <w:rPr>
          <w:rFonts w:ascii="Palatino Linotype" w:hAnsi="Palatino Linotype" w:cstheme="minorHAnsi"/>
        </w:rPr>
        <w:t>:</w:t>
      </w:r>
    </w:p>
    <w:p w14:paraId="7F7FFE79" w14:textId="77777777" w:rsidR="00385B18" w:rsidRPr="00597E56" w:rsidRDefault="00385B18" w:rsidP="00F1501F">
      <w:pPr>
        <w:pStyle w:val="NoSpacing"/>
        <w:ind w:left="567"/>
        <w:rPr>
          <w:rFonts w:ascii="Palatino Linotype" w:hAnsi="Palatino Linotype" w:cstheme="minorHAnsi"/>
          <w:i/>
          <w:spacing w:val="-9"/>
          <w:w w:val="103"/>
        </w:rPr>
      </w:pPr>
    </w:p>
    <w:p w14:paraId="0BA51ECE" w14:textId="77777777" w:rsidR="00C95434" w:rsidRPr="00597E56" w:rsidRDefault="00C95434" w:rsidP="00F1501F">
      <w:pPr>
        <w:spacing w:after="0" w:line="240" w:lineRule="auto"/>
        <w:ind w:left="567"/>
        <w:jc w:val="both"/>
        <w:rPr>
          <w:rFonts w:ascii="Palatino Linotype" w:hAnsi="Palatino Linotype" w:cstheme="minorHAnsi"/>
          <w:i/>
        </w:rPr>
      </w:pPr>
      <w:r w:rsidRPr="00597E56">
        <w:rPr>
          <w:rFonts w:ascii="Palatino Linotype" w:hAnsi="Palatino Linotype" w:cstheme="minorHAnsi"/>
          <w:i/>
        </w:rPr>
        <w:t>…real not a remote chance.</w:t>
      </w:r>
      <w:r w:rsidRPr="00597E56">
        <w:rPr>
          <w:rStyle w:val="FootnoteReference"/>
          <w:rFonts w:ascii="Palatino Linotype" w:hAnsi="Palatino Linotype" w:cstheme="minorHAnsi"/>
        </w:rPr>
        <w:footnoteReference w:id="5"/>
      </w:r>
    </w:p>
    <w:p w14:paraId="2B105730" w14:textId="77777777" w:rsidR="00642941" w:rsidRPr="00597E56" w:rsidRDefault="00642941" w:rsidP="00F1501F">
      <w:pPr>
        <w:spacing w:after="0" w:line="240" w:lineRule="auto"/>
        <w:ind w:left="567"/>
        <w:jc w:val="both"/>
        <w:rPr>
          <w:rStyle w:val="Emphasis"/>
          <w:rFonts w:ascii="Palatino Linotype" w:hAnsi="Palatino Linotype" w:cstheme="minorHAnsi"/>
          <w:i/>
          <w:sz w:val="22"/>
        </w:rPr>
      </w:pPr>
    </w:p>
    <w:p w14:paraId="61ED0981" w14:textId="1949CDD8" w:rsidR="00C95434" w:rsidRPr="00597E56" w:rsidRDefault="00C95434" w:rsidP="00F1501F">
      <w:pPr>
        <w:spacing w:after="0" w:line="240" w:lineRule="auto"/>
        <w:jc w:val="both"/>
        <w:rPr>
          <w:rStyle w:val="Emphasis"/>
          <w:rFonts w:ascii="Palatino Linotype" w:hAnsi="Palatino Linotype" w:cstheme="minorHAnsi"/>
          <w:i/>
          <w:sz w:val="22"/>
        </w:rPr>
      </w:pPr>
      <w:r w:rsidRPr="00597E56">
        <w:rPr>
          <w:rStyle w:val="Emphasis"/>
          <w:rFonts w:ascii="Palatino Linotype" w:hAnsi="Palatino Linotype" w:cstheme="minorHAnsi"/>
          <w:sz w:val="22"/>
        </w:rPr>
        <w:t xml:space="preserve">Further, in </w:t>
      </w:r>
      <w:r w:rsidRPr="00597E56">
        <w:rPr>
          <w:rStyle w:val="Emphasis"/>
          <w:rFonts w:ascii="Palatino Linotype" w:hAnsi="Palatino Linotype" w:cstheme="minorHAnsi"/>
          <w:i/>
          <w:sz w:val="22"/>
        </w:rPr>
        <w:t>Coffs Harbour</w:t>
      </w:r>
      <w:r w:rsidR="00A26975" w:rsidRPr="00597E56">
        <w:rPr>
          <w:rStyle w:val="Emphasis"/>
          <w:rFonts w:ascii="Palatino Linotype" w:hAnsi="Palatino Linotype" w:cstheme="minorHAnsi"/>
          <w:sz w:val="22"/>
        </w:rPr>
        <w:t xml:space="preserve"> the contention that mere zoning (or drafting of a planning instrument)</w:t>
      </w:r>
      <w:r w:rsidRPr="00597E56">
        <w:rPr>
          <w:rStyle w:val="Emphasis"/>
          <w:rFonts w:ascii="Palatino Linotype" w:hAnsi="Palatino Linotype" w:cstheme="minorHAnsi"/>
          <w:sz w:val="22"/>
        </w:rPr>
        <w:t xml:space="preserve"> </w:t>
      </w:r>
      <w:r w:rsidR="00A26975" w:rsidRPr="00597E56">
        <w:rPr>
          <w:rStyle w:val="Emphasis"/>
          <w:rFonts w:ascii="Palatino Linotype" w:hAnsi="Palatino Linotype" w:cstheme="minorHAnsi"/>
          <w:sz w:val="22"/>
        </w:rPr>
        <w:t xml:space="preserve">under the </w:t>
      </w:r>
      <w:r w:rsidR="00A26975" w:rsidRPr="00597E56">
        <w:rPr>
          <w:rStyle w:val="Emphasis"/>
          <w:rFonts w:ascii="Palatino Linotype" w:hAnsi="Palatino Linotype" w:cstheme="minorHAnsi"/>
          <w:i/>
          <w:sz w:val="22"/>
        </w:rPr>
        <w:t>Environmental Planning and Assessment Act 1979</w:t>
      </w:r>
      <w:r w:rsidR="00894A08" w:rsidRPr="00597E56">
        <w:rPr>
          <w:rStyle w:val="Emphasis"/>
          <w:rFonts w:ascii="Palatino Linotype" w:hAnsi="Palatino Linotype" w:cstheme="minorHAnsi"/>
          <w:i/>
          <w:sz w:val="22"/>
        </w:rPr>
        <w:t xml:space="preserve"> </w:t>
      </w:r>
      <w:r w:rsidR="00894A08" w:rsidRPr="00597E56">
        <w:rPr>
          <w:rStyle w:val="Emphasis"/>
          <w:rFonts w:ascii="Palatino Linotype" w:hAnsi="Palatino Linotype" w:cstheme="minorHAnsi"/>
          <w:iCs/>
          <w:sz w:val="22"/>
        </w:rPr>
        <w:t>(NSW)</w:t>
      </w:r>
      <w:r w:rsidR="00A26975" w:rsidRPr="00597E56">
        <w:rPr>
          <w:rStyle w:val="Emphasis"/>
          <w:rFonts w:ascii="Palatino Linotype" w:hAnsi="Palatino Linotype" w:cstheme="minorHAnsi"/>
          <w:i/>
          <w:sz w:val="22"/>
        </w:rPr>
        <w:t xml:space="preserve"> </w:t>
      </w:r>
      <w:r w:rsidR="00A26975" w:rsidRPr="00597E56">
        <w:rPr>
          <w:rStyle w:val="Emphasis"/>
          <w:rFonts w:ascii="Palatino Linotype" w:hAnsi="Palatino Linotype" w:cstheme="minorHAnsi"/>
          <w:sz w:val="22"/>
        </w:rPr>
        <w:t>would satisfy the identification of an “essential public purpose”</w:t>
      </w:r>
      <w:r w:rsidRPr="00597E56">
        <w:rPr>
          <w:rStyle w:val="Emphasis"/>
          <w:rFonts w:ascii="Palatino Linotype" w:hAnsi="Palatino Linotype" w:cstheme="minorHAnsi"/>
          <w:sz w:val="22"/>
        </w:rPr>
        <w:t xml:space="preserve"> </w:t>
      </w:r>
      <w:r w:rsidR="00A26975" w:rsidRPr="00597E56">
        <w:rPr>
          <w:rStyle w:val="Emphasis"/>
          <w:rFonts w:ascii="Palatino Linotype" w:hAnsi="Palatino Linotype" w:cstheme="minorHAnsi"/>
          <w:sz w:val="22"/>
        </w:rPr>
        <w:t>was rejected</w:t>
      </w:r>
      <w:r w:rsidRPr="00597E56">
        <w:rPr>
          <w:rStyle w:val="Emphasis"/>
          <w:rFonts w:ascii="Palatino Linotype" w:hAnsi="Palatino Linotype" w:cstheme="minorHAnsi"/>
          <w:sz w:val="22"/>
        </w:rPr>
        <w:t xml:space="preserve"> by Craig J. stating that:</w:t>
      </w:r>
    </w:p>
    <w:p w14:paraId="5D928EFA" w14:textId="77777777" w:rsidR="00C95434" w:rsidRPr="00597E56" w:rsidRDefault="00C95434" w:rsidP="00F1501F">
      <w:pPr>
        <w:spacing w:after="0" w:line="240" w:lineRule="auto"/>
        <w:ind w:left="567"/>
        <w:jc w:val="both"/>
        <w:rPr>
          <w:rStyle w:val="Emphasis"/>
          <w:rFonts w:ascii="Palatino Linotype" w:hAnsi="Palatino Linotype" w:cstheme="minorHAnsi"/>
          <w:i/>
          <w:sz w:val="22"/>
        </w:rPr>
      </w:pPr>
    </w:p>
    <w:p w14:paraId="5A83E2FD" w14:textId="6A4DF68D" w:rsidR="00C95434" w:rsidRPr="00597E56" w:rsidRDefault="00A26975" w:rsidP="00F1501F">
      <w:pPr>
        <w:spacing w:after="0" w:line="240" w:lineRule="auto"/>
        <w:ind w:left="567"/>
        <w:jc w:val="both"/>
        <w:rPr>
          <w:rStyle w:val="Emphasis"/>
          <w:rFonts w:ascii="Palatino Linotype" w:hAnsi="Palatino Linotype" w:cstheme="minorHAnsi"/>
          <w:sz w:val="22"/>
        </w:rPr>
      </w:pPr>
      <w:proofErr w:type="gramStart"/>
      <w:r w:rsidRPr="00597E56">
        <w:rPr>
          <w:rStyle w:val="Emphasis"/>
          <w:rFonts w:ascii="Palatino Linotype" w:hAnsi="Palatino Linotype" w:cstheme="minorHAnsi"/>
          <w:sz w:val="22"/>
        </w:rPr>
        <w:t>…</w:t>
      </w:r>
      <w:r w:rsidR="00C95434" w:rsidRPr="00597E56">
        <w:rPr>
          <w:rStyle w:val="Emphasis"/>
          <w:rFonts w:ascii="Palatino Linotype" w:hAnsi="Palatino Linotype" w:cstheme="minorHAnsi"/>
          <w:sz w:val="22"/>
        </w:rPr>
        <w:t>[</w:t>
      </w:r>
      <w:proofErr w:type="gramEnd"/>
      <w:r w:rsidR="00C95434" w:rsidRPr="00597E56">
        <w:rPr>
          <w:rStyle w:val="Emphasis"/>
          <w:rFonts w:ascii="Palatino Linotype" w:hAnsi="Palatino Linotype" w:cstheme="minorHAnsi"/>
          <w:sz w:val="22"/>
        </w:rPr>
        <w:t xml:space="preserve">such an instrument] </w:t>
      </w:r>
      <w:r w:rsidR="00C95434" w:rsidRPr="00597E56">
        <w:rPr>
          <w:rStyle w:val="Emphasis"/>
          <w:rFonts w:ascii="Palatino Linotype" w:hAnsi="Palatino Linotype" w:cstheme="minorHAnsi"/>
          <w:i/>
          <w:sz w:val="22"/>
        </w:rPr>
        <w:t>does not elevate those topics such that they demonstrate a likely need, in the sense of being a requirement for an essential public purpose.  Desirability does not translate to such an essential purpose</w:t>
      </w:r>
      <w:r w:rsidR="00C95434" w:rsidRPr="00597E56">
        <w:rPr>
          <w:rStyle w:val="Emphasis"/>
          <w:rFonts w:ascii="Palatino Linotype" w:hAnsi="Palatino Linotype" w:cstheme="minorHAnsi"/>
          <w:sz w:val="22"/>
        </w:rPr>
        <w:t>.</w:t>
      </w:r>
      <w:r w:rsidR="00C95434" w:rsidRPr="00597E56">
        <w:rPr>
          <w:rStyle w:val="FootnoteReference"/>
          <w:rFonts w:ascii="Palatino Linotype" w:hAnsi="Palatino Linotype" w:cstheme="minorHAnsi"/>
          <w:iCs/>
        </w:rPr>
        <w:footnoteReference w:id="6"/>
      </w:r>
    </w:p>
    <w:p w14:paraId="5D210A00" w14:textId="77777777" w:rsidR="00077BC2" w:rsidRPr="00597E56" w:rsidRDefault="00077BC2" w:rsidP="00F1501F">
      <w:pPr>
        <w:spacing w:after="0" w:line="240" w:lineRule="auto"/>
        <w:ind w:left="567"/>
        <w:jc w:val="both"/>
        <w:rPr>
          <w:rStyle w:val="Emphasis"/>
          <w:rFonts w:ascii="Palatino Linotype" w:hAnsi="Palatino Linotype" w:cstheme="minorHAnsi"/>
          <w:i/>
          <w:sz w:val="22"/>
        </w:rPr>
      </w:pPr>
    </w:p>
    <w:p w14:paraId="49D9F278" w14:textId="0FDEC0D4" w:rsidR="00937C9A" w:rsidRPr="00597E56" w:rsidRDefault="00C936CD" w:rsidP="00F1501F">
      <w:pPr>
        <w:spacing w:after="0" w:line="240" w:lineRule="auto"/>
        <w:jc w:val="both"/>
        <w:rPr>
          <w:rStyle w:val="Emphasis"/>
          <w:rFonts w:ascii="Palatino Linotype" w:hAnsi="Palatino Linotype" w:cstheme="minorHAnsi"/>
          <w:iCs/>
          <w:sz w:val="22"/>
        </w:rPr>
      </w:pPr>
      <w:r w:rsidRPr="00597E56">
        <w:rPr>
          <w:rStyle w:val="Emphasis"/>
          <w:rFonts w:ascii="Palatino Linotype" w:hAnsi="Palatino Linotype" w:cstheme="minorHAnsi"/>
          <w:iCs/>
          <w:sz w:val="22"/>
        </w:rPr>
        <w:t>T</w:t>
      </w:r>
      <w:r w:rsidR="00AA26E4" w:rsidRPr="00597E56">
        <w:rPr>
          <w:rStyle w:val="Emphasis"/>
          <w:rFonts w:ascii="Palatino Linotype" w:hAnsi="Palatino Linotype" w:cstheme="minorHAnsi"/>
          <w:iCs/>
          <w:sz w:val="22"/>
        </w:rPr>
        <w:t xml:space="preserve">he notion of “public purpose” </w:t>
      </w:r>
      <w:r w:rsidR="000D744D" w:rsidRPr="00597E56">
        <w:rPr>
          <w:rStyle w:val="Emphasis"/>
          <w:rFonts w:ascii="Palatino Linotype" w:hAnsi="Palatino Linotype" w:cstheme="minorHAnsi"/>
          <w:iCs/>
          <w:sz w:val="22"/>
        </w:rPr>
        <w:t>was c</w:t>
      </w:r>
      <w:r w:rsidRPr="00597E56">
        <w:rPr>
          <w:rStyle w:val="Emphasis"/>
          <w:rFonts w:ascii="Palatino Linotype" w:hAnsi="Palatino Linotype" w:cstheme="minorHAnsi"/>
          <w:iCs/>
          <w:sz w:val="22"/>
        </w:rPr>
        <w:t>anvassed</w:t>
      </w:r>
      <w:r w:rsidR="000D744D" w:rsidRPr="00597E56">
        <w:rPr>
          <w:rStyle w:val="Emphasis"/>
          <w:rFonts w:ascii="Palatino Linotype" w:hAnsi="Palatino Linotype" w:cstheme="minorHAnsi"/>
          <w:iCs/>
          <w:sz w:val="22"/>
        </w:rPr>
        <w:t xml:space="preserve"> in </w:t>
      </w:r>
      <w:r w:rsidR="000D744D" w:rsidRPr="00597E56">
        <w:rPr>
          <w:rStyle w:val="Emphasis"/>
          <w:rFonts w:ascii="Palatino Linotype" w:hAnsi="Palatino Linotype" w:cstheme="minorHAnsi"/>
          <w:i/>
          <w:sz w:val="22"/>
        </w:rPr>
        <w:t>Desane Properties Pty Limited v State of New South Wales</w:t>
      </w:r>
      <w:r w:rsidR="000D744D" w:rsidRPr="00597E56">
        <w:rPr>
          <w:rStyle w:val="Emphasis"/>
          <w:rFonts w:ascii="Palatino Linotype" w:hAnsi="Palatino Linotype" w:cstheme="minorHAnsi"/>
          <w:iCs/>
          <w:sz w:val="22"/>
        </w:rPr>
        <w:t xml:space="preserve"> [20</w:t>
      </w:r>
      <w:r w:rsidR="00937C9A" w:rsidRPr="00597E56">
        <w:rPr>
          <w:rStyle w:val="Emphasis"/>
          <w:rFonts w:ascii="Palatino Linotype" w:hAnsi="Palatino Linotype" w:cstheme="minorHAnsi"/>
          <w:iCs/>
          <w:sz w:val="22"/>
        </w:rPr>
        <w:t>1</w:t>
      </w:r>
      <w:r w:rsidR="000D744D" w:rsidRPr="00597E56">
        <w:rPr>
          <w:rStyle w:val="Emphasis"/>
          <w:rFonts w:ascii="Palatino Linotype" w:hAnsi="Palatino Linotype" w:cstheme="minorHAnsi"/>
          <w:iCs/>
          <w:sz w:val="22"/>
        </w:rPr>
        <w:t>8] NSWSC</w:t>
      </w:r>
      <w:r w:rsidR="00937C9A" w:rsidRPr="00597E56">
        <w:rPr>
          <w:rStyle w:val="Emphasis"/>
          <w:rFonts w:ascii="Palatino Linotype" w:hAnsi="Palatino Linotype" w:cstheme="minorHAnsi"/>
          <w:iCs/>
          <w:sz w:val="22"/>
        </w:rPr>
        <w:t xml:space="preserve"> 553</w:t>
      </w:r>
      <w:r w:rsidR="001E3ADC" w:rsidRPr="00597E56">
        <w:rPr>
          <w:rStyle w:val="Emphasis"/>
          <w:rFonts w:ascii="Palatino Linotype" w:hAnsi="Palatino Linotype" w:cstheme="minorHAnsi"/>
          <w:iCs/>
          <w:sz w:val="22"/>
        </w:rPr>
        <w:t xml:space="preserve"> (</w:t>
      </w:r>
      <w:r w:rsidR="001E3ADC" w:rsidRPr="00597E56">
        <w:rPr>
          <w:rStyle w:val="Emphasis"/>
          <w:rFonts w:ascii="Palatino Linotype" w:hAnsi="Palatino Linotype" w:cstheme="minorHAnsi"/>
          <w:i/>
          <w:sz w:val="22"/>
        </w:rPr>
        <w:t>Desane</w:t>
      </w:r>
      <w:r w:rsidR="001E3ADC" w:rsidRPr="00597E56">
        <w:rPr>
          <w:rStyle w:val="Emphasis"/>
          <w:rFonts w:ascii="Palatino Linotype" w:hAnsi="Palatino Linotype" w:cstheme="minorHAnsi"/>
          <w:iCs/>
          <w:sz w:val="22"/>
        </w:rPr>
        <w:t xml:space="preserve">) </w:t>
      </w:r>
      <w:r w:rsidR="000D744D" w:rsidRPr="00597E56">
        <w:rPr>
          <w:rStyle w:val="Emphasis"/>
          <w:rFonts w:ascii="Palatino Linotype" w:hAnsi="Palatino Linotype" w:cstheme="minorHAnsi"/>
          <w:iCs/>
          <w:sz w:val="22"/>
        </w:rPr>
        <w:t>where Hammerschlag J. stated that a public purpose</w:t>
      </w:r>
      <w:r w:rsidR="000F676F" w:rsidRPr="00597E56">
        <w:rPr>
          <w:rStyle w:val="Emphasis"/>
          <w:rFonts w:ascii="Palatino Linotype" w:hAnsi="Palatino Linotype" w:cstheme="minorHAnsi"/>
          <w:iCs/>
          <w:sz w:val="22"/>
        </w:rPr>
        <w:t xml:space="preserve"> must be</w:t>
      </w:r>
      <w:r w:rsidR="00937C9A" w:rsidRPr="00597E56">
        <w:rPr>
          <w:rStyle w:val="Emphasis"/>
          <w:rFonts w:ascii="Palatino Linotype" w:hAnsi="Palatino Linotype" w:cstheme="minorHAnsi"/>
          <w:iCs/>
          <w:sz w:val="22"/>
        </w:rPr>
        <w:t xml:space="preserve">: </w:t>
      </w:r>
    </w:p>
    <w:p w14:paraId="30AA4D79" w14:textId="77777777" w:rsidR="00077BC2" w:rsidRPr="00597E56" w:rsidRDefault="00077BC2" w:rsidP="00F1501F">
      <w:pPr>
        <w:spacing w:after="0" w:line="240" w:lineRule="auto"/>
        <w:jc w:val="both"/>
        <w:rPr>
          <w:rStyle w:val="Emphasis"/>
          <w:rFonts w:ascii="Palatino Linotype" w:hAnsi="Palatino Linotype" w:cstheme="minorHAnsi"/>
          <w:iCs/>
          <w:sz w:val="22"/>
        </w:rPr>
      </w:pPr>
    </w:p>
    <w:p w14:paraId="051B86BC" w14:textId="77777777" w:rsidR="0036749B" w:rsidRPr="00597E56" w:rsidRDefault="00937C9A" w:rsidP="00F1501F">
      <w:pPr>
        <w:spacing w:after="0" w:line="240" w:lineRule="auto"/>
        <w:ind w:left="567"/>
        <w:jc w:val="both"/>
        <w:rPr>
          <w:rStyle w:val="Emphasis"/>
          <w:rFonts w:ascii="Palatino Linotype" w:hAnsi="Palatino Linotype" w:cstheme="minorHAnsi"/>
          <w:iCs/>
          <w:sz w:val="22"/>
        </w:rPr>
      </w:pPr>
      <w:r w:rsidRPr="00597E56">
        <w:rPr>
          <w:rStyle w:val="Emphasis"/>
          <w:rFonts w:ascii="Palatino Linotype" w:hAnsi="Palatino Linotype" w:cstheme="minorHAnsi"/>
          <w:i/>
          <w:sz w:val="22"/>
        </w:rPr>
        <w:t>…</w:t>
      </w:r>
      <w:r w:rsidR="000D744D" w:rsidRPr="00597E56">
        <w:rPr>
          <w:rStyle w:val="Emphasis"/>
          <w:rFonts w:ascii="Palatino Linotype" w:hAnsi="Palatino Linotype" w:cstheme="minorHAnsi"/>
          <w:i/>
          <w:sz w:val="22"/>
        </w:rPr>
        <w:t>a purpose contemplated by the [legislation</w:t>
      </w:r>
      <w:r w:rsidRPr="00597E56">
        <w:rPr>
          <w:rStyle w:val="Emphasis"/>
          <w:rFonts w:ascii="Palatino Linotype" w:hAnsi="Palatino Linotype" w:cstheme="minorHAnsi"/>
          <w:iCs/>
          <w:sz w:val="22"/>
        </w:rPr>
        <w:t>]</w:t>
      </w:r>
      <w:r w:rsidRPr="00597E56">
        <w:rPr>
          <w:rStyle w:val="FootnoteReference"/>
          <w:rFonts w:ascii="Palatino Linotype" w:hAnsi="Palatino Linotype" w:cstheme="minorHAnsi"/>
          <w:iCs/>
        </w:rPr>
        <w:footnoteReference w:id="7"/>
      </w:r>
      <w:r w:rsidR="000D744D" w:rsidRPr="00597E56">
        <w:rPr>
          <w:rStyle w:val="Emphasis"/>
          <w:rFonts w:ascii="Palatino Linotype" w:hAnsi="Palatino Linotype" w:cstheme="minorHAnsi"/>
          <w:iCs/>
          <w:sz w:val="22"/>
        </w:rPr>
        <w:t xml:space="preserve"> </w:t>
      </w:r>
    </w:p>
    <w:p w14:paraId="55E6F319" w14:textId="77777777" w:rsidR="003546A0" w:rsidRPr="00597E56" w:rsidRDefault="003546A0" w:rsidP="00F1501F">
      <w:pPr>
        <w:spacing w:after="0" w:line="240" w:lineRule="auto"/>
        <w:ind w:left="567"/>
        <w:jc w:val="both"/>
        <w:rPr>
          <w:rStyle w:val="Emphasis"/>
          <w:rFonts w:ascii="Palatino Linotype" w:hAnsi="Palatino Linotype" w:cstheme="minorHAnsi"/>
          <w:iCs/>
          <w:sz w:val="22"/>
        </w:rPr>
      </w:pPr>
    </w:p>
    <w:p w14:paraId="0EA46AF8" w14:textId="0547C4FC" w:rsidR="00C95434" w:rsidRPr="00597E56" w:rsidRDefault="0076621B" w:rsidP="00F1501F">
      <w:pPr>
        <w:spacing w:after="0" w:line="240" w:lineRule="auto"/>
        <w:jc w:val="both"/>
        <w:rPr>
          <w:rStyle w:val="Emphasis"/>
          <w:rFonts w:ascii="Palatino Linotype" w:hAnsi="Palatino Linotype" w:cstheme="minorHAnsi"/>
          <w:iCs/>
          <w:sz w:val="22"/>
        </w:rPr>
      </w:pPr>
      <w:r w:rsidRPr="00597E56">
        <w:rPr>
          <w:rStyle w:val="Emphasis"/>
          <w:rFonts w:ascii="Palatino Linotype" w:hAnsi="Palatino Linotype" w:cstheme="minorHAnsi"/>
          <w:sz w:val="22"/>
        </w:rPr>
        <w:t xml:space="preserve">Also in </w:t>
      </w:r>
      <w:r w:rsidRPr="00597E56">
        <w:rPr>
          <w:rStyle w:val="Emphasis"/>
          <w:rFonts w:ascii="Palatino Linotype" w:hAnsi="Palatino Linotype" w:cstheme="minorHAnsi"/>
          <w:i/>
          <w:iCs/>
          <w:sz w:val="22"/>
        </w:rPr>
        <w:t>Desane</w:t>
      </w:r>
      <w:r w:rsidR="0036749B" w:rsidRPr="00597E56">
        <w:rPr>
          <w:rStyle w:val="Emphasis"/>
          <w:rFonts w:ascii="Palatino Linotype" w:hAnsi="Palatino Linotype" w:cstheme="minorHAnsi"/>
          <w:sz w:val="22"/>
        </w:rPr>
        <w:t xml:space="preserve">, </w:t>
      </w:r>
      <w:r w:rsidR="000F676F" w:rsidRPr="00597E56">
        <w:rPr>
          <w:rStyle w:val="Emphasis"/>
          <w:rFonts w:ascii="Palatino Linotype" w:hAnsi="Palatino Linotype" w:cstheme="minorHAnsi"/>
          <w:iCs/>
          <w:sz w:val="22"/>
        </w:rPr>
        <w:t xml:space="preserve">Hammerschlag </w:t>
      </w:r>
      <w:r w:rsidR="000F676F" w:rsidRPr="00597E56">
        <w:rPr>
          <w:rFonts w:ascii="Palatino Linotype" w:hAnsi="Palatino Linotype" w:cstheme="minorHAnsi"/>
        </w:rPr>
        <w:t xml:space="preserve">J. </w:t>
      </w:r>
      <w:r w:rsidR="000F676F" w:rsidRPr="00597E56">
        <w:rPr>
          <w:rStyle w:val="Emphasis"/>
          <w:rFonts w:ascii="Palatino Linotype" w:hAnsi="Palatino Linotype" w:cstheme="minorHAnsi"/>
          <w:sz w:val="22"/>
        </w:rPr>
        <w:t xml:space="preserve">affirmed </w:t>
      </w:r>
      <w:r w:rsidR="000F676F" w:rsidRPr="00597E56">
        <w:rPr>
          <w:rStyle w:val="Emphasis"/>
          <w:rFonts w:ascii="Palatino Linotype" w:hAnsi="Palatino Linotype" w:cstheme="minorHAnsi"/>
          <w:iCs/>
          <w:sz w:val="22"/>
        </w:rPr>
        <w:t xml:space="preserve">the specific enablement for </w:t>
      </w:r>
      <w:r w:rsidR="001E3ADC" w:rsidRPr="00597E56">
        <w:rPr>
          <w:rStyle w:val="Emphasis"/>
          <w:rFonts w:ascii="Palatino Linotype" w:hAnsi="Palatino Linotype" w:cstheme="minorHAnsi"/>
          <w:iCs/>
          <w:sz w:val="22"/>
        </w:rPr>
        <w:t>compulsory</w:t>
      </w:r>
      <w:r w:rsidR="001E3ADC" w:rsidRPr="00597E56">
        <w:rPr>
          <w:rStyle w:val="Emphasis"/>
          <w:rFonts w:ascii="Palatino Linotype" w:hAnsi="Palatino Linotype" w:cstheme="minorHAnsi"/>
          <w:i/>
          <w:sz w:val="22"/>
        </w:rPr>
        <w:t xml:space="preserve"> </w:t>
      </w:r>
      <w:r w:rsidR="001E3ADC" w:rsidRPr="00597E56">
        <w:rPr>
          <w:rStyle w:val="Emphasis"/>
          <w:rFonts w:ascii="Palatino Linotype" w:hAnsi="Palatino Linotype" w:cstheme="minorHAnsi"/>
          <w:sz w:val="22"/>
        </w:rPr>
        <w:t xml:space="preserve">acquisition of land for a public </w:t>
      </w:r>
      <w:r w:rsidR="001E3ADC" w:rsidRPr="00597E56">
        <w:rPr>
          <w:rFonts w:ascii="Palatino Linotype" w:hAnsi="Palatino Linotype" w:cstheme="minorHAnsi"/>
        </w:rPr>
        <w:t>purpose</w:t>
      </w:r>
      <w:r w:rsidR="001E3ADC" w:rsidRPr="00597E56">
        <w:rPr>
          <w:rStyle w:val="Emphasis"/>
          <w:rFonts w:ascii="Palatino Linotype" w:hAnsi="Palatino Linotype" w:cstheme="minorHAnsi"/>
          <w:sz w:val="22"/>
        </w:rPr>
        <w:t>:</w:t>
      </w:r>
      <w:r w:rsidR="000D744D" w:rsidRPr="00597E56">
        <w:rPr>
          <w:rStyle w:val="Emphasis"/>
          <w:rFonts w:ascii="Palatino Linotype" w:hAnsi="Palatino Linotype" w:cstheme="minorHAnsi"/>
          <w:iCs/>
          <w:sz w:val="22"/>
        </w:rPr>
        <w:t xml:space="preserve"> </w:t>
      </w:r>
    </w:p>
    <w:p w14:paraId="70E2376D" w14:textId="77777777" w:rsidR="00077BC2" w:rsidRPr="00597E56" w:rsidRDefault="00077BC2" w:rsidP="00F1501F">
      <w:pPr>
        <w:spacing w:after="0" w:line="240" w:lineRule="auto"/>
        <w:ind w:left="567"/>
        <w:jc w:val="both"/>
        <w:rPr>
          <w:rStyle w:val="Emphasis"/>
          <w:rFonts w:ascii="Palatino Linotype" w:hAnsi="Palatino Linotype" w:cstheme="minorHAnsi"/>
          <w:iCs/>
          <w:sz w:val="22"/>
        </w:rPr>
      </w:pPr>
    </w:p>
    <w:p w14:paraId="3142C756" w14:textId="13E85FCC" w:rsidR="000F676F" w:rsidRPr="00597E56" w:rsidRDefault="000F676F" w:rsidP="00F1501F">
      <w:pPr>
        <w:spacing w:after="0" w:line="240" w:lineRule="auto"/>
        <w:ind w:left="567"/>
        <w:jc w:val="both"/>
        <w:rPr>
          <w:rStyle w:val="Emphasis"/>
          <w:rFonts w:ascii="Palatino Linotype" w:hAnsi="Palatino Linotype" w:cstheme="minorHAnsi"/>
          <w:iCs/>
          <w:sz w:val="22"/>
        </w:rPr>
      </w:pPr>
      <w:r w:rsidRPr="00597E56">
        <w:rPr>
          <w:rStyle w:val="Emphasis"/>
          <w:rFonts w:ascii="Palatino Linotype" w:hAnsi="Palatino Linotype" w:cstheme="minorHAnsi"/>
          <w:i/>
          <w:sz w:val="22"/>
        </w:rPr>
        <w:t>…can also only be exercised for purposes</w:t>
      </w:r>
      <w:r w:rsidR="002B3BDE" w:rsidRPr="00597E56">
        <w:rPr>
          <w:rStyle w:val="Emphasis"/>
          <w:rFonts w:ascii="Palatino Linotype" w:hAnsi="Palatino Linotype" w:cstheme="minorHAnsi"/>
          <w:i/>
          <w:sz w:val="22"/>
        </w:rPr>
        <w:t xml:space="preserve"> of the [legislation]</w:t>
      </w:r>
      <w:proofErr w:type="gramStart"/>
      <w:r w:rsidR="002B3BDE" w:rsidRPr="00597E56">
        <w:rPr>
          <w:rStyle w:val="Emphasis"/>
          <w:rFonts w:ascii="Palatino Linotype" w:hAnsi="Palatino Linotype" w:cstheme="minorHAnsi"/>
          <w:i/>
          <w:sz w:val="22"/>
        </w:rPr>
        <w:t>….All</w:t>
      </w:r>
      <w:proofErr w:type="gramEnd"/>
      <w:r w:rsidR="002B3BDE" w:rsidRPr="00597E56">
        <w:rPr>
          <w:rStyle w:val="Emphasis"/>
          <w:rFonts w:ascii="Palatino Linotype" w:hAnsi="Palatino Linotype" w:cstheme="minorHAnsi"/>
          <w:i/>
          <w:sz w:val="22"/>
        </w:rPr>
        <w:t xml:space="preserve"> of the above considerations drive to the conclusion that the … [acquisition notice] would be invalid as having been given for an improper purpose</w:t>
      </w:r>
      <w:r w:rsidR="002B3BDE" w:rsidRPr="00597E56">
        <w:rPr>
          <w:rStyle w:val="Emphasis"/>
          <w:rFonts w:ascii="Palatino Linotype" w:hAnsi="Palatino Linotype" w:cstheme="minorHAnsi"/>
          <w:iCs/>
          <w:sz w:val="22"/>
        </w:rPr>
        <w:t>.</w:t>
      </w:r>
      <w:r w:rsidR="002B3BDE" w:rsidRPr="00597E56">
        <w:rPr>
          <w:rStyle w:val="FootnoteReference"/>
          <w:rFonts w:ascii="Palatino Linotype" w:hAnsi="Palatino Linotype" w:cstheme="minorHAnsi"/>
          <w:iCs/>
        </w:rPr>
        <w:footnoteReference w:id="8"/>
      </w:r>
    </w:p>
    <w:p w14:paraId="7C957B0C" w14:textId="77777777" w:rsidR="00077BC2" w:rsidRPr="00597E56" w:rsidRDefault="00077BC2" w:rsidP="00F1501F">
      <w:pPr>
        <w:spacing w:after="0" w:line="240" w:lineRule="auto"/>
        <w:ind w:left="567"/>
        <w:jc w:val="both"/>
        <w:rPr>
          <w:rStyle w:val="Emphasis"/>
          <w:rFonts w:ascii="Palatino Linotype" w:hAnsi="Palatino Linotype" w:cstheme="minorHAnsi"/>
          <w:i/>
          <w:sz w:val="22"/>
        </w:rPr>
      </w:pPr>
    </w:p>
    <w:p w14:paraId="3C631AF7" w14:textId="38AAD9CF" w:rsidR="00C936CD" w:rsidRPr="00597E56" w:rsidRDefault="00620884" w:rsidP="00F1501F">
      <w:pPr>
        <w:spacing w:after="0" w:line="240" w:lineRule="auto"/>
        <w:jc w:val="both"/>
        <w:rPr>
          <w:rFonts w:ascii="Palatino Linotype" w:hAnsi="Palatino Linotype" w:cstheme="minorHAnsi"/>
          <w:iCs/>
        </w:rPr>
      </w:pPr>
      <w:r w:rsidRPr="00597E56">
        <w:rPr>
          <w:rStyle w:val="Emphasis"/>
          <w:rFonts w:ascii="Palatino Linotype" w:hAnsi="Palatino Linotype" w:cstheme="minorHAnsi"/>
          <w:sz w:val="22"/>
        </w:rPr>
        <w:lastRenderedPageBreak/>
        <w:t>Importantl</w:t>
      </w:r>
      <w:r w:rsidR="00C936CD" w:rsidRPr="00597E56">
        <w:rPr>
          <w:rStyle w:val="Emphasis"/>
          <w:rFonts w:ascii="Palatino Linotype" w:hAnsi="Palatino Linotype" w:cstheme="minorHAnsi"/>
          <w:sz w:val="22"/>
        </w:rPr>
        <w:t xml:space="preserve">y, </w:t>
      </w:r>
      <w:r w:rsidR="00095474" w:rsidRPr="00597E56">
        <w:rPr>
          <w:rFonts w:ascii="Palatino Linotype" w:hAnsi="Palatino Linotype" w:cstheme="minorHAnsi"/>
        </w:rPr>
        <w:t xml:space="preserve">this </w:t>
      </w:r>
      <w:r w:rsidR="000D3E89" w:rsidRPr="00597E56">
        <w:rPr>
          <w:rFonts w:ascii="Palatino Linotype" w:hAnsi="Palatino Linotype" w:cstheme="minorHAnsi"/>
        </w:rPr>
        <w:t xml:space="preserve">specific enablement </w:t>
      </w:r>
      <w:r w:rsidR="00095474" w:rsidRPr="00597E56">
        <w:rPr>
          <w:rFonts w:ascii="Palatino Linotype" w:hAnsi="Palatino Linotype" w:cstheme="minorHAnsi"/>
        </w:rPr>
        <w:t>criteri</w:t>
      </w:r>
      <w:r w:rsidR="00F7561C">
        <w:rPr>
          <w:rFonts w:ascii="Palatino Linotype" w:hAnsi="Palatino Linotype" w:cstheme="minorHAnsi"/>
        </w:rPr>
        <w:t>on</w:t>
      </w:r>
      <w:r w:rsidR="00095474" w:rsidRPr="00597E56">
        <w:rPr>
          <w:rFonts w:ascii="Palatino Linotype" w:hAnsi="Palatino Linotype" w:cstheme="minorHAnsi"/>
        </w:rPr>
        <w:t xml:space="preserve"> was recently affirmed</w:t>
      </w:r>
      <w:r w:rsidRPr="00597E56">
        <w:rPr>
          <w:rFonts w:ascii="Palatino Linotype" w:hAnsi="Palatino Linotype" w:cstheme="minorHAnsi"/>
        </w:rPr>
        <w:t xml:space="preserve"> by </w:t>
      </w:r>
      <w:r w:rsidR="001B2433" w:rsidRPr="00597E56">
        <w:rPr>
          <w:rFonts w:ascii="Palatino Linotype" w:hAnsi="Palatino Linotype" w:cstheme="minorHAnsi"/>
        </w:rPr>
        <w:t>the Court of Appeal</w:t>
      </w:r>
      <w:r w:rsidR="00095474" w:rsidRPr="00597E56">
        <w:rPr>
          <w:rFonts w:ascii="Palatino Linotype" w:hAnsi="Palatino Linotype" w:cstheme="minorHAnsi"/>
        </w:rPr>
        <w:t xml:space="preserve"> in</w:t>
      </w:r>
      <w:r w:rsidR="00095474" w:rsidRPr="00597E56">
        <w:rPr>
          <w:rStyle w:val="Emphasis"/>
          <w:rFonts w:ascii="Palatino Linotype" w:hAnsi="Palatino Linotype" w:cstheme="minorHAnsi"/>
          <w:sz w:val="22"/>
        </w:rPr>
        <w:t xml:space="preserve"> </w:t>
      </w:r>
      <w:proofErr w:type="spellStart"/>
      <w:r w:rsidR="00095474" w:rsidRPr="00597E56">
        <w:rPr>
          <w:rFonts w:ascii="Palatino Linotype" w:hAnsi="Palatino Linotype" w:cstheme="minorHAnsi"/>
          <w:i/>
        </w:rPr>
        <w:t>Goldmate</w:t>
      </w:r>
      <w:proofErr w:type="spellEnd"/>
      <w:r w:rsidR="00095474" w:rsidRPr="00597E56">
        <w:rPr>
          <w:rFonts w:ascii="Palatino Linotype" w:hAnsi="Palatino Linotype" w:cstheme="minorHAnsi"/>
          <w:i/>
        </w:rPr>
        <w:t xml:space="preserve"> Property Luddenham No.1 Pty Ltd v Transport for New South Wales [2024] NSWCA 292</w:t>
      </w:r>
      <w:r w:rsidR="00894A08" w:rsidRPr="00597E56">
        <w:rPr>
          <w:rFonts w:ascii="Palatino Linotype" w:hAnsi="Palatino Linotype" w:cstheme="minorHAnsi"/>
          <w:i/>
        </w:rPr>
        <w:t>,</w:t>
      </w:r>
      <w:r w:rsidR="00095474" w:rsidRPr="00597E56">
        <w:rPr>
          <w:rFonts w:ascii="Palatino Linotype" w:hAnsi="Palatino Linotype" w:cstheme="minorHAnsi"/>
          <w:iCs/>
        </w:rPr>
        <w:t xml:space="preserve"> </w:t>
      </w:r>
      <w:r w:rsidRPr="00597E56">
        <w:rPr>
          <w:rFonts w:ascii="Palatino Linotype" w:hAnsi="Palatino Linotype" w:cstheme="minorHAnsi"/>
          <w:iCs/>
        </w:rPr>
        <w:t xml:space="preserve">Preston CJ LEC </w:t>
      </w:r>
      <w:r w:rsidR="00095474" w:rsidRPr="00597E56">
        <w:rPr>
          <w:rFonts w:ascii="Palatino Linotype" w:hAnsi="Palatino Linotype" w:cstheme="minorHAnsi"/>
          <w:iCs/>
        </w:rPr>
        <w:t xml:space="preserve">stating there are </w:t>
      </w:r>
      <w:r w:rsidR="00EB6CE9" w:rsidRPr="00597E56">
        <w:rPr>
          <w:rFonts w:ascii="Palatino Linotype" w:hAnsi="Palatino Linotype" w:cstheme="minorHAnsi"/>
          <w:iCs/>
        </w:rPr>
        <w:t xml:space="preserve">clear </w:t>
      </w:r>
      <w:r w:rsidR="00095474" w:rsidRPr="00597E56">
        <w:rPr>
          <w:rFonts w:ascii="Palatino Linotype" w:hAnsi="Palatino Linotype" w:cstheme="minorHAnsi"/>
          <w:iCs/>
        </w:rPr>
        <w:t xml:space="preserve">limits </w:t>
      </w:r>
      <w:r w:rsidR="000D3E89" w:rsidRPr="00597E56">
        <w:rPr>
          <w:rFonts w:ascii="Palatino Linotype" w:hAnsi="Palatino Linotype" w:cstheme="minorHAnsi"/>
          <w:iCs/>
        </w:rPr>
        <w:t>to the “width of the</w:t>
      </w:r>
      <w:r w:rsidR="00095474" w:rsidRPr="00597E56">
        <w:rPr>
          <w:rFonts w:ascii="Palatino Linotype" w:hAnsi="Palatino Linotype" w:cstheme="minorHAnsi"/>
          <w:iCs/>
        </w:rPr>
        <w:t xml:space="preserve"> expression public purpose” such that:</w:t>
      </w:r>
    </w:p>
    <w:p w14:paraId="76193808" w14:textId="77777777" w:rsidR="00894A08" w:rsidRPr="00597E56" w:rsidRDefault="00894A08" w:rsidP="00F1501F">
      <w:pPr>
        <w:spacing w:after="0" w:line="240" w:lineRule="auto"/>
        <w:ind w:left="567"/>
        <w:jc w:val="both"/>
        <w:rPr>
          <w:rFonts w:ascii="Palatino Linotype" w:hAnsi="Palatino Linotype" w:cstheme="minorHAnsi"/>
          <w:iCs/>
        </w:rPr>
      </w:pPr>
    </w:p>
    <w:p w14:paraId="6BEFECE4" w14:textId="0BDEE40D" w:rsidR="00095474" w:rsidRPr="00597E56" w:rsidRDefault="00095474" w:rsidP="00F1501F">
      <w:pPr>
        <w:spacing w:after="0" w:line="240" w:lineRule="auto"/>
        <w:ind w:left="567"/>
        <w:jc w:val="both"/>
        <w:rPr>
          <w:rStyle w:val="Emphasis"/>
          <w:rFonts w:ascii="Palatino Linotype" w:hAnsi="Palatino Linotype" w:cstheme="minorHAnsi"/>
          <w:iCs/>
          <w:sz w:val="22"/>
        </w:rPr>
      </w:pPr>
      <w:r w:rsidRPr="00597E56">
        <w:rPr>
          <w:rFonts w:ascii="Palatino Linotype" w:hAnsi="Palatino Linotype" w:cstheme="minorHAnsi"/>
          <w:i/>
        </w:rPr>
        <w:t>The public purpose…cannot include a purpose for which an authority of the State other than the acquiring authority is authorised to acquire land by compulsory process, but instead acquire land only includes a purpose for which the acquiring authority is authorised to acquire land.</w:t>
      </w:r>
      <w:r w:rsidRPr="00597E56">
        <w:rPr>
          <w:rFonts w:ascii="Palatino Linotype" w:hAnsi="Palatino Linotype" w:cstheme="minorHAnsi"/>
          <w:iCs/>
        </w:rPr>
        <w:t xml:space="preserve"> </w:t>
      </w:r>
      <w:r w:rsidRPr="00597E56">
        <w:rPr>
          <w:rStyle w:val="FootnoteReference"/>
          <w:rFonts w:ascii="Palatino Linotype" w:hAnsi="Palatino Linotype" w:cstheme="minorHAnsi"/>
          <w:iCs/>
        </w:rPr>
        <w:footnoteReference w:id="9"/>
      </w:r>
      <w:r w:rsidRPr="00597E56">
        <w:rPr>
          <w:rFonts w:ascii="Palatino Linotype" w:hAnsi="Palatino Linotype" w:cstheme="minorHAnsi"/>
          <w:iCs/>
        </w:rPr>
        <w:t xml:space="preserve"> </w:t>
      </w:r>
    </w:p>
    <w:p w14:paraId="5C62ED78" w14:textId="77777777" w:rsidR="00C936CD" w:rsidRPr="00597E56" w:rsidRDefault="00C936CD" w:rsidP="00F1501F">
      <w:pPr>
        <w:spacing w:after="0" w:line="240" w:lineRule="auto"/>
        <w:ind w:left="567"/>
        <w:jc w:val="both"/>
        <w:rPr>
          <w:rStyle w:val="Emphasis"/>
          <w:rFonts w:ascii="Palatino Linotype" w:hAnsi="Palatino Linotype" w:cstheme="minorHAnsi"/>
          <w:sz w:val="22"/>
        </w:rPr>
      </w:pPr>
    </w:p>
    <w:p w14:paraId="5B27CD0B" w14:textId="564A23FE" w:rsidR="00C95434" w:rsidRPr="00597E56" w:rsidRDefault="000D3E89" w:rsidP="00F1501F">
      <w:pPr>
        <w:spacing w:after="0" w:line="240" w:lineRule="auto"/>
        <w:jc w:val="both"/>
        <w:rPr>
          <w:rStyle w:val="Emphasis"/>
          <w:rFonts w:ascii="Palatino Linotype" w:hAnsi="Palatino Linotype" w:cstheme="minorHAnsi"/>
          <w:b/>
          <w:sz w:val="22"/>
        </w:rPr>
      </w:pPr>
      <w:r w:rsidRPr="00597E56">
        <w:rPr>
          <w:rStyle w:val="Emphasis"/>
          <w:rFonts w:ascii="Palatino Linotype" w:hAnsi="Palatino Linotype" w:cstheme="minorHAnsi"/>
          <w:sz w:val="22"/>
        </w:rPr>
        <w:t>Nevertheless, i</w:t>
      </w:r>
      <w:r w:rsidR="00C95434" w:rsidRPr="00597E56">
        <w:rPr>
          <w:rStyle w:val="Emphasis"/>
          <w:rFonts w:ascii="Palatino Linotype" w:hAnsi="Palatino Linotype" w:cstheme="minorHAnsi"/>
          <w:sz w:val="22"/>
        </w:rPr>
        <w:t xml:space="preserve">f </w:t>
      </w:r>
      <w:r w:rsidR="008A15EA" w:rsidRPr="00597E56">
        <w:rPr>
          <w:rStyle w:val="Emphasis"/>
          <w:rFonts w:ascii="Palatino Linotype" w:hAnsi="Palatino Linotype" w:cstheme="minorHAnsi"/>
          <w:sz w:val="22"/>
        </w:rPr>
        <w:t xml:space="preserve">an </w:t>
      </w:r>
      <w:r w:rsidR="00C95434" w:rsidRPr="00597E56">
        <w:rPr>
          <w:rStyle w:val="Emphasis"/>
          <w:rFonts w:ascii="Palatino Linotype" w:hAnsi="Palatino Linotype" w:cstheme="minorHAnsi"/>
          <w:sz w:val="22"/>
        </w:rPr>
        <w:t xml:space="preserve">Aboriginal land claim </w:t>
      </w:r>
      <w:r w:rsidR="008A15EA" w:rsidRPr="00597E56">
        <w:rPr>
          <w:rStyle w:val="Emphasis"/>
          <w:rFonts w:ascii="Palatino Linotype" w:hAnsi="Palatino Linotype" w:cstheme="minorHAnsi"/>
          <w:sz w:val="22"/>
        </w:rPr>
        <w:t xml:space="preserve">does </w:t>
      </w:r>
      <w:r w:rsidR="00C95434" w:rsidRPr="00597E56">
        <w:rPr>
          <w:rStyle w:val="Emphasis"/>
          <w:rFonts w:ascii="Palatino Linotype" w:hAnsi="Palatino Linotype" w:cstheme="minorHAnsi"/>
          <w:sz w:val="22"/>
        </w:rPr>
        <w:t>fall within the category of “c</w:t>
      </w:r>
      <w:r w:rsidR="008A15EA" w:rsidRPr="00597E56">
        <w:rPr>
          <w:rStyle w:val="Emphasis"/>
          <w:rFonts w:ascii="Palatino Linotype" w:hAnsi="Palatino Linotype" w:cstheme="minorHAnsi"/>
          <w:sz w:val="22"/>
        </w:rPr>
        <w:t>laimable Crown lands”</w:t>
      </w:r>
      <w:r w:rsidR="00C95434" w:rsidRPr="00597E56">
        <w:rPr>
          <w:rStyle w:val="Emphasis"/>
          <w:rFonts w:ascii="Palatino Linotype" w:hAnsi="Palatino Linotype" w:cstheme="minorHAnsi"/>
          <w:sz w:val="22"/>
        </w:rPr>
        <w:t xml:space="preserve">, the Minister </w:t>
      </w:r>
      <w:r w:rsidR="000717F0" w:rsidRPr="00597E56">
        <w:rPr>
          <w:rStyle w:val="Emphasis"/>
          <w:rFonts w:ascii="Palatino Linotype" w:hAnsi="Palatino Linotype" w:cstheme="minorHAnsi"/>
          <w:bCs/>
          <w:sz w:val="22"/>
        </w:rPr>
        <w:t xml:space="preserve">must </w:t>
      </w:r>
      <w:r w:rsidR="00C95434" w:rsidRPr="00597E56">
        <w:rPr>
          <w:rStyle w:val="Emphasis"/>
          <w:rFonts w:ascii="Palatino Linotype" w:hAnsi="Palatino Linotype" w:cstheme="minorHAnsi"/>
          <w:sz w:val="22"/>
        </w:rPr>
        <w:t xml:space="preserve">grant the claim and transfer the land in freehold title to the </w:t>
      </w:r>
      <w:r w:rsidR="008A15EA" w:rsidRPr="00597E56">
        <w:rPr>
          <w:rStyle w:val="Emphasis"/>
          <w:rFonts w:ascii="Palatino Linotype" w:hAnsi="Palatino Linotype" w:cstheme="minorHAnsi"/>
          <w:sz w:val="22"/>
        </w:rPr>
        <w:t>relevant claimant Aboriginal Land Council</w:t>
      </w:r>
      <w:r w:rsidR="00C95434" w:rsidRPr="00597E56">
        <w:rPr>
          <w:rStyle w:val="Emphasis"/>
          <w:rFonts w:ascii="Palatino Linotype" w:hAnsi="Palatino Linotype" w:cstheme="minorHAnsi"/>
          <w:sz w:val="22"/>
        </w:rPr>
        <w:t xml:space="preserve">. </w:t>
      </w:r>
      <w:r w:rsidR="00793AAA" w:rsidRPr="00597E56">
        <w:rPr>
          <w:rStyle w:val="Emphasis"/>
          <w:rFonts w:ascii="Palatino Linotype" w:hAnsi="Palatino Linotype" w:cstheme="minorHAnsi"/>
          <w:sz w:val="22"/>
        </w:rPr>
        <w:t>However, the tardiness of the claim assessment</w:t>
      </w:r>
      <w:r w:rsidR="00EA4E02" w:rsidRPr="00597E56">
        <w:rPr>
          <w:rStyle w:val="Emphasis"/>
          <w:rFonts w:ascii="Palatino Linotype" w:hAnsi="Palatino Linotype" w:cstheme="minorHAnsi"/>
          <w:sz w:val="22"/>
        </w:rPr>
        <w:t xml:space="preserve"> process</w:t>
      </w:r>
      <w:r w:rsidR="00793AAA" w:rsidRPr="00597E56">
        <w:rPr>
          <w:rStyle w:val="Emphasis"/>
          <w:rFonts w:ascii="Palatino Linotype" w:hAnsi="Palatino Linotype" w:cstheme="minorHAnsi"/>
          <w:sz w:val="22"/>
        </w:rPr>
        <w:t xml:space="preserve"> by the Minister and the subsequent transfer (if successful) to the relevant Aboriginal Land Council remains problematic (Sanders, 2015, p.23)</w:t>
      </w:r>
      <w:r w:rsidR="000F495D" w:rsidRPr="00597E56">
        <w:rPr>
          <w:rStyle w:val="Emphasis"/>
          <w:rFonts w:ascii="Palatino Linotype" w:hAnsi="Palatino Linotype" w:cstheme="minorHAnsi"/>
          <w:sz w:val="22"/>
        </w:rPr>
        <w:t>.</w:t>
      </w:r>
      <w:r w:rsidR="00793AAA" w:rsidRPr="00597E56">
        <w:rPr>
          <w:rStyle w:val="Emphasis"/>
          <w:rFonts w:ascii="Palatino Linotype" w:hAnsi="Palatino Linotype" w:cstheme="minorHAnsi"/>
          <w:sz w:val="22"/>
        </w:rPr>
        <w:t xml:space="preserve"> </w:t>
      </w:r>
      <w:r w:rsidR="00E07352" w:rsidRPr="00597E56">
        <w:rPr>
          <w:rStyle w:val="Emphasis"/>
          <w:rFonts w:ascii="Palatino Linotype" w:hAnsi="Palatino Linotype" w:cstheme="minorHAnsi"/>
          <w:sz w:val="22"/>
        </w:rPr>
        <w:t xml:space="preserve">In the next </w:t>
      </w:r>
      <w:r w:rsidR="008A15EA" w:rsidRPr="00597E56">
        <w:rPr>
          <w:rStyle w:val="Emphasis"/>
          <w:rFonts w:ascii="Palatino Linotype" w:hAnsi="Palatino Linotype" w:cstheme="minorHAnsi"/>
          <w:sz w:val="22"/>
        </w:rPr>
        <w:t xml:space="preserve">section of this paper, the </w:t>
      </w:r>
      <w:r w:rsidR="001F275F" w:rsidRPr="00597E56">
        <w:rPr>
          <w:rStyle w:val="Emphasis"/>
          <w:rFonts w:ascii="Palatino Linotype" w:hAnsi="Palatino Linotype" w:cstheme="minorHAnsi"/>
          <w:sz w:val="22"/>
        </w:rPr>
        <w:t xml:space="preserve">complex </w:t>
      </w:r>
      <w:r w:rsidR="00E07352" w:rsidRPr="00597E56">
        <w:rPr>
          <w:rStyle w:val="Emphasis"/>
          <w:rFonts w:ascii="Palatino Linotype" w:hAnsi="Palatino Linotype" w:cstheme="minorHAnsi"/>
          <w:sz w:val="22"/>
        </w:rPr>
        <w:t xml:space="preserve">background to </w:t>
      </w:r>
      <w:r w:rsidR="001F275F" w:rsidRPr="00597E56">
        <w:rPr>
          <w:rStyle w:val="Emphasis"/>
          <w:rFonts w:ascii="Palatino Linotype" w:hAnsi="Palatino Linotype" w:cstheme="minorHAnsi"/>
          <w:sz w:val="22"/>
        </w:rPr>
        <w:t xml:space="preserve">compensation assessment is canvassed when Aboriginal land rights are encountered arising from </w:t>
      </w:r>
      <w:r w:rsidR="00DB53E5" w:rsidRPr="00597E56">
        <w:rPr>
          <w:rStyle w:val="Emphasis"/>
          <w:rFonts w:ascii="Palatino Linotype" w:hAnsi="Palatino Linotype" w:cstheme="minorHAnsi"/>
          <w:sz w:val="22"/>
        </w:rPr>
        <w:t xml:space="preserve">the prospective compulsory acquisition of </w:t>
      </w:r>
      <w:r w:rsidR="001F275F" w:rsidRPr="00597E56">
        <w:rPr>
          <w:rStyle w:val="Emphasis"/>
          <w:rFonts w:ascii="Palatino Linotype" w:hAnsi="Palatino Linotype" w:cstheme="minorHAnsi"/>
          <w:sz w:val="22"/>
        </w:rPr>
        <w:t>infrastructure</w:t>
      </w:r>
      <w:r w:rsidR="00DB53E5" w:rsidRPr="00597E56">
        <w:rPr>
          <w:rStyle w:val="Emphasis"/>
          <w:rFonts w:ascii="Palatino Linotype" w:hAnsi="Palatino Linotype" w:cstheme="minorHAnsi"/>
          <w:sz w:val="22"/>
        </w:rPr>
        <w:t xml:space="preserve"> property rights</w:t>
      </w:r>
      <w:r w:rsidR="001F275F" w:rsidRPr="00597E56">
        <w:rPr>
          <w:rStyle w:val="Emphasis"/>
          <w:rFonts w:ascii="Palatino Linotype" w:hAnsi="Palatino Linotype" w:cstheme="minorHAnsi"/>
          <w:sz w:val="22"/>
        </w:rPr>
        <w:t>.</w:t>
      </w:r>
    </w:p>
    <w:p w14:paraId="366171D6" w14:textId="77777777" w:rsidR="00642941" w:rsidRPr="00597E56" w:rsidRDefault="00642941" w:rsidP="00F1501F">
      <w:pPr>
        <w:spacing w:after="0" w:line="240" w:lineRule="auto"/>
        <w:jc w:val="both"/>
        <w:rPr>
          <w:rStyle w:val="Emphasis"/>
          <w:rFonts w:ascii="Palatino Linotype" w:hAnsi="Palatino Linotype" w:cstheme="minorHAnsi"/>
          <w:b/>
          <w:sz w:val="28"/>
          <w:szCs w:val="28"/>
        </w:rPr>
      </w:pPr>
    </w:p>
    <w:p w14:paraId="2915A06F" w14:textId="2E568A03" w:rsidR="008A15EA" w:rsidRPr="00597E56" w:rsidRDefault="003E04DD" w:rsidP="00F1501F">
      <w:pPr>
        <w:spacing w:after="0" w:line="240" w:lineRule="auto"/>
        <w:jc w:val="both"/>
        <w:rPr>
          <w:rFonts w:ascii="Palatino Linotype" w:hAnsi="Palatino Linotype" w:cstheme="minorHAnsi"/>
          <w:b/>
          <w:sz w:val="24"/>
          <w:szCs w:val="24"/>
        </w:rPr>
      </w:pPr>
      <w:r w:rsidRPr="00597E56">
        <w:rPr>
          <w:rFonts w:ascii="Palatino Linotype" w:hAnsi="Palatino Linotype"/>
          <w:b/>
          <w:iCs/>
          <w:sz w:val="24"/>
          <w:szCs w:val="24"/>
        </w:rPr>
        <w:t>Background to c</w:t>
      </w:r>
      <w:r w:rsidR="008A15EA" w:rsidRPr="00597E56">
        <w:rPr>
          <w:rFonts w:ascii="Palatino Linotype" w:hAnsi="Palatino Linotype"/>
          <w:b/>
          <w:iCs/>
          <w:sz w:val="24"/>
          <w:szCs w:val="24"/>
        </w:rPr>
        <w:t>ompensat</w:t>
      </w:r>
      <w:r w:rsidRPr="00597E56">
        <w:rPr>
          <w:rFonts w:ascii="Palatino Linotype" w:hAnsi="Palatino Linotype"/>
          <w:b/>
          <w:iCs/>
          <w:sz w:val="24"/>
          <w:szCs w:val="24"/>
        </w:rPr>
        <w:t>ion.</w:t>
      </w:r>
    </w:p>
    <w:p w14:paraId="6123B144" w14:textId="77777777" w:rsidR="008A15EA" w:rsidRPr="00597E56" w:rsidRDefault="008A15EA" w:rsidP="00F1501F">
      <w:pPr>
        <w:pStyle w:val="ListParagraph"/>
        <w:spacing w:after="0" w:line="240" w:lineRule="auto"/>
        <w:jc w:val="both"/>
        <w:rPr>
          <w:rStyle w:val="Emphasis"/>
          <w:rFonts w:ascii="Palatino Linotype" w:hAnsi="Palatino Linotype" w:cstheme="minorHAnsi"/>
          <w:b/>
          <w:sz w:val="22"/>
        </w:rPr>
      </w:pPr>
    </w:p>
    <w:p w14:paraId="64081F1A" w14:textId="39E21AF7" w:rsidR="00DB2509" w:rsidRPr="00597E56" w:rsidRDefault="00550BD2" w:rsidP="00F1501F">
      <w:pPr>
        <w:spacing w:after="0" w:line="240" w:lineRule="auto"/>
        <w:jc w:val="both"/>
        <w:rPr>
          <w:rStyle w:val="Emphasis"/>
          <w:rFonts w:ascii="Palatino Linotype" w:hAnsi="Palatino Linotype" w:cstheme="minorHAnsi"/>
          <w:sz w:val="22"/>
        </w:rPr>
      </w:pPr>
      <w:r w:rsidRPr="00597E56">
        <w:rPr>
          <w:rFonts w:ascii="Palatino Linotype" w:eastAsia="Calibri" w:hAnsi="Palatino Linotype" w:cstheme="minorHAnsi"/>
          <w:lang w:eastAsia="en-AU"/>
        </w:rPr>
        <w:t xml:space="preserve">If </w:t>
      </w:r>
      <w:r w:rsidR="001F275F" w:rsidRPr="00597E56">
        <w:rPr>
          <w:rFonts w:ascii="Palatino Linotype" w:eastAsia="Calibri" w:hAnsi="Palatino Linotype" w:cstheme="minorHAnsi"/>
          <w:lang w:eastAsia="en-AU"/>
        </w:rPr>
        <w:t>an</w:t>
      </w:r>
      <w:r w:rsidRPr="00597E56">
        <w:rPr>
          <w:rFonts w:ascii="Palatino Linotype" w:eastAsia="Calibri" w:hAnsi="Palatino Linotype" w:cstheme="minorHAnsi"/>
          <w:lang w:eastAsia="en-AU"/>
        </w:rPr>
        <w:t xml:space="preserve"> A</w:t>
      </w:r>
      <w:r w:rsidR="001F275F" w:rsidRPr="00597E56">
        <w:rPr>
          <w:rFonts w:ascii="Palatino Linotype" w:eastAsia="Calibri" w:hAnsi="Palatino Linotype" w:cstheme="minorHAnsi"/>
          <w:lang w:eastAsia="en-AU"/>
        </w:rPr>
        <w:t xml:space="preserve">boriginal land claim </w:t>
      </w:r>
      <w:r w:rsidRPr="00597E56">
        <w:rPr>
          <w:rFonts w:ascii="Palatino Linotype" w:eastAsia="Calibri" w:hAnsi="Palatino Linotype" w:cstheme="minorHAnsi"/>
          <w:lang w:eastAsia="en-AU"/>
        </w:rPr>
        <w:t>has either been gran</w:t>
      </w:r>
      <w:r w:rsidR="001F275F" w:rsidRPr="00597E56">
        <w:rPr>
          <w:rFonts w:ascii="Palatino Linotype" w:eastAsia="Calibri" w:hAnsi="Palatino Linotype" w:cstheme="minorHAnsi"/>
          <w:lang w:eastAsia="en-AU"/>
        </w:rPr>
        <w:t xml:space="preserve">ted in freehold to </w:t>
      </w:r>
      <w:r w:rsidRPr="00597E56">
        <w:rPr>
          <w:rFonts w:ascii="Palatino Linotype" w:eastAsia="Calibri" w:hAnsi="Palatino Linotype" w:cstheme="minorHAnsi"/>
          <w:lang w:eastAsia="en-AU"/>
        </w:rPr>
        <w:t>an Aboriginal Land C</w:t>
      </w:r>
      <w:r w:rsidR="001F275F" w:rsidRPr="00597E56">
        <w:rPr>
          <w:rFonts w:ascii="Palatino Linotype" w:eastAsia="Calibri" w:hAnsi="Palatino Linotype" w:cstheme="minorHAnsi"/>
          <w:lang w:eastAsia="en-AU"/>
        </w:rPr>
        <w:t>ouncil or is yet to be determi</w:t>
      </w:r>
      <w:r w:rsidRPr="00597E56">
        <w:rPr>
          <w:rFonts w:ascii="Palatino Linotype" w:eastAsia="Calibri" w:hAnsi="Palatino Linotype" w:cstheme="minorHAnsi"/>
          <w:lang w:eastAsia="en-AU"/>
        </w:rPr>
        <w:t>ned</w:t>
      </w:r>
      <w:r w:rsidR="001F275F" w:rsidRPr="00597E56">
        <w:rPr>
          <w:rFonts w:ascii="Palatino Linotype" w:eastAsia="Calibri" w:hAnsi="Palatino Linotype" w:cstheme="minorHAnsi"/>
          <w:lang w:eastAsia="en-AU"/>
        </w:rPr>
        <w:t xml:space="preserve"> by the Minister</w:t>
      </w:r>
      <w:r w:rsidRPr="00597E56">
        <w:rPr>
          <w:rFonts w:ascii="Palatino Linotype" w:eastAsia="Calibri" w:hAnsi="Palatino Linotype" w:cstheme="minorHAnsi"/>
          <w:lang w:eastAsia="en-AU"/>
        </w:rPr>
        <w:t xml:space="preserve">, </w:t>
      </w:r>
      <w:r w:rsidR="008E6255" w:rsidRPr="00597E56">
        <w:rPr>
          <w:rFonts w:ascii="Palatino Linotype" w:eastAsia="Calibri" w:hAnsi="Palatino Linotype" w:cstheme="minorHAnsi"/>
          <w:lang w:eastAsia="en-AU"/>
        </w:rPr>
        <w:t xml:space="preserve">the prospective </w:t>
      </w:r>
      <w:r w:rsidR="001F275F" w:rsidRPr="00597E56">
        <w:rPr>
          <w:rFonts w:ascii="Palatino Linotype" w:eastAsia="Calibri" w:hAnsi="Palatino Linotype" w:cstheme="minorHAnsi"/>
          <w:lang w:eastAsia="en-AU"/>
        </w:rPr>
        <w:t>acquisition of infrastructure prope</w:t>
      </w:r>
      <w:r w:rsidR="00E07352" w:rsidRPr="00597E56">
        <w:rPr>
          <w:rFonts w:ascii="Palatino Linotype" w:eastAsia="Calibri" w:hAnsi="Palatino Linotype" w:cstheme="minorHAnsi"/>
          <w:lang w:eastAsia="en-AU"/>
        </w:rPr>
        <w:t xml:space="preserve">rty rights raises the issue of </w:t>
      </w:r>
      <w:r w:rsidR="001F275F" w:rsidRPr="00597E56">
        <w:rPr>
          <w:rFonts w:ascii="Palatino Linotype" w:eastAsia="Calibri" w:hAnsi="Palatino Linotype" w:cstheme="minorHAnsi"/>
          <w:lang w:eastAsia="en-AU"/>
        </w:rPr>
        <w:t>the assessment</w:t>
      </w:r>
      <w:r w:rsidR="00DB53E5" w:rsidRPr="00597E56">
        <w:rPr>
          <w:rFonts w:ascii="Palatino Linotype" w:eastAsia="Calibri" w:hAnsi="Palatino Linotype" w:cstheme="minorHAnsi"/>
          <w:lang w:eastAsia="en-AU"/>
        </w:rPr>
        <w:t xml:space="preserve"> of </w:t>
      </w:r>
      <w:r w:rsidR="00EB6CE9" w:rsidRPr="00597E56">
        <w:rPr>
          <w:rFonts w:ascii="Palatino Linotype" w:eastAsia="Calibri" w:hAnsi="Palatino Linotype" w:cstheme="minorHAnsi"/>
          <w:lang w:eastAsia="en-AU"/>
        </w:rPr>
        <w:t>compensation.</w:t>
      </w:r>
      <w:r w:rsidRPr="00597E56">
        <w:rPr>
          <w:rStyle w:val="Emphasis"/>
          <w:rFonts w:ascii="Palatino Linotype" w:hAnsi="Palatino Linotype" w:cstheme="minorHAnsi"/>
          <w:sz w:val="22"/>
        </w:rPr>
        <w:t xml:space="preserve"> </w:t>
      </w:r>
      <w:r w:rsidR="00DB53E5" w:rsidRPr="00597E56">
        <w:rPr>
          <w:rStyle w:val="Emphasis"/>
          <w:rFonts w:ascii="Palatino Linotype" w:hAnsi="Palatino Linotype" w:cstheme="minorHAnsi"/>
          <w:sz w:val="22"/>
        </w:rPr>
        <w:t>Surprisingly</w:t>
      </w:r>
      <w:r w:rsidR="00894A08" w:rsidRPr="00597E56">
        <w:rPr>
          <w:rStyle w:val="Emphasis"/>
          <w:rFonts w:ascii="Palatino Linotype" w:hAnsi="Palatino Linotype" w:cstheme="minorHAnsi"/>
          <w:sz w:val="22"/>
        </w:rPr>
        <w:t xml:space="preserve"> and yet unapologetically idiosyncratic</w:t>
      </w:r>
      <w:r w:rsidR="00DB53E5" w:rsidRPr="00597E56">
        <w:rPr>
          <w:rStyle w:val="Emphasis"/>
          <w:rFonts w:ascii="Palatino Linotype" w:hAnsi="Palatino Linotype" w:cstheme="minorHAnsi"/>
          <w:sz w:val="22"/>
        </w:rPr>
        <w:t>, s</w:t>
      </w:r>
      <w:r w:rsidR="00C95434" w:rsidRPr="00597E56">
        <w:rPr>
          <w:rStyle w:val="Emphasis"/>
          <w:rFonts w:ascii="Palatino Linotype" w:hAnsi="Palatino Linotype" w:cstheme="minorHAnsi"/>
          <w:sz w:val="22"/>
        </w:rPr>
        <w:t xml:space="preserve">uch compensation is not to be assessed pursuant to the </w:t>
      </w:r>
      <w:r w:rsidR="00C95434" w:rsidRPr="00597E56">
        <w:rPr>
          <w:rStyle w:val="Emphasis"/>
          <w:rFonts w:ascii="Palatino Linotype" w:hAnsi="Palatino Linotype" w:cstheme="minorHAnsi"/>
          <w:i/>
          <w:sz w:val="22"/>
        </w:rPr>
        <w:t>Land Acquisition (Just Terms Compensation) Act 1991</w:t>
      </w:r>
      <w:r w:rsidR="00DB53E5" w:rsidRPr="00597E56">
        <w:rPr>
          <w:rStyle w:val="Emphasis"/>
          <w:rFonts w:ascii="Palatino Linotype" w:hAnsi="Palatino Linotype" w:cstheme="minorHAnsi"/>
          <w:sz w:val="22"/>
        </w:rPr>
        <w:t xml:space="preserve">, </w:t>
      </w:r>
      <w:r w:rsidR="00D40D76" w:rsidRPr="00597E56">
        <w:rPr>
          <w:rStyle w:val="Emphasis"/>
          <w:rFonts w:ascii="Palatino Linotype" w:hAnsi="Palatino Linotype" w:cstheme="minorHAnsi"/>
          <w:sz w:val="22"/>
        </w:rPr>
        <w:t xml:space="preserve">notwithstanding </w:t>
      </w:r>
      <w:r w:rsidR="00E07352" w:rsidRPr="00597E56">
        <w:rPr>
          <w:rStyle w:val="Emphasis"/>
          <w:rFonts w:ascii="Palatino Linotype" w:hAnsi="Palatino Linotype" w:cstheme="minorHAnsi"/>
          <w:sz w:val="22"/>
        </w:rPr>
        <w:t xml:space="preserve">an </w:t>
      </w:r>
      <w:r w:rsidR="00DB53E5" w:rsidRPr="00597E56">
        <w:rPr>
          <w:rStyle w:val="Emphasis"/>
          <w:rFonts w:ascii="Palatino Linotype" w:hAnsi="Palatino Linotype" w:cstheme="minorHAnsi"/>
          <w:sz w:val="22"/>
        </w:rPr>
        <w:t>assessment</w:t>
      </w:r>
      <w:r w:rsidR="00E07352" w:rsidRPr="00597E56">
        <w:rPr>
          <w:rStyle w:val="Emphasis"/>
          <w:rFonts w:ascii="Palatino Linotype" w:hAnsi="Palatino Linotype" w:cstheme="minorHAnsi"/>
          <w:sz w:val="22"/>
        </w:rPr>
        <w:t xml:space="preserve"> would necessarily </w:t>
      </w:r>
      <w:r w:rsidR="00C95434" w:rsidRPr="00597E56">
        <w:rPr>
          <w:rStyle w:val="Emphasis"/>
          <w:rFonts w:ascii="Palatino Linotype" w:hAnsi="Palatino Linotype" w:cstheme="minorHAnsi"/>
          <w:sz w:val="22"/>
        </w:rPr>
        <w:t>be informed by the market value of the land</w:t>
      </w:r>
      <w:r w:rsidR="00D40D76" w:rsidRPr="00597E56">
        <w:rPr>
          <w:rStyle w:val="FootnoteReference"/>
          <w:rFonts w:ascii="Palatino Linotype" w:hAnsi="Palatino Linotype" w:cstheme="minorHAnsi"/>
        </w:rPr>
        <w:footnoteReference w:id="10"/>
      </w:r>
      <w:r w:rsidR="00C95434" w:rsidRPr="00597E56">
        <w:rPr>
          <w:rStyle w:val="Emphasis"/>
          <w:rFonts w:ascii="Palatino Linotype" w:hAnsi="Palatino Linotype" w:cstheme="minorHAnsi"/>
          <w:sz w:val="22"/>
        </w:rPr>
        <w:t xml:space="preserve"> together with any additional uplift in value </w:t>
      </w:r>
      <w:r w:rsidR="00D40D76" w:rsidRPr="00597E56">
        <w:rPr>
          <w:rStyle w:val="Emphasis"/>
          <w:rFonts w:ascii="Palatino Linotype" w:hAnsi="Palatino Linotype" w:cstheme="minorHAnsi"/>
          <w:sz w:val="22"/>
        </w:rPr>
        <w:t xml:space="preserve">asserted by </w:t>
      </w:r>
      <w:r w:rsidR="00EB6CE9" w:rsidRPr="00597E56">
        <w:rPr>
          <w:rStyle w:val="Emphasis"/>
          <w:rFonts w:ascii="Palatino Linotype" w:hAnsi="Palatino Linotype" w:cstheme="minorHAnsi"/>
          <w:sz w:val="22"/>
        </w:rPr>
        <w:t xml:space="preserve">the relevant </w:t>
      </w:r>
      <w:r w:rsidR="00DB53E5" w:rsidRPr="00597E56">
        <w:rPr>
          <w:rStyle w:val="Emphasis"/>
          <w:rFonts w:ascii="Palatino Linotype" w:hAnsi="Palatino Linotype" w:cstheme="minorHAnsi"/>
          <w:sz w:val="22"/>
        </w:rPr>
        <w:t>Aboriginal Land Council</w:t>
      </w:r>
      <w:r w:rsidR="00C95434" w:rsidRPr="00597E56">
        <w:rPr>
          <w:rStyle w:val="Emphasis"/>
          <w:rFonts w:ascii="Palatino Linotype" w:hAnsi="Palatino Linotype" w:cstheme="minorHAnsi"/>
          <w:sz w:val="22"/>
        </w:rPr>
        <w:t xml:space="preserve"> as </w:t>
      </w:r>
      <w:r w:rsidR="00EB6CE9" w:rsidRPr="00597E56">
        <w:rPr>
          <w:rStyle w:val="Emphasis"/>
          <w:rFonts w:ascii="Palatino Linotype" w:hAnsi="Palatino Linotype" w:cstheme="minorHAnsi"/>
          <w:sz w:val="22"/>
        </w:rPr>
        <w:t xml:space="preserve">either </w:t>
      </w:r>
      <w:r w:rsidR="00DB53E5" w:rsidRPr="00597E56">
        <w:rPr>
          <w:rStyle w:val="Emphasis"/>
          <w:rFonts w:ascii="Palatino Linotype" w:hAnsi="Palatino Linotype" w:cstheme="minorHAnsi"/>
          <w:sz w:val="22"/>
        </w:rPr>
        <w:t>freehold landowner</w:t>
      </w:r>
      <w:r w:rsidR="00256806" w:rsidRPr="00597E56">
        <w:rPr>
          <w:rStyle w:val="Emphasis"/>
          <w:rFonts w:ascii="Palatino Linotype" w:hAnsi="Palatino Linotype" w:cstheme="minorHAnsi"/>
          <w:sz w:val="22"/>
        </w:rPr>
        <w:t xml:space="preserve"> or </w:t>
      </w:r>
      <w:r w:rsidR="00DB53E5" w:rsidRPr="00597E56">
        <w:rPr>
          <w:rStyle w:val="Emphasis"/>
          <w:rFonts w:ascii="Palatino Linotype" w:hAnsi="Palatino Linotype" w:cstheme="minorHAnsi"/>
          <w:sz w:val="22"/>
        </w:rPr>
        <w:t xml:space="preserve">as a </w:t>
      </w:r>
      <w:r w:rsidR="00C95434" w:rsidRPr="00597E56">
        <w:rPr>
          <w:rStyle w:val="Emphasis"/>
          <w:rFonts w:ascii="Palatino Linotype" w:hAnsi="Palatino Linotype" w:cstheme="minorHAnsi"/>
          <w:sz w:val="22"/>
        </w:rPr>
        <w:t>potentially successful claimant.</w:t>
      </w:r>
    </w:p>
    <w:p w14:paraId="1C50BC91" w14:textId="77777777" w:rsidR="00DB2509" w:rsidRPr="00597E56" w:rsidRDefault="00DB2509" w:rsidP="00F1501F">
      <w:pPr>
        <w:spacing w:after="0" w:line="240" w:lineRule="auto"/>
        <w:jc w:val="both"/>
        <w:rPr>
          <w:rStyle w:val="Emphasis"/>
          <w:rFonts w:ascii="Palatino Linotype" w:hAnsi="Palatino Linotype" w:cstheme="minorHAnsi"/>
          <w:sz w:val="22"/>
        </w:rPr>
      </w:pPr>
    </w:p>
    <w:p w14:paraId="2396709E" w14:textId="429E851F" w:rsidR="00C95434" w:rsidRPr="00597E56" w:rsidRDefault="00DA2B9D" w:rsidP="00F1501F">
      <w:pPr>
        <w:spacing w:after="0" w:line="240" w:lineRule="auto"/>
        <w:jc w:val="both"/>
        <w:rPr>
          <w:rStyle w:val="Emphasis"/>
          <w:rFonts w:ascii="Palatino Linotype" w:hAnsi="Palatino Linotype" w:cstheme="minorHAnsi"/>
          <w:sz w:val="22"/>
        </w:rPr>
      </w:pPr>
      <w:r w:rsidRPr="00597E56">
        <w:rPr>
          <w:rStyle w:val="Emphasis"/>
          <w:rFonts w:ascii="Palatino Linotype" w:hAnsi="Palatino Linotype" w:cstheme="minorHAnsi"/>
          <w:sz w:val="22"/>
        </w:rPr>
        <w:t xml:space="preserve">Ordinarily the relevant Aboriginal Land Council may through negotiation agree to delete </w:t>
      </w:r>
      <w:r w:rsidR="00EB6CE9" w:rsidRPr="00597E56">
        <w:rPr>
          <w:rStyle w:val="Emphasis"/>
          <w:rFonts w:ascii="Palatino Linotype" w:hAnsi="Palatino Linotype" w:cstheme="minorHAnsi"/>
          <w:sz w:val="22"/>
        </w:rPr>
        <w:t xml:space="preserve">a </w:t>
      </w:r>
      <w:r w:rsidRPr="00597E56">
        <w:rPr>
          <w:rStyle w:val="Emphasis"/>
          <w:rFonts w:ascii="Palatino Linotype" w:hAnsi="Palatino Linotype" w:cstheme="minorHAnsi"/>
          <w:sz w:val="22"/>
        </w:rPr>
        <w:t>s</w:t>
      </w:r>
      <w:r w:rsidR="00DB2509" w:rsidRPr="00597E56">
        <w:rPr>
          <w:rStyle w:val="Emphasis"/>
          <w:rFonts w:ascii="Palatino Linotype" w:hAnsi="Palatino Linotype" w:cstheme="minorHAnsi"/>
          <w:sz w:val="22"/>
        </w:rPr>
        <w:t xml:space="preserve">pecific </w:t>
      </w:r>
      <w:r w:rsidR="00EB6CE9" w:rsidRPr="00597E56">
        <w:rPr>
          <w:rStyle w:val="Emphasis"/>
          <w:rFonts w:ascii="Palatino Linotype" w:hAnsi="Palatino Linotype" w:cstheme="minorHAnsi"/>
          <w:sz w:val="22"/>
        </w:rPr>
        <w:t xml:space="preserve">parcel of </w:t>
      </w:r>
      <w:r w:rsidR="00DB2509" w:rsidRPr="00597E56">
        <w:rPr>
          <w:rStyle w:val="Emphasis"/>
          <w:rFonts w:ascii="Palatino Linotype" w:hAnsi="Palatino Linotype" w:cstheme="minorHAnsi"/>
          <w:sz w:val="22"/>
        </w:rPr>
        <w:t xml:space="preserve">land impacted by </w:t>
      </w:r>
      <w:r w:rsidRPr="00597E56">
        <w:rPr>
          <w:rStyle w:val="Emphasis"/>
          <w:rFonts w:ascii="Palatino Linotype" w:hAnsi="Palatino Linotype" w:cstheme="minorHAnsi"/>
          <w:sz w:val="22"/>
        </w:rPr>
        <w:t xml:space="preserve">a proposed infrastructure construction from the </w:t>
      </w:r>
      <w:r w:rsidR="00EB6CE9" w:rsidRPr="00597E56">
        <w:rPr>
          <w:rStyle w:val="Emphasis"/>
          <w:rFonts w:ascii="Palatino Linotype" w:hAnsi="Palatino Linotype" w:cstheme="minorHAnsi"/>
          <w:sz w:val="22"/>
        </w:rPr>
        <w:t xml:space="preserve">overall </w:t>
      </w:r>
      <w:r w:rsidRPr="00597E56">
        <w:rPr>
          <w:rStyle w:val="Emphasis"/>
          <w:rFonts w:ascii="Palatino Linotype" w:hAnsi="Palatino Linotype" w:cstheme="minorHAnsi"/>
          <w:sz w:val="22"/>
        </w:rPr>
        <w:t>land claim in return for a</w:t>
      </w:r>
      <w:r w:rsidR="00EB6CE9" w:rsidRPr="00597E56">
        <w:rPr>
          <w:rStyle w:val="Emphasis"/>
          <w:rFonts w:ascii="Palatino Linotype" w:hAnsi="Palatino Linotype" w:cstheme="minorHAnsi"/>
          <w:sz w:val="22"/>
        </w:rPr>
        <w:t xml:space="preserve">n </w:t>
      </w:r>
      <w:r w:rsidR="00894A08" w:rsidRPr="00597E56">
        <w:rPr>
          <w:rStyle w:val="Emphasis"/>
          <w:rFonts w:ascii="Palatino Linotype" w:hAnsi="Palatino Linotype" w:cstheme="minorHAnsi"/>
          <w:sz w:val="22"/>
        </w:rPr>
        <w:t>agreed compensation</w:t>
      </w:r>
      <w:r w:rsidRPr="00597E56">
        <w:rPr>
          <w:rStyle w:val="Emphasis"/>
          <w:rFonts w:ascii="Palatino Linotype" w:hAnsi="Palatino Linotype" w:cstheme="minorHAnsi"/>
          <w:sz w:val="22"/>
        </w:rPr>
        <w:t xml:space="preserve"> </w:t>
      </w:r>
      <w:r w:rsidR="009929EC" w:rsidRPr="00597E56">
        <w:rPr>
          <w:rStyle w:val="Emphasis"/>
          <w:rFonts w:ascii="Palatino Linotype" w:hAnsi="Palatino Linotype" w:cstheme="minorHAnsi"/>
          <w:sz w:val="22"/>
        </w:rPr>
        <w:t>package</w:t>
      </w:r>
      <w:r w:rsidR="00E22FE8" w:rsidRPr="00597E56">
        <w:rPr>
          <w:rStyle w:val="FootnoteReference"/>
          <w:rFonts w:ascii="Palatino Linotype" w:hAnsi="Palatino Linotype" w:cstheme="minorHAnsi"/>
        </w:rPr>
        <w:footnoteReference w:id="11"/>
      </w:r>
      <w:r w:rsidR="009929EC" w:rsidRPr="00597E56">
        <w:rPr>
          <w:rStyle w:val="Emphasis"/>
          <w:rFonts w:ascii="Palatino Linotype" w:hAnsi="Palatino Linotype" w:cstheme="minorHAnsi"/>
          <w:sz w:val="22"/>
        </w:rPr>
        <w:t>. Such arrangements</w:t>
      </w:r>
      <w:r w:rsidRPr="00597E56">
        <w:rPr>
          <w:rStyle w:val="Emphasis"/>
          <w:rFonts w:ascii="Palatino Linotype" w:hAnsi="Palatino Linotype" w:cstheme="minorHAnsi"/>
          <w:sz w:val="22"/>
        </w:rPr>
        <w:t xml:space="preserve"> can be expected to comprise </w:t>
      </w:r>
      <w:r w:rsidR="009929EC" w:rsidRPr="00597E56">
        <w:rPr>
          <w:rStyle w:val="Emphasis"/>
          <w:rFonts w:ascii="Palatino Linotype" w:hAnsi="Palatino Linotype" w:cstheme="minorHAnsi"/>
          <w:sz w:val="22"/>
        </w:rPr>
        <w:t xml:space="preserve">primarily </w:t>
      </w:r>
      <w:r w:rsidRPr="00597E56">
        <w:rPr>
          <w:rStyle w:val="Emphasis"/>
          <w:rFonts w:ascii="Palatino Linotype" w:hAnsi="Palatino Linotype" w:cstheme="minorHAnsi"/>
          <w:sz w:val="22"/>
        </w:rPr>
        <w:t>monetary</w:t>
      </w:r>
      <w:r w:rsidR="009929EC" w:rsidRPr="00597E56">
        <w:rPr>
          <w:rStyle w:val="Emphasis"/>
          <w:rFonts w:ascii="Palatino Linotype" w:hAnsi="Palatino Linotype" w:cstheme="minorHAnsi"/>
          <w:sz w:val="22"/>
        </w:rPr>
        <w:t xml:space="preserve"> compensation</w:t>
      </w:r>
      <w:r w:rsidRPr="00597E56">
        <w:rPr>
          <w:rStyle w:val="Emphasis"/>
          <w:rFonts w:ascii="Palatino Linotype" w:hAnsi="Palatino Linotype" w:cstheme="minorHAnsi"/>
          <w:sz w:val="22"/>
        </w:rPr>
        <w:t xml:space="preserve"> and possibly other </w:t>
      </w:r>
      <w:r w:rsidR="009929EC" w:rsidRPr="00597E56">
        <w:rPr>
          <w:rStyle w:val="Emphasis"/>
          <w:rFonts w:ascii="Palatino Linotype" w:hAnsi="Palatino Linotype" w:cstheme="minorHAnsi"/>
          <w:sz w:val="22"/>
        </w:rPr>
        <w:t>co-</w:t>
      </w:r>
      <w:r w:rsidRPr="00597E56">
        <w:rPr>
          <w:rStyle w:val="Emphasis"/>
          <w:rFonts w:ascii="Palatino Linotype" w:hAnsi="Palatino Linotype" w:cstheme="minorHAnsi"/>
          <w:sz w:val="22"/>
        </w:rPr>
        <w:t>payment</w:t>
      </w:r>
      <w:r w:rsidR="009929EC" w:rsidRPr="00597E56">
        <w:rPr>
          <w:rStyle w:val="Emphasis"/>
          <w:rFonts w:ascii="Palatino Linotype" w:hAnsi="Palatino Linotype" w:cstheme="minorHAnsi"/>
          <w:sz w:val="22"/>
        </w:rPr>
        <w:t xml:space="preserve">s </w:t>
      </w:r>
      <w:r w:rsidRPr="00597E56">
        <w:rPr>
          <w:rStyle w:val="Emphasis"/>
          <w:rFonts w:ascii="Palatino Linotype" w:hAnsi="Palatino Linotype" w:cstheme="minorHAnsi"/>
          <w:sz w:val="22"/>
        </w:rPr>
        <w:t xml:space="preserve">such as </w:t>
      </w:r>
      <w:r w:rsidR="009929EC" w:rsidRPr="00597E56">
        <w:rPr>
          <w:rStyle w:val="Emphasis"/>
          <w:rFonts w:ascii="Palatino Linotype" w:hAnsi="Palatino Linotype" w:cstheme="minorHAnsi"/>
          <w:sz w:val="22"/>
        </w:rPr>
        <w:t xml:space="preserve">ongoing site management </w:t>
      </w:r>
      <w:r w:rsidR="00EB6CE9" w:rsidRPr="00597E56">
        <w:rPr>
          <w:rStyle w:val="Emphasis"/>
          <w:rFonts w:ascii="Palatino Linotype" w:hAnsi="Palatino Linotype" w:cstheme="minorHAnsi"/>
          <w:sz w:val="22"/>
        </w:rPr>
        <w:t>and employment</w:t>
      </w:r>
      <w:r w:rsidRPr="00597E56">
        <w:rPr>
          <w:rStyle w:val="Emphasis"/>
          <w:rFonts w:ascii="Palatino Linotype" w:hAnsi="Palatino Linotype" w:cstheme="minorHAnsi"/>
          <w:sz w:val="22"/>
        </w:rPr>
        <w:t xml:space="preserve">. </w:t>
      </w:r>
      <w:r w:rsidR="00DB53E5" w:rsidRPr="00597E56">
        <w:rPr>
          <w:rStyle w:val="Emphasis"/>
          <w:rFonts w:ascii="Palatino Linotype" w:hAnsi="Palatino Linotype" w:cstheme="minorHAnsi"/>
          <w:sz w:val="22"/>
        </w:rPr>
        <w:t xml:space="preserve">It should be noted that an Aboriginal Land Council if a successful claimant (or a prospective successful claimant) </w:t>
      </w:r>
      <w:r w:rsidR="00256806" w:rsidRPr="00597E56">
        <w:rPr>
          <w:rFonts w:ascii="Palatino Linotype" w:hAnsi="Palatino Linotype" w:cstheme="minorHAnsi"/>
        </w:rPr>
        <w:t>would be granted</w:t>
      </w:r>
      <w:r w:rsidR="00C95434" w:rsidRPr="00597E56">
        <w:rPr>
          <w:rFonts w:ascii="Palatino Linotype" w:hAnsi="Palatino Linotype" w:cstheme="minorHAnsi"/>
        </w:rPr>
        <w:t xml:space="preserve"> not only freehold title to the </w:t>
      </w:r>
      <w:r w:rsidR="00256806" w:rsidRPr="00597E56">
        <w:rPr>
          <w:rFonts w:ascii="Palatino Linotype" w:hAnsi="Palatino Linotype" w:cstheme="minorHAnsi"/>
        </w:rPr>
        <w:t xml:space="preserve">Crown </w:t>
      </w:r>
      <w:r w:rsidR="00C95434" w:rsidRPr="00597E56">
        <w:rPr>
          <w:rFonts w:ascii="Palatino Linotype" w:hAnsi="Palatino Linotype" w:cstheme="minorHAnsi"/>
        </w:rPr>
        <w:t>land, but also the</w:t>
      </w:r>
      <w:r w:rsidR="00C95434" w:rsidRPr="00597E56">
        <w:rPr>
          <w:rStyle w:val="Emphasis"/>
          <w:rFonts w:ascii="Palatino Linotype" w:hAnsi="Palatino Linotype" w:cstheme="minorHAnsi"/>
          <w:sz w:val="22"/>
        </w:rPr>
        <w:t xml:space="preserve"> transfer of mineral and natural resources</w:t>
      </w:r>
      <w:r w:rsidR="00256806" w:rsidRPr="00597E56">
        <w:rPr>
          <w:rStyle w:val="Emphasis"/>
          <w:rFonts w:ascii="Palatino Linotype" w:hAnsi="Palatino Linotype" w:cstheme="minorHAnsi"/>
          <w:sz w:val="22"/>
        </w:rPr>
        <w:t xml:space="preserve"> as set out in </w:t>
      </w:r>
      <w:r w:rsidR="00256806" w:rsidRPr="00597E56">
        <w:rPr>
          <w:rStyle w:val="Emphasis"/>
          <w:rFonts w:ascii="Palatino Linotype" w:hAnsi="Palatino Linotype" w:cstheme="minorHAnsi"/>
          <w:i/>
          <w:sz w:val="22"/>
        </w:rPr>
        <w:t>s.45 (2)(a)</w:t>
      </w:r>
      <w:r w:rsidR="00C95434" w:rsidRPr="00597E56">
        <w:rPr>
          <w:rStyle w:val="FootnoteReference"/>
          <w:rFonts w:ascii="Palatino Linotype" w:hAnsi="Palatino Linotype" w:cstheme="minorHAnsi"/>
          <w:iCs/>
        </w:rPr>
        <w:footnoteReference w:id="12"/>
      </w:r>
      <w:r w:rsidR="00C95434" w:rsidRPr="00597E56">
        <w:rPr>
          <w:rStyle w:val="Emphasis"/>
          <w:rFonts w:ascii="Palatino Linotype" w:hAnsi="Palatino Linotype" w:cstheme="minorHAnsi"/>
          <w:i/>
          <w:sz w:val="22"/>
        </w:rPr>
        <w:t xml:space="preserve">. </w:t>
      </w:r>
      <w:r w:rsidR="00D40D76" w:rsidRPr="00597E56">
        <w:rPr>
          <w:rStyle w:val="Emphasis"/>
          <w:rFonts w:ascii="Palatino Linotype" w:hAnsi="Palatino Linotype" w:cstheme="minorHAnsi"/>
          <w:sz w:val="22"/>
        </w:rPr>
        <w:t>As such f</w:t>
      </w:r>
      <w:r w:rsidR="00C95434" w:rsidRPr="00597E56">
        <w:rPr>
          <w:rStyle w:val="Emphasis"/>
          <w:rFonts w:ascii="Palatino Linotype" w:hAnsi="Palatino Linotype" w:cstheme="minorHAnsi"/>
          <w:sz w:val="22"/>
        </w:rPr>
        <w:t xml:space="preserve">reehold title granted under the </w:t>
      </w:r>
      <w:r w:rsidR="00C95434" w:rsidRPr="00597E56">
        <w:rPr>
          <w:rStyle w:val="Emphasis"/>
          <w:rFonts w:ascii="Palatino Linotype" w:hAnsi="Palatino Linotype" w:cstheme="minorHAnsi"/>
          <w:i/>
          <w:sz w:val="22"/>
        </w:rPr>
        <w:t>A</w:t>
      </w:r>
      <w:r w:rsidR="00894A08" w:rsidRPr="00597E56">
        <w:rPr>
          <w:rStyle w:val="Emphasis"/>
          <w:rFonts w:ascii="Palatino Linotype" w:hAnsi="Palatino Linotype" w:cstheme="minorHAnsi"/>
          <w:i/>
          <w:sz w:val="22"/>
        </w:rPr>
        <w:t>LRA</w:t>
      </w:r>
      <w:r w:rsidR="00C95434" w:rsidRPr="00597E56">
        <w:rPr>
          <w:rStyle w:val="Emphasis"/>
          <w:rFonts w:ascii="Palatino Linotype" w:hAnsi="Palatino Linotype" w:cstheme="minorHAnsi"/>
          <w:i/>
          <w:sz w:val="22"/>
        </w:rPr>
        <w:t xml:space="preserve"> </w:t>
      </w:r>
      <w:r w:rsidR="00C95434" w:rsidRPr="00597E56">
        <w:rPr>
          <w:rStyle w:val="Emphasis"/>
          <w:rFonts w:ascii="Palatino Linotype" w:hAnsi="Palatino Linotype" w:cstheme="minorHAnsi"/>
          <w:sz w:val="22"/>
        </w:rPr>
        <w:t>is distingu</w:t>
      </w:r>
      <w:r w:rsidR="00634578" w:rsidRPr="00597E56">
        <w:rPr>
          <w:rStyle w:val="Emphasis"/>
          <w:rFonts w:ascii="Palatino Linotype" w:hAnsi="Palatino Linotype" w:cstheme="minorHAnsi"/>
          <w:sz w:val="22"/>
        </w:rPr>
        <w:t>ished from other freehold interests granted</w:t>
      </w:r>
      <w:r w:rsidR="00256806" w:rsidRPr="00597E56">
        <w:rPr>
          <w:rStyle w:val="Emphasis"/>
          <w:rFonts w:ascii="Palatino Linotype" w:hAnsi="Palatino Linotype" w:cstheme="minorHAnsi"/>
          <w:sz w:val="22"/>
        </w:rPr>
        <w:t xml:space="preserve"> under the </w:t>
      </w:r>
      <w:r w:rsidR="00256806" w:rsidRPr="00597E56">
        <w:rPr>
          <w:rStyle w:val="Emphasis"/>
          <w:rFonts w:ascii="Palatino Linotype" w:hAnsi="Palatino Linotype" w:cstheme="minorHAnsi"/>
          <w:i/>
          <w:sz w:val="22"/>
        </w:rPr>
        <w:t>Real Property Act 1900</w:t>
      </w:r>
      <w:r w:rsidR="00894A08" w:rsidRPr="00597E56">
        <w:rPr>
          <w:rStyle w:val="Emphasis"/>
          <w:rFonts w:ascii="Palatino Linotype" w:hAnsi="Palatino Linotype" w:cstheme="minorHAnsi"/>
          <w:i/>
          <w:sz w:val="22"/>
        </w:rPr>
        <w:t xml:space="preserve"> </w:t>
      </w:r>
      <w:r w:rsidR="00894A08" w:rsidRPr="00597E56">
        <w:rPr>
          <w:rStyle w:val="Emphasis"/>
          <w:rFonts w:ascii="Palatino Linotype" w:hAnsi="Palatino Linotype" w:cstheme="minorHAnsi"/>
          <w:iCs/>
          <w:sz w:val="22"/>
        </w:rPr>
        <w:t>(NSW)</w:t>
      </w:r>
      <w:r w:rsidR="00894A08" w:rsidRPr="00597E56">
        <w:rPr>
          <w:rStyle w:val="Emphasis"/>
          <w:rFonts w:ascii="Palatino Linotype" w:hAnsi="Palatino Linotype" w:cstheme="minorHAnsi"/>
          <w:sz w:val="22"/>
        </w:rPr>
        <w:t xml:space="preserve"> because</w:t>
      </w:r>
      <w:r w:rsidR="00C95434" w:rsidRPr="00597E56">
        <w:rPr>
          <w:rStyle w:val="Emphasis"/>
          <w:rFonts w:ascii="Palatino Linotype" w:hAnsi="Palatino Linotype" w:cstheme="minorHAnsi"/>
          <w:sz w:val="22"/>
        </w:rPr>
        <w:t>:</w:t>
      </w:r>
    </w:p>
    <w:p w14:paraId="5BEA57A7" w14:textId="77777777" w:rsidR="00642941" w:rsidRPr="00597E56" w:rsidRDefault="00642941" w:rsidP="00F1501F">
      <w:pPr>
        <w:spacing w:after="0" w:line="240" w:lineRule="auto"/>
        <w:ind w:left="567"/>
        <w:jc w:val="both"/>
        <w:rPr>
          <w:rStyle w:val="Emphasis"/>
          <w:rFonts w:ascii="Palatino Linotype" w:hAnsi="Palatino Linotype" w:cstheme="minorHAnsi"/>
          <w:i/>
          <w:sz w:val="22"/>
        </w:rPr>
      </w:pPr>
    </w:p>
    <w:p w14:paraId="5D6B29E7" w14:textId="3FFDC2D7" w:rsidR="00C95434" w:rsidRPr="00597E56" w:rsidRDefault="00314905" w:rsidP="00F1501F">
      <w:pPr>
        <w:spacing w:after="0" w:line="240" w:lineRule="auto"/>
        <w:ind w:left="567"/>
        <w:jc w:val="both"/>
        <w:rPr>
          <w:rStyle w:val="Emphasis"/>
          <w:rFonts w:ascii="Palatino Linotype" w:hAnsi="Palatino Linotype" w:cstheme="minorHAnsi"/>
          <w:i/>
          <w:sz w:val="22"/>
        </w:rPr>
      </w:pPr>
      <w:r w:rsidRPr="00597E56">
        <w:rPr>
          <w:rStyle w:val="Emphasis"/>
          <w:rFonts w:ascii="Palatino Linotype" w:hAnsi="Palatino Linotype" w:cstheme="minorHAnsi"/>
          <w:i/>
          <w:sz w:val="22"/>
        </w:rPr>
        <w:lastRenderedPageBreak/>
        <w:t>…. actual</w:t>
      </w:r>
      <w:r w:rsidR="00C95434" w:rsidRPr="00597E56">
        <w:rPr>
          <w:rStyle w:val="Emphasis"/>
          <w:rFonts w:ascii="Palatino Linotype" w:hAnsi="Palatino Linotype" w:cstheme="minorHAnsi"/>
          <w:i/>
          <w:sz w:val="22"/>
        </w:rPr>
        <w:t xml:space="preserve"> ownership of certain minerals is vested in the Aboriginal owners who have absolute powers to refuse exploration and mining or, if they consent, to receive royalties</w:t>
      </w:r>
      <w:r w:rsidR="0012573E" w:rsidRPr="00597E56">
        <w:rPr>
          <w:rStyle w:val="Emphasis"/>
          <w:rFonts w:ascii="Palatino Linotype" w:hAnsi="Palatino Linotype" w:cstheme="minorHAnsi"/>
          <w:sz w:val="22"/>
        </w:rPr>
        <w:t xml:space="preserve"> (McCrae et al,2003, p.225).</w:t>
      </w:r>
    </w:p>
    <w:p w14:paraId="73335EDA" w14:textId="77777777" w:rsidR="00C95434" w:rsidRPr="00597E56" w:rsidRDefault="00C95434" w:rsidP="00F1501F">
      <w:pPr>
        <w:spacing w:after="0" w:line="240" w:lineRule="auto"/>
        <w:ind w:left="567"/>
        <w:jc w:val="both"/>
        <w:rPr>
          <w:rStyle w:val="Emphasis"/>
          <w:rFonts w:ascii="Palatino Linotype" w:hAnsi="Palatino Linotype" w:cstheme="minorHAnsi"/>
          <w:i/>
          <w:sz w:val="22"/>
        </w:rPr>
      </w:pPr>
    </w:p>
    <w:p w14:paraId="3DE9B7D0" w14:textId="3AD5B81E" w:rsidR="0015226D" w:rsidRPr="00597E56" w:rsidRDefault="00122867" w:rsidP="00F1501F">
      <w:pPr>
        <w:spacing w:after="0" w:line="240" w:lineRule="auto"/>
        <w:jc w:val="both"/>
        <w:rPr>
          <w:rStyle w:val="Emphasis"/>
          <w:rFonts w:ascii="Palatino Linotype" w:hAnsi="Palatino Linotype" w:cstheme="minorHAnsi"/>
          <w:sz w:val="22"/>
        </w:rPr>
      </w:pPr>
      <w:r w:rsidRPr="00597E56">
        <w:rPr>
          <w:rStyle w:val="Emphasis"/>
          <w:rFonts w:ascii="Palatino Linotype" w:hAnsi="Palatino Linotype" w:cstheme="minorHAnsi"/>
          <w:sz w:val="22"/>
        </w:rPr>
        <w:t>Before proceeding further, it is useful to note that the market value of any</w:t>
      </w:r>
      <w:r w:rsidR="00C95434" w:rsidRPr="00597E56">
        <w:rPr>
          <w:rStyle w:val="Emphasis"/>
          <w:rFonts w:ascii="Palatino Linotype" w:hAnsi="Palatino Linotype" w:cstheme="minorHAnsi"/>
          <w:sz w:val="22"/>
        </w:rPr>
        <w:t xml:space="preserve"> land</w:t>
      </w:r>
      <w:r w:rsidRPr="00597E56">
        <w:rPr>
          <w:rStyle w:val="Emphasis"/>
          <w:rFonts w:ascii="Palatino Linotype" w:hAnsi="Palatino Linotype" w:cstheme="minorHAnsi"/>
          <w:sz w:val="22"/>
        </w:rPr>
        <w:t xml:space="preserve"> that </w:t>
      </w:r>
      <w:r w:rsidRPr="00597E56">
        <w:rPr>
          <w:rFonts w:ascii="Palatino Linotype" w:eastAsia="Calibri" w:hAnsi="Palatino Linotype" w:cstheme="minorHAnsi"/>
          <w:lang w:eastAsia="en-AU"/>
        </w:rPr>
        <w:t>has been granted in freehold title to an Aboriginal Land Council (or is likely to be successfully determined by the Minister in favour of a claimant)</w:t>
      </w:r>
      <w:r w:rsidR="00C95434" w:rsidRPr="00597E56">
        <w:rPr>
          <w:rStyle w:val="Emphasis"/>
          <w:rFonts w:ascii="Palatino Linotype" w:hAnsi="Palatino Linotype" w:cstheme="minorHAnsi"/>
          <w:sz w:val="22"/>
        </w:rPr>
        <w:t xml:space="preserve"> </w:t>
      </w:r>
      <w:r w:rsidRPr="00597E56">
        <w:rPr>
          <w:rStyle w:val="Emphasis"/>
          <w:rFonts w:ascii="Palatino Linotype" w:hAnsi="Palatino Linotype" w:cstheme="minorHAnsi"/>
          <w:sz w:val="22"/>
        </w:rPr>
        <w:t>should</w:t>
      </w:r>
      <w:r w:rsidR="0015226D" w:rsidRPr="00597E56">
        <w:rPr>
          <w:rStyle w:val="Emphasis"/>
          <w:rFonts w:ascii="Palatino Linotype" w:hAnsi="Palatino Linotype" w:cstheme="minorHAnsi"/>
          <w:sz w:val="22"/>
        </w:rPr>
        <w:t xml:space="preserve"> </w:t>
      </w:r>
      <w:r w:rsidR="00EB6CE9" w:rsidRPr="00597E56">
        <w:rPr>
          <w:rStyle w:val="Emphasis"/>
          <w:rFonts w:ascii="Palatino Linotype" w:hAnsi="Palatino Linotype" w:cstheme="minorHAnsi"/>
          <w:sz w:val="22"/>
        </w:rPr>
        <w:t xml:space="preserve">arguably </w:t>
      </w:r>
      <w:r w:rsidR="00D40D76" w:rsidRPr="00597E56">
        <w:rPr>
          <w:rStyle w:val="Emphasis"/>
          <w:rFonts w:ascii="Palatino Linotype" w:hAnsi="Palatino Linotype" w:cstheme="minorHAnsi"/>
          <w:sz w:val="22"/>
        </w:rPr>
        <w:t xml:space="preserve">also </w:t>
      </w:r>
      <w:r w:rsidRPr="00597E56">
        <w:rPr>
          <w:rStyle w:val="Emphasis"/>
          <w:rFonts w:ascii="Palatino Linotype" w:hAnsi="Palatino Linotype" w:cstheme="minorHAnsi"/>
          <w:sz w:val="22"/>
        </w:rPr>
        <w:t>reflect a prudent uplift in value of the land in recognition of</w:t>
      </w:r>
      <w:r w:rsidR="00C95434" w:rsidRPr="00597E56">
        <w:rPr>
          <w:rStyle w:val="Emphasis"/>
          <w:rFonts w:ascii="Palatino Linotype" w:hAnsi="Palatino Linotype" w:cstheme="minorHAnsi"/>
          <w:sz w:val="22"/>
        </w:rPr>
        <w:t xml:space="preserve"> the value of any mineral</w:t>
      </w:r>
      <w:r w:rsidRPr="00597E56">
        <w:rPr>
          <w:rStyle w:val="Emphasis"/>
          <w:rFonts w:ascii="Palatino Linotype" w:hAnsi="Palatino Linotype" w:cstheme="minorHAnsi"/>
          <w:sz w:val="22"/>
        </w:rPr>
        <w:t>s</w:t>
      </w:r>
      <w:r w:rsidR="00C95434" w:rsidRPr="00597E56">
        <w:rPr>
          <w:rStyle w:val="Emphasis"/>
          <w:rFonts w:ascii="Palatino Linotype" w:hAnsi="Palatino Linotype" w:cstheme="minorHAnsi"/>
          <w:sz w:val="22"/>
        </w:rPr>
        <w:t xml:space="preserve"> and natural resources in situ.</w:t>
      </w:r>
      <w:r w:rsidR="0015226D" w:rsidRPr="00597E56">
        <w:rPr>
          <w:rStyle w:val="Emphasis"/>
          <w:rFonts w:ascii="Palatino Linotype" w:hAnsi="Palatino Linotype" w:cstheme="minorHAnsi"/>
          <w:sz w:val="22"/>
        </w:rPr>
        <w:t xml:space="preserve"> </w:t>
      </w:r>
    </w:p>
    <w:p w14:paraId="357C3531" w14:textId="77777777" w:rsidR="0015226D" w:rsidRPr="00597E56" w:rsidRDefault="0015226D" w:rsidP="00F1501F">
      <w:pPr>
        <w:spacing w:after="0" w:line="240" w:lineRule="auto"/>
        <w:jc w:val="both"/>
        <w:rPr>
          <w:rStyle w:val="Emphasis"/>
          <w:rFonts w:ascii="Palatino Linotype" w:hAnsi="Palatino Linotype" w:cstheme="minorHAnsi"/>
          <w:sz w:val="22"/>
        </w:rPr>
      </w:pPr>
    </w:p>
    <w:p w14:paraId="31268AE5" w14:textId="47BE5356" w:rsidR="0015226D" w:rsidRPr="00597E56" w:rsidRDefault="0015226D" w:rsidP="00F1501F">
      <w:pPr>
        <w:spacing w:after="0" w:line="240" w:lineRule="auto"/>
        <w:jc w:val="both"/>
        <w:rPr>
          <w:rStyle w:val="Emphasis"/>
          <w:rFonts w:ascii="Palatino Linotype" w:hAnsi="Palatino Linotype" w:cstheme="minorHAnsi"/>
          <w:sz w:val="22"/>
        </w:rPr>
      </w:pPr>
      <w:r w:rsidRPr="00597E56">
        <w:rPr>
          <w:rStyle w:val="Emphasis"/>
          <w:rFonts w:ascii="Palatino Linotype" w:hAnsi="Palatino Linotype" w:cstheme="minorHAnsi"/>
          <w:sz w:val="22"/>
        </w:rPr>
        <w:t xml:space="preserve">In addition, whilst </w:t>
      </w:r>
      <w:r w:rsidRPr="00597E56">
        <w:rPr>
          <w:rStyle w:val="Emphasis"/>
          <w:rFonts w:ascii="Palatino Linotype" w:hAnsi="Palatino Linotype" w:cstheme="minorHAnsi"/>
          <w:i/>
          <w:sz w:val="22"/>
        </w:rPr>
        <w:t>s.36(</w:t>
      </w:r>
      <w:proofErr w:type="gramStart"/>
      <w:r w:rsidRPr="00597E56">
        <w:rPr>
          <w:rStyle w:val="Emphasis"/>
          <w:rFonts w:ascii="Palatino Linotype" w:hAnsi="Palatino Linotype" w:cstheme="minorHAnsi"/>
          <w:i/>
          <w:sz w:val="22"/>
        </w:rPr>
        <w:t>1)(</w:t>
      </w:r>
      <w:proofErr w:type="gramEnd"/>
      <w:r w:rsidRPr="00597E56">
        <w:rPr>
          <w:rStyle w:val="Emphasis"/>
          <w:rFonts w:ascii="Palatino Linotype" w:hAnsi="Palatino Linotype" w:cstheme="minorHAnsi"/>
          <w:i/>
          <w:sz w:val="22"/>
        </w:rPr>
        <w:t xml:space="preserve">d-e) </w:t>
      </w:r>
      <w:r w:rsidRPr="00597E56">
        <w:rPr>
          <w:rStyle w:val="Emphasis"/>
          <w:rFonts w:ascii="Palatino Linotype" w:hAnsi="Palatino Linotype" w:cstheme="minorHAnsi"/>
          <w:sz w:val="22"/>
        </w:rPr>
        <w:t>directs</w:t>
      </w:r>
      <w:r w:rsidRPr="00597E56">
        <w:rPr>
          <w:rStyle w:val="Emphasis"/>
          <w:rFonts w:ascii="Palatino Linotype" w:hAnsi="Palatino Linotype" w:cstheme="minorHAnsi"/>
          <w:i/>
          <w:sz w:val="22"/>
        </w:rPr>
        <w:t xml:space="preserve"> </w:t>
      </w:r>
      <w:r w:rsidRPr="00597E56">
        <w:rPr>
          <w:rStyle w:val="Emphasis"/>
          <w:rFonts w:ascii="Palatino Linotype" w:hAnsi="Palatino Linotype" w:cstheme="minorHAnsi"/>
          <w:sz w:val="22"/>
        </w:rPr>
        <w:t xml:space="preserve">that the existence of native title determinations or claims will preclude an Aboriginal land claim, the presence </w:t>
      </w:r>
      <w:r w:rsidR="000425DF" w:rsidRPr="00597E56">
        <w:rPr>
          <w:rStyle w:val="Emphasis"/>
          <w:rFonts w:ascii="Palatino Linotype" w:hAnsi="Palatino Linotype" w:cstheme="minorHAnsi"/>
          <w:sz w:val="22"/>
        </w:rPr>
        <w:t xml:space="preserve">of native title on surrounding (or nearby) </w:t>
      </w:r>
      <w:r w:rsidRPr="00597E56">
        <w:rPr>
          <w:rStyle w:val="Emphasis"/>
          <w:rFonts w:ascii="Palatino Linotype" w:hAnsi="Palatino Linotype" w:cstheme="minorHAnsi"/>
          <w:sz w:val="22"/>
        </w:rPr>
        <w:t xml:space="preserve">lands </w:t>
      </w:r>
      <w:r w:rsidR="000425DF" w:rsidRPr="00597E56">
        <w:rPr>
          <w:rStyle w:val="Emphasis"/>
          <w:rFonts w:ascii="Palatino Linotype" w:hAnsi="Palatino Linotype" w:cstheme="minorHAnsi"/>
          <w:sz w:val="22"/>
        </w:rPr>
        <w:t xml:space="preserve">would suggest that the broader area could be of </w:t>
      </w:r>
      <w:r w:rsidRPr="00597E56">
        <w:rPr>
          <w:rStyle w:val="Emphasis"/>
          <w:rFonts w:ascii="Palatino Linotype" w:hAnsi="Palatino Linotype" w:cstheme="minorHAnsi"/>
          <w:sz w:val="22"/>
        </w:rPr>
        <w:t>significant interest to Indigenous people who speak for traditional country.   The discontinuance or dismissal of native title claims is not in itself an indicator that native title has not sur</w:t>
      </w:r>
      <w:r w:rsidR="000425DF" w:rsidRPr="00597E56">
        <w:rPr>
          <w:rStyle w:val="Emphasis"/>
          <w:rFonts w:ascii="Palatino Linotype" w:hAnsi="Palatino Linotype" w:cstheme="minorHAnsi"/>
          <w:sz w:val="22"/>
        </w:rPr>
        <w:t>vived in the area</w:t>
      </w:r>
      <w:r w:rsidRPr="00597E56">
        <w:rPr>
          <w:rStyle w:val="Emphasis"/>
          <w:rFonts w:ascii="Palatino Linotype" w:hAnsi="Palatino Linotype" w:cstheme="minorHAnsi"/>
          <w:sz w:val="22"/>
        </w:rPr>
        <w:t>, but merely a reflection of the artificial, albeit real l</w:t>
      </w:r>
      <w:r w:rsidR="000425DF" w:rsidRPr="00597E56">
        <w:rPr>
          <w:rStyle w:val="Emphasis"/>
          <w:rFonts w:ascii="Palatino Linotype" w:hAnsi="Palatino Linotype" w:cstheme="minorHAnsi"/>
          <w:sz w:val="22"/>
        </w:rPr>
        <w:t xml:space="preserve">egal threshold of </w:t>
      </w:r>
      <w:r w:rsidR="000425DF" w:rsidRPr="00597E56">
        <w:rPr>
          <w:rStyle w:val="Emphasis"/>
          <w:rFonts w:ascii="Palatino Linotype" w:hAnsi="Palatino Linotype" w:cstheme="minorHAnsi"/>
          <w:i/>
          <w:sz w:val="22"/>
        </w:rPr>
        <w:t>s.36(</w:t>
      </w:r>
      <w:proofErr w:type="gramStart"/>
      <w:r w:rsidR="000425DF" w:rsidRPr="00597E56">
        <w:rPr>
          <w:rStyle w:val="Emphasis"/>
          <w:rFonts w:ascii="Palatino Linotype" w:hAnsi="Palatino Linotype" w:cstheme="minorHAnsi"/>
          <w:i/>
          <w:sz w:val="22"/>
        </w:rPr>
        <w:t>1)(</w:t>
      </w:r>
      <w:proofErr w:type="gramEnd"/>
      <w:r w:rsidR="000425DF" w:rsidRPr="00597E56">
        <w:rPr>
          <w:rStyle w:val="Emphasis"/>
          <w:rFonts w:ascii="Palatino Linotype" w:hAnsi="Palatino Linotype" w:cstheme="minorHAnsi"/>
          <w:i/>
          <w:sz w:val="22"/>
        </w:rPr>
        <w:t>d-e)</w:t>
      </w:r>
      <w:r w:rsidRPr="00597E56">
        <w:rPr>
          <w:rStyle w:val="Emphasis"/>
          <w:rFonts w:ascii="Palatino Linotype" w:hAnsi="Palatino Linotype" w:cstheme="minorHAnsi"/>
          <w:i/>
          <w:sz w:val="22"/>
        </w:rPr>
        <w:t>.</w:t>
      </w:r>
      <w:r w:rsidRPr="00597E56">
        <w:rPr>
          <w:rStyle w:val="Emphasis"/>
          <w:rFonts w:ascii="Palatino Linotype" w:hAnsi="Palatino Linotype" w:cstheme="minorHAnsi"/>
          <w:sz w:val="22"/>
        </w:rPr>
        <w:t xml:space="preserve"> Further, the absence of evidence of continued or recent physical occupation of land is not </w:t>
      </w:r>
      <w:r w:rsidR="000F495D" w:rsidRPr="00597E56">
        <w:rPr>
          <w:rStyle w:val="Emphasis"/>
          <w:rFonts w:ascii="Palatino Linotype" w:hAnsi="Palatino Linotype" w:cstheme="minorHAnsi"/>
          <w:sz w:val="22"/>
        </w:rPr>
        <w:t>a prerequisite</w:t>
      </w:r>
      <w:r w:rsidRPr="00597E56">
        <w:rPr>
          <w:rStyle w:val="Emphasis"/>
          <w:rFonts w:ascii="Palatino Linotype" w:hAnsi="Palatino Linotype" w:cstheme="minorHAnsi"/>
          <w:sz w:val="22"/>
        </w:rPr>
        <w:t xml:space="preserve"> for “connection with the land” and hence the s</w:t>
      </w:r>
      <w:r w:rsidR="000425DF" w:rsidRPr="00597E56">
        <w:rPr>
          <w:rStyle w:val="Emphasis"/>
          <w:rFonts w:ascii="Palatino Linotype" w:hAnsi="Palatino Linotype" w:cstheme="minorHAnsi"/>
          <w:sz w:val="22"/>
        </w:rPr>
        <w:t>urvival of native title</w:t>
      </w:r>
      <w:r w:rsidR="0012573E" w:rsidRPr="00597E56">
        <w:rPr>
          <w:rStyle w:val="Emphasis"/>
          <w:rFonts w:ascii="Palatino Linotype" w:hAnsi="Palatino Linotype" w:cstheme="minorHAnsi"/>
          <w:sz w:val="22"/>
        </w:rPr>
        <w:t xml:space="preserve"> (Australian Law Reform Commission, 2014, p.118).</w:t>
      </w:r>
    </w:p>
    <w:p w14:paraId="2CA6E40C" w14:textId="77777777" w:rsidR="00642941" w:rsidRPr="00597E56" w:rsidRDefault="00642941" w:rsidP="00F1501F">
      <w:pPr>
        <w:spacing w:after="0" w:line="240" w:lineRule="auto"/>
        <w:jc w:val="both"/>
        <w:rPr>
          <w:rStyle w:val="Emphasis"/>
          <w:rFonts w:ascii="Palatino Linotype" w:hAnsi="Palatino Linotype" w:cstheme="minorHAnsi"/>
          <w:sz w:val="22"/>
        </w:rPr>
      </w:pPr>
    </w:p>
    <w:p w14:paraId="7D049A15" w14:textId="276472B2" w:rsidR="0015226D" w:rsidRPr="00597E56" w:rsidRDefault="0015226D" w:rsidP="00F1501F">
      <w:pPr>
        <w:spacing w:after="0" w:line="240" w:lineRule="auto"/>
        <w:jc w:val="both"/>
        <w:rPr>
          <w:rStyle w:val="Emphasis"/>
          <w:rFonts w:ascii="Palatino Linotype" w:hAnsi="Palatino Linotype" w:cstheme="minorHAnsi"/>
          <w:sz w:val="22"/>
        </w:rPr>
      </w:pPr>
      <w:r w:rsidRPr="00597E56">
        <w:rPr>
          <w:rStyle w:val="Emphasis"/>
          <w:rFonts w:ascii="Palatino Linotype" w:hAnsi="Palatino Linotype" w:cstheme="minorHAnsi"/>
          <w:sz w:val="22"/>
        </w:rPr>
        <w:t>Further the existence of</w:t>
      </w:r>
      <w:r w:rsidR="000425DF" w:rsidRPr="00597E56">
        <w:rPr>
          <w:rStyle w:val="Emphasis"/>
          <w:rFonts w:ascii="Palatino Linotype" w:hAnsi="Palatino Linotype" w:cstheme="minorHAnsi"/>
          <w:sz w:val="22"/>
        </w:rPr>
        <w:t xml:space="preserve"> any</w:t>
      </w:r>
      <w:r w:rsidRPr="00597E56">
        <w:rPr>
          <w:rStyle w:val="Emphasis"/>
          <w:rFonts w:ascii="Palatino Linotype" w:hAnsi="Palatino Linotype" w:cstheme="minorHAnsi"/>
          <w:sz w:val="22"/>
        </w:rPr>
        <w:t xml:space="preserve"> ‘Aboriginal Sites’ registered under the Aboriginal Heritage Information Management System (AHIMS) of the </w:t>
      </w:r>
      <w:r w:rsidRPr="00597E56">
        <w:rPr>
          <w:rStyle w:val="Emphasis"/>
          <w:rFonts w:ascii="Palatino Linotype" w:hAnsi="Palatino Linotype" w:cstheme="minorHAnsi"/>
          <w:i/>
          <w:sz w:val="22"/>
        </w:rPr>
        <w:t xml:space="preserve">National Parks and Wildlife Act 1974 </w:t>
      </w:r>
      <w:r w:rsidRPr="00597E56">
        <w:rPr>
          <w:rStyle w:val="Emphasis"/>
          <w:rFonts w:ascii="Palatino Linotype" w:hAnsi="Palatino Linotype" w:cstheme="minorHAnsi"/>
          <w:sz w:val="22"/>
        </w:rPr>
        <w:t xml:space="preserve">(NSW) is increasingly regarded as a tool providing an alignment between Indigenous heritage protection legislation and </w:t>
      </w:r>
      <w:r w:rsidR="00EB6CE9" w:rsidRPr="00597E56">
        <w:rPr>
          <w:rStyle w:val="Emphasis"/>
          <w:rFonts w:ascii="Palatino Linotype" w:hAnsi="Palatino Linotype" w:cstheme="minorHAnsi"/>
          <w:sz w:val="22"/>
        </w:rPr>
        <w:t xml:space="preserve">recognition of </w:t>
      </w:r>
      <w:r w:rsidRPr="00597E56">
        <w:rPr>
          <w:rStyle w:val="Emphasis"/>
          <w:rFonts w:ascii="Palatino Linotype" w:hAnsi="Palatino Linotype" w:cstheme="minorHAnsi"/>
          <w:sz w:val="22"/>
        </w:rPr>
        <w:t>native title</w:t>
      </w:r>
      <w:r w:rsidR="0012573E" w:rsidRPr="00597E56">
        <w:rPr>
          <w:rStyle w:val="Emphasis"/>
          <w:rFonts w:ascii="Palatino Linotype" w:hAnsi="Palatino Linotype" w:cstheme="minorHAnsi"/>
          <w:sz w:val="22"/>
        </w:rPr>
        <w:t xml:space="preserve"> </w:t>
      </w:r>
      <w:r w:rsidR="008D45F1" w:rsidRPr="00597E56">
        <w:rPr>
          <w:rStyle w:val="Emphasis"/>
          <w:rFonts w:ascii="Palatino Linotype" w:hAnsi="Palatino Linotype" w:cstheme="minorHAnsi"/>
          <w:sz w:val="22"/>
        </w:rPr>
        <w:t xml:space="preserve">(Productivity Commission, </w:t>
      </w:r>
      <w:r w:rsidR="00793AAA" w:rsidRPr="00597E56">
        <w:rPr>
          <w:rStyle w:val="Emphasis"/>
          <w:rFonts w:ascii="Palatino Linotype" w:hAnsi="Palatino Linotype" w:cstheme="minorHAnsi"/>
          <w:sz w:val="22"/>
        </w:rPr>
        <w:t>2023, p.</w:t>
      </w:r>
      <w:r w:rsidR="008D45F1" w:rsidRPr="00597E56">
        <w:rPr>
          <w:rStyle w:val="Emphasis"/>
          <w:rFonts w:ascii="Palatino Linotype" w:hAnsi="Palatino Linotype" w:cstheme="minorHAnsi"/>
          <w:sz w:val="22"/>
        </w:rPr>
        <w:t xml:space="preserve">160). </w:t>
      </w:r>
      <w:r w:rsidRPr="00597E56">
        <w:rPr>
          <w:rStyle w:val="Emphasis"/>
          <w:rFonts w:ascii="Palatino Linotype" w:hAnsi="Palatino Linotype" w:cstheme="minorHAnsi"/>
          <w:sz w:val="22"/>
        </w:rPr>
        <w:t xml:space="preserve">A search of AHIMS </w:t>
      </w:r>
      <w:r w:rsidR="000425DF" w:rsidRPr="00597E56">
        <w:rPr>
          <w:rStyle w:val="Emphasis"/>
          <w:rFonts w:ascii="Palatino Linotype" w:hAnsi="Palatino Linotype" w:cstheme="minorHAnsi"/>
          <w:sz w:val="22"/>
        </w:rPr>
        <w:t>is an important exercise to identify any</w:t>
      </w:r>
      <w:r w:rsidRPr="00597E56">
        <w:rPr>
          <w:rStyle w:val="Emphasis"/>
          <w:rFonts w:ascii="Palatino Linotype" w:hAnsi="Palatino Linotype" w:cstheme="minorHAnsi"/>
          <w:sz w:val="22"/>
        </w:rPr>
        <w:t xml:space="preserve"> registered </w:t>
      </w:r>
      <w:r w:rsidR="00391128" w:rsidRPr="00597E56">
        <w:rPr>
          <w:rStyle w:val="Emphasis"/>
          <w:rFonts w:ascii="Palatino Linotype" w:hAnsi="Palatino Linotype" w:cstheme="minorHAnsi"/>
          <w:sz w:val="22"/>
        </w:rPr>
        <w:t xml:space="preserve">sites within an appropriate </w:t>
      </w:r>
      <w:r w:rsidRPr="00597E56">
        <w:rPr>
          <w:rStyle w:val="Emphasis"/>
          <w:rFonts w:ascii="Palatino Linotype" w:hAnsi="Palatino Linotype" w:cstheme="minorHAnsi"/>
          <w:sz w:val="22"/>
        </w:rPr>
        <w:t>radius of th</w:t>
      </w:r>
      <w:r w:rsidR="000425DF" w:rsidRPr="00597E56">
        <w:rPr>
          <w:rStyle w:val="Emphasis"/>
          <w:rFonts w:ascii="Palatino Linotype" w:hAnsi="Palatino Linotype" w:cstheme="minorHAnsi"/>
          <w:sz w:val="22"/>
        </w:rPr>
        <w:t>e proposed infrastructure construction</w:t>
      </w:r>
      <w:r w:rsidRPr="00597E56">
        <w:rPr>
          <w:rStyle w:val="Emphasis"/>
          <w:rFonts w:ascii="Palatino Linotype" w:hAnsi="Palatino Linotype" w:cstheme="minorHAnsi"/>
          <w:sz w:val="22"/>
        </w:rPr>
        <w:t>.</w:t>
      </w:r>
    </w:p>
    <w:p w14:paraId="45BA7E2A" w14:textId="77777777" w:rsidR="00077BC2" w:rsidRPr="00597E56" w:rsidRDefault="00077BC2" w:rsidP="00F1501F">
      <w:pPr>
        <w:spacing w:after="0" w:line="240" w:lineRule="auto"/>
        <w:jc w:val="both"/>
        <w:rPr>
          <w:rStyle w:val="Emphasis"/>
          <w:rFonts w:ascii="Palatino Linotype" w:hAnsi="Palatino Linotype" w:cstheme="minorHAnsi"/>
          <w:i/>
          <w:sz w:val="22"/>
        </w:rPr>
      </w:pPr>
    </w:p>
    <w:p w14:paraId="33171DF0" w14:textId="77777777" w:rsidR="00642941" w:rsidRPr="00597E56" w:rsidRDefault="00642941" w:rsidP="00F1501F">
      <w:pPr>
        <w:spacing w:after="0" w:line="240" w:lineRule="auto"/>
        <w:ind w:left="567"/>
        <w:jc w:val="both"/>
        <w:rPr>
          <w:rStyle w:val="Emphasis"/>
          <w:rFonts w:ascii="Palatino Linotype" w:hAnsi="Palatino Linotype" w:cstheme="minorHAnsi"/>
          <w:i/>
          <w:sz w:val="22"/>
        </w:rPr>
      </w:pPr>
    </w:p>
    <w:p w14:paraId="25F1DD66" w14:textId="20E2B5A5" w:rsidR="006476CB" w:rsidRPr="00597E56" w:rsidRDefault="00391128" w:rsidP="00F1501F">
      <w:pPr>
        <w:spacing w:after="0" w:line="240" w:lineRule="auto"/>
        <w:jc w:val="both"/>
        <w:rPr>
          <w:rStyle w:val="Emphasis"/>
          <w:rFonts w:ascii="Palatino Linotype" w:hAnsi="Palatino Linotype" w:cstheme="minorHAnsi"/>
          <w:sz w:val="22"/>
        </w:rPr>
      </w:pPr>
      <w:r w:rsidRPr="00597E56">
        <w:rPr>
          <w:rStyle w:val="Emphasis"/>
          <w:rFonts w:ascii="Palatino Linotype" w:hAnsi="Palatino Linotype" w:cstheme="minorHAnsi"/>
          <w:sz w:val="22"/>
        </w:rPr>
        <w:t>T</w:t>
      </w:r>
      <w:r w:rsidR="0015226D" w:rsidRPr="00597E56">
        <w:rPr>
          <w:rStyle w:val="Emphasis"/>
          <w:rFonts w:ascii="Palatino Linotype" w:hAnsi="Palatino Linotype" w:cstheme="minorHAnsi"/>
          <w:sz w:val="22"/>
        </w:rPr>
        <w:t xml:space="preserve">he importance of </w:t>
      </w:r>
      <w:r w:rsidR="006476CB" w:rsidRPr="00597E56">
        <w:rPr>
          <w:rStyle w:val="Emphasis"/>
          <w:rFonts w:ascii="Palatino Linotype" w:hAnsi="Palatino Linotype" w:cstheme="minorHAnsi"/>
          <w:sz w:val="22"/>
        </w:rPr>
        <w:t>physical evidence such as</w:t>
      </w:r>
      <w:r w:rsidRPr="00597E56">
        <w:rPr>
          <w:rStyle w:val="Emphasis"/>
          <w:rFonts w:ascii="Palatino Linotype" w:hAnsi="Palatino Linotype" w:cstheme="minorHAnsi"/>
          <w:sz w:val="22"/>
        </w:rPr>
        <w:t xml:space="preserve"> scarred </w:t>
      </w:r>
      <w:r w:rsidR="006476CB" w:rsidRPr="00597E56">
        <w:rPr>
          <w:rStyle w:val="Emphasis"/>
          <w:rFonts w:ascii="Palatino Linotype" w:hAnsi="Palatino Linotype" w:cstheme="minorHAnsi"/>
          <w:sz w:val="22"/>
        </w:rPr>
        <w:t xml:space="preserve">or carved trees (known as </w:t>
      </w:r>
      <w:r w:rsidR="008D45F1" w:rsidRPr="00597E56">
        <w:rPr>
          <w:rStyle w:val="Emphasis"/>
          <w:rFonts w:ascii="Palatino Linotype" w:hAnsi="Palatino Linotype" w:cstheme="minorHAnsi"/>
          <w:sz w:val="22"/>
        </w:rPr>
        <w:t>dendroglyphs, Etheridge</w:t>
      </w:r>
      <w:r w:rsidR="00712F85" w:rsidRPr="00597E56">
        <w:rPr>
          <w:rStyle w:val="Emphasis"/>
          <w:rFonts w:ascii="Palatino Linotype" w:hAnsi="Palatino Linotype" w:cstheme="minorHAnsi"/>
          <w:sz w:val="22"/>
        </w:rPr>
        <w:t xml:space="preserve">,1919) </w:t>
      </w:r>
      <w:r w:rsidR="00690081" w:rsidRPr="00597E56">
        <w:rPr>
          <w:rStyle w:val="Emphasis"/>
          <w:rFonts w:ascii="Palatino Linotype" w:hAnsi="Palatino Linotype" w:cstheme="minorHAnsi"/>
          <w:sz w:val="22"/>
        </w:rPr>
        <w:t>as</w:t>
      </w:r>
      <w:r w:rsidR="006476CB" w:rsidRPr="00597E56">
        <w:rPr>
          <w:rStyle w:val="Emphasis"/>
          <w:rFonts w:ascii="Palatino Linotype" w:hAnsi="Palatino Linotype" w:cstheme="minorHAnsi"/>
          <w:sz w:val="22"/>
        </w:rPr>
        <w:t xml:space="preserve"> support for Indigenous contentions </w:t>
      </w:r>
      <w:r w:rsidR="00140454" w:rsidRPr="00597E56">
        <w:rPr>
          <w:rStyle w:val="Emphasis"/>
          <w:rFonts w:ascii="Palatino Linotype" w:hAnsi="Palatino Linotype" w:cstheme="minorHAnsi"/>
          <w:sz w:val="22"/>
        </w:rPr>
        <w:t>of</w:t>
      </w:r>
      <w:r w:rsidR="006476CB" w:rsidRPr="00597E56">
        <w:rPr>
          <w:rStyle w:val="Emphasis"/>
          <w:rFonts w:ascii="Palatino Linotype" w:hAnsi="Palatino Linotype" w:cstheme="minorHAnsi"/>
          <w:sz w:val="22"/>
        </w:rPr>
        <w:t xml:space="preserve"> “connection to land” as previously mentioned</w:t>
      </w:r>
      <w:r w:rsidR="00140454" w:rsidRPr="00597E56">
        <w:rPr>
          <w:rStyle w:val="Emphasis"/>
          <w:rFonts w:ascii="Palatino Linotype" w:hAnsi="Palatino Linotype" w:cstheme="minorHAnsi"/>
          <w:sz w:val="22"/>
        </w:rPr>
        <w:t>,</w:t>
      </w:r>
      <w:r w:rsidR="008C40B9" w:rsidRPr="00597E56">
        <w:rPr>
          <w:rStyle w:val="Emphasis"/>
          <w:rFonts w:ascii="Palatino Linotype" w:hAnsi="Palatino Linotype" w:cstheme="minorHAnsi"/>
          <w:sz w:val="22"/>
        </w:rPr>
        <w:t xml:space="preserve"> </w:t>
      </w:r>
      <w:r w:rsidR="00690081" w:rsidRPr="00597E56">
        <w:rPr>
          <w:rStyle w:val="Emphasis"/>
          <w:rFonts w:ascii="Palatino Linotype" w:hAnsi="Palatino Linotype" w:cstheme="minorHAnsi"/>
          <w:sz w:val="22"/>
        </w:rPr>
        <w:t xml:space="preserve">is </w:t>
      </w:r>
      <w:r w:rsidR="008C40B9" w:rsidRPr="00597E56">
        <w:rPr>
          <w:rStyle w:val="Emphasis"/>
          <w:rFonts w:ascii="Palatino Linotype" w:hAnsi="Palatino Linotype" w:cstheme="minorHAnsi"/>
          <w:sz w:val="22"/>
        </w:rPr>
        <w:t>described as follows</w:t>
      </w:r>
      <w:r w:rsidR="006476CB" w:rsidRPr="00597E56">
        <w:rPr>
          <w:rStyle w:val="Emphasis"/>
          <w:rFonts w:ascii="Palatino Linotype" w:hAnsi="Palatino Linotype" w:cstheme="minorHAnsi"/>
          <w:sz w:val="22"/>
        </w:rPr>
        <w:t>:</w:t>
      </w:r>
    </w:p>
    <w:p w14:paraId="6826BEAE" w14:textId="77777777" w:rsidR="00642941" w:rsidRPr="00597E56" w:rsidRDefault="00642941" w:rsidP="00F1501F">
      <w:pPr>
        <w:spacing w:after="0" w:line="240" w:lineRule="auto"/>
        <w:ind w:left="567"/>
        <w:jc w:val="both"/>
        <w:rPr>
          <w:rStyle w:val="Emphasis"/>
          <w:rFonts w:ascii="Palatino Linotype" w:hAnsi="Palatino Linotype" w:cstheme="minorHAnsi"/>
          <w:sz w:val="22"/>
        </w:rPr>
      </w:pPr>
    </w:p>
    <w:p w14:paraId="4AC76C1F" w14:textId="5547B5E3" w:rsidR="006476CB" w:rsidRPr="00597E56" w:rsidRDefault="006476CB" w:rsidP="00F1501F">
      <w:pPr>
        <w:spacing w:after="0" w:line="240" w:lineRule="auto"/>
        <w:ind w:left="567"/>
        <w:jc w:val="both"/>
        <w:rPr>
          <w:rStyle w:val="Emphasis"/>
          <w:rFonts w:ascii="Palatino Linotype" w:hAnsi="Palatino Linotype" w:cs="Tahoma"/>
          <w:sz w:val="22"/>
        </w:rPr>
      </w:pPr>
      <w:r w:rsidRPr="00597E56">
        <w:rPr>
          <w:rStyle w:val="Emphasis"/>
          <w:rFonts w:ascii="Palatino Linotype" w:hAnsi="Palatino Linotype" w:cstheme="minorHAnsi"/>
          <w:i/>
          <w:sz w:val="22"/>
        </w:rPr>
        <w:t>The carvings were not merely decorative but were believed to be the tribal markings by which the deceased was known during life, with in addition, mention of any special accomplishments</w:t>
      </w:r>
      <w:r w:rsidRPr="00597E56">
        <w:rPr>
          <w:rStyle w:val="Emphasis"/>
          <w:rFonts w:ascii="Palatino Linotype" w:hAnsi="Palatino Linotype" w:cstheme="minorHAnsi"/>
          <w:sz w:val="22"/>
        </w:rPr>
        <w:t>.</w:t>
      </w:r>
      <w:r w:rsidR="004905A7" w:rsidRPr="00597E56">
        <w:rPr>
          <w:rStyle w:val="Emphasis"/>
          <w:rFonts w:ascii="Palatino Linotype" w:hAnsi="Palatino Linotype" w:cstheme="minorHAnsi"/>
          <w:sz w:val="22"/>
        </w:rPr>
        <w:t xml:space="preserve"> (Unger, 1995, p.9).</w:t>
      </w:r>
    </w:p>
    <w:p w14:paraId="1FD64FE9" w14:textId="77777777" w:rsidR="0015226D" w:rsidRPr="00597E56" w:rsidRDefault="0015226D" w:rsidP="00F1501F">
      <w:pPr>
        <w:spacing w:after="0" w:line="240" w:lineRule="auto"/>
        <w:ind w:left="567"/>
        <w:jc w:val="both"/>
        <w:rPr>
          <w:rStyle w:val="Emphasis"/>
          <w:rFonts w:ascii="Palatino Linotype" w:hAnsi="Palatino Linotype" w:cstheme="minorHAnsi"/>
          <w:sz w:val="22"/>
        </w:rPr>
      </w:pPr>
    </w:p>
    <w:p w14:paraId="0E68AA7C" w14:textId="2AB7A602" w:rsidR="008F0E6A" w:rsidRPr="00597E56" w:rsidRDefault="008F0E6A" w:rsidP="00F1501F">
      <w:pPr>
        <w:spacing w:after="0" w:line="240" w:lineRule="auto"/>
        <w:jc w:val="both"/>
        <w:rPr>
          <w:rStyle w:val="Emphasis"/>
          <w:rFonts w:ascii="Palatino Linotype" w:hAnsi="Palatino Linotype" w:cstheme="minorHAnsi"/>
          <w:sz w:val="22"/>
        </w:rPr>
      </w:pPr>
      <w:r w:rsidRPr="00597E56">
        <w:rPr>
          <w:rStyle w:val="Emphasis"/>
          <w:rFonts w:ascii="Palatino Linotype" w:hAnsi="Palatino Linotype" w:cstheme="minorHAnsi"/>
          <w:sz w:val="22"/>
        </w:rPr>
        <w:t>S</w:t>
      </w:r>
      <w:r w:rsidR="00FE621D" w:rsidRPr="00597E56">
        <w:rPr>
          <w:rStyle w:val="Emphasis"/>
          <w:rFonts w:ascii="Palatino Linotype" w:hAnsi="Palatino Linotype" w:cstheme="minorHAnsi"/>
          <w:sz w:val="22"/>
        </w:rPr>
        <w:t>ites containing individual objects such as rock carvings</w:t>
      </w:r>
      <w:r w:rsidRPr="00597E56">
        <w:rPr>
          <w:rStyle w:val="Emphasis"/>
          <w:rFonts w:ascii="Palatino Linotype" w:hAnsi="Palatino Linotype" w:cstheme="minorHAnsi"/>
          <w:sz w:val="22"/>
        </w:rPr>
        <w:t xml:space="preserve"> </w:t>
      </w:r>
      <w:r w:rsidR="00FE621D" w:rsidRPr="00597E56">
        <w:rPr>
          <w:rStyle w:val="Emphasis"/>
          <w:rFonts w:ascii="Palatino Linotype" w:hAnsi="Palatino Linotype" w:cstheme="minorHAnsi"/>
          <w:sz w:val="22"/>
        </w:rPr>
        <w:t>and dendroglyphs</w:t>
      </w:r>
      <w:r w:rsidRPr="00597E56">
        <w:rPr>
          <w:rStyle w:val="Emphasis"/>
          <w:rFonts w:ascii="Palatino Linotype" w:hAnsi="Palatino Linotype" w:cstheme="minorHAnsi"/>
          <w:sz w:val="22"/>
        </w:rPr>
        <w:t xml:space="preserve"> demand an understanding according to Packham, of the:</w:t>
      </w:r>
    </w:p>
    <w:p w14:paraId="41E653D6" w14:textId="77777777" w:rsidR="008F0E6A" w:rsidRPr="00597E56" w:rsidRDefault="008F0E6A" w:rsidP="00F1501F">
      <w:pPr>
        <w:spacing w:after="0" w:line="240" w:lineRule="auto"/>
        <w:jc w:val="both"/>
        <w:rPr>
          <w:rStyle w:val="Emphasis"/>
          <w:rFonts w:ascii="Palatino Linotype" w:hAnsi="Palatino Linotype" w:cstheme="minorHAnsi"/>
          <w:sz w:val="22"/>
        </w:rPr>
      </w:pPr>
    </w:p>
    <w:p w14:paraId="6E75595C" w14:textId="7A8A7AF9" w:rsidR="008F0E6A" w:rsidRPr="00597E56" w:rsidRDefault="009D1874" w:rsidP="00F1501F">
      <w:pPr>
        <w:spacing w:after="0" w:line="240" w:lineRule="auto"/>
        <w:ind w:left="567"/>
        <w:jc w:val="both"/>
        <w:rPr>
          <w:rStyle w:val="Emphasis"/>
          <w:rFonts w:ascii="Palatino Linotype" w:hAnsi="Palatino Linotype" w:cstheme="minorHAnsi"/>
          <w:i/>
          <w:iCs/>
          <w:sz w:val="22"/>
        </w:rPr>
      </w:pPr>
      <w:r w:rsidRPr="00597E56">
        <w:rPr>
          <w:rStyle w:val="Emphasis"/>
          <w:rFonts w:ascii="Palatino Linotype" w:hAnsi="Palatino Linotype" w:cstheme="minorHAnsi"/>
          <w:i/>
          <w:iCs/>
          <w:sz w:val="22"/>
        </w:rPr>
        <w:t>Aboriginal perspective</w:t>
      </w:r>
      <w:r w:rsidR="00FE621D" w:rsidRPr="00597E56">
        <w:rPr>
          <w:rStyle w:val="Emphasis"/>
          <w:rFonts w:ascii="Palatino Linotype" w:hAnsi="Palatino Linotype" w:cstheme="minorHAnsi"/>
          <w:i/>
          <w:iCs/>
          <w:sz w:val="22"/>
        </w:rPr>
        <w:t xml:space="preserve"> </w:t>
      </w:r>
      <w:r w:rsidR="008F0E6A" w:rsidRPr="00597E56">
        <w:rPr>
          <w:rStyle w:val="Emphasis"/>
          <w:rFonts w:ascii="Palatino Linotype" w:hAnsi="Palatino Linotype" w:cstheme="minorHAnsi"/>
          <w:i/>
          <w:iCs/>
          <w:sz w:val="22"/>
        </w:rPr>
        <w:t xml:space="preserve">{which] </w:t>
      </w:r>
      <w:r w:rsidR="00FE621D" w:rsidRPr="00597E56">
        <w:rPr>
          <w:rStyle w:val="Emphasis"/>
          <w:rFonts w:ascii="Palatino Linotype" w:hAnsi="Palatino Linotype" w:cstheme="minorHAnsi"/>
          <w:i/>
          <w:iCs/>
          <w:sz w:val="22"/>
        </w:rPr>
        <w:t xml:space="preserve">involves looking at an individual object as forming </w:t>
      </w:r>
      <w:r w:rsidR="0015226D" w:rsidRPr="00597E56">
        <w:rPr>
          <w:rStyle w:val="Emphasis"/>
          <w:rFonts w:ascii="Palatino Linotype" w:hAnsi="Palatino Linotype" w:cstheme="minorHAnsi"/>
          <w:i/>
          <w:iCs/>
          <w:sz w:val="22"/>
        </w:rPr>
        <w:t xml:space="preserve">part of a greater whole, from a </w:t>
      </w:r>
      <w:r w:rsidRPr="00597E56">
        <w:rPr>
          <w:rStyle w:val="Emphasis"/>
          <w:rFonts w:ascii="Palatino Linotype" w:hAnsi="Palatino Linotype" w:cstheme="minorHAnsi"/>
          <w:i/>
          <w:iCs/>
          <w:sz w:val="22"/>
        </w:rPr>
        <w:t>“</w:t>
      </w:r>
      <w:r w:rsidR="0015226D" w:rsidRPr="00597E56">
        <w:rPr>
          <w:rStyle w:val="Emphasis"/>
          <w:rFonts w:ascii="Palatino Linotype" w:hAnsi="Palatino Linotype" w:cstheme="minorHAnsi"/>
          <w:i/>
          <w:iCs/>
          <w:sz w:val="22"/>
        </w:rPr>
        <w:t>landscape perspective</w:t>
      </w:r>
      <w:r w:rsidRPr="00597E56">
        <w:rPr>
          <w:rStyle w:val="Emphasis"/>
          <w:rFonts w:ascii="Palatino Linotype" w:hAnsi="Palatino Linotype" w:cstheme="minorHAnsi"/>
          <w:i/>
          <w:iCs/>
          <w:sz w:val="22"/>
        </w:rPr>
        <w:t>”</w:t>
      </w:r>
      <w:r w:rsidR="008F0E6A" w:rsidRPr="00597E56">
        <w:rPr>
          <w:rStyle w:val="Emphasis"/>
          <w:rFonts w:ascii="Palatino Linotype" w:hAnsi="Palatino Linotype" w:cstheme="minorHAnsi"/>
          <w:i/>
          <w:iCs/>
          <w:sz w:val="22"/>
        </w:rPr>
        <w:t>.</w:t>
      </w:r>
      <w:r w:rsidR="004905A7" w:rsidRPr="00597E56">
        <w:rPr>
          <w:rStyle w:val="Emphasis"/>
          <w:rFonts w:ascii="Palatino Linotype" w:hAnsi="Palatino Linotype" w:cstheme="minorHAnsi"/>
          <w:i/>
          <w:iCs/>
          <w:sz w:val="22"/>
        </w:rPr>
        <w:t xml:space="preserve"> Measuring degrees of strength of significance is </w:t>
      </w:r>
      <w:r w:rsidRPr="00597E56">
        <w:rPr>
          <w:rStyle w:val="Emphasis"/>
          <w:rFonts w:ascii="Palatino Linotype" w:hAnsi="Palatino Linotype" w:cstheme="minorHAnsi"/>
          <w:i/>
          <w:iCs/>
          <w:sz w:val="22"/>
        </w:rPr>
        <w:t>“</w:t>
      </w:r>
      <w:r w:rsidR="004905A7" w:rsidRPr="00597E56">
        <w:rPr>
          <w:rStyle w:val="Emphasis"/>
          <w:rFonts w:ascii="Palatino Linotype" w:hAnsi="Palatino Linotype" w:cstheme="minorHAnsi"/>
          <w:i/>
          <w:iCs/>
          <w:sz w:val="22"/>
        </w:rPr>
        <w:t>counterintuitive and perhaps counterproductive</w:t>
      </w:r>
      <w:r w:rsidRPr="00597E56">
        <w:rPr>
          <w:rStyle w:val="Emphasis"/>
          <w:rFonts w:ascii="Palatino Linotype" w:hAnsi="Palatino Linotype" w:cstheme="minorHAnsi"/>
          <w:i/>
          <w:iCs/>
          <w:sz w:val="22"/>
        </w:rPr>
        <w:t>”</w:t>
      </w:r>
      <w:r w:rsidR="004905A7" w:rsidRPr="00597E56">
        <w:rPr>
          <w:rStyle w:val="Emphasis"/>
          <w:rFonts w:ascii="Palatino Linotype" w:hAnsi="Palatino Linotype" w:cstheme="minorHAnsi"/>
          <w:i/>
          <w:iCs/>
          <w:sz w:val="22"/>
        </w:rPr>
        <w:t xml:space="preserve"> and a more integrated approach that protects cultural landscapes, </w:t>
      </w:r>
      <w:r w:rsidR="00C83948" w:rsidRPr="00597E56">
        <w:rPr>
          <w:rStyle w:val="Emphasis"/>
          <w:rFonts w:ascii="Palatino Linotype" w:hAnsi="Palatino Linotype" w:cstheme="minorHAnsi"/>
          <w:i/>
          <w:iCs/>
          <w:sz w:val="22"/>
        </w:rPr>
        <w:t xml:space="preserve">or </w:t>
      </w:r>
      <w:r w:rsidRPr="00597E56">
        <w:rPr>
          <w:rStyle w:val="Emphasis"/>
          <w:rFonts w:ascii="Palatino Linotype" w:hAnsi="Palatino Linotype" w:cstheme="minorHAnsi"/>
          <w:i/>
          <w:iCs/>
          <w:sz w:val="22"/>
        </w:rPr>
        <w:t>“</w:t>
      </w:r>
      <w:r w:rsidR="00C83948" w:rsidRPr="00597E56">
        <w:rPr>
          <w:rStyle w:val="Emphasis"/>
          <w:rFonts w:ascii="Palatino Linotype" w:hAnsi="Palatino Linotype" w:cstheme="minorHAnsi"/>
          <w:i/>
          <w:iCs/>
          <w:sz w:val="22"/>
        </w:rPr>
        <w:t>Country</w:t>
      </w:r>
      <w:r w:rsidRPr="00597E56">
        <w:rPr>
          <w:rStyle w:val="Emphasis"/>
          <w:rFonts w:ascii="Palatino Linotype" w:hAnsi="Palatino Linotype" w:cstheme="minorHAnsi"/>
          <w:i/>
          <w:iCs/>
          <w:sz w:val="22"/>
        </w:rPr>
        <w:t>”</w:t>
      </w:r>
      <w:r w:rsidR="004905A7" w:rsidRPr="00597E56">
        <w:rPr>
          <w:rStyle w:val="Emphasis"/>
          <w:rFonts w:ascii="Palatino Linotype" w:hAnsi="Palatino Linotype" w:cstheme="minorHAnsi"/>
          <w:i/>
          <w:iCs/>
          <w:sz w:val="22"/>
        </w:rPr>
        <w:t>, is required.</w:t>
      </w:r>
      <w:r w:rsidR="00C83948" w:rsidRPr="00597E56">
        <w:rPr>
          <w:rStyle w:val="Emphasis"/>
          <w:rFonts w:ascii="Palatino Linotype" w:hAnsi="Palatino Linotype" w:cstheme="minorHAnsi"/>
          <w:i/>
          <w:iCs/>
          <w:sz w:val="22"/>
        </w:rPr>
        <w:t xml:space="preserve"> </w:t>
      </w:r>
      <w:r w:rsidR="0015226D" w:rsidRPr="00597E56">
        <w:rPr>
          <w:rStyle w:val="FootnoteReference"/>
          <w:rFonts w:ascii="Palatino Linotype" w:hAnsi="Palatino Linotype" w:cstheme="minorHAnsi"/>
          <w:iCs/>
        </w:rPr>
        <w:t xml:space="preserve"> </w:t>
      </w:r>
      <w:r w:rsidR="00FE621D" w:rsidRPr="00597E56">
        <w:rPr>
          <w:rStyle w:val="Emphasis"/>
          <w:rFonts w:ascii="Palatino Linotype" w:hAnsi="Palatino Linotype" w:cstheme="minorHAnsi"/>
          <w:sz w:val="22"/>
        </w:rPr>
        <w:t xml:space="preserve">(Packham, </w:t>
      </w:r>
      <w:r w:rsidR="008F0E6A" w:rsidRPr="00597E56">
        <w:rPr>
          <w:rStyle w:val="Emphasis"/>
          <w:rFonts w:ascii="Palatino Linotype" w:hAnsi="Palatino Linotype" w:cstheme="minorHAnsi"/>
          <w:sz w:val="22"/>
        </w:rPr>
        <w:t>2014, p.</w:t>
      </w:r>
      <w:r w:rsidR="00FE621D" w:rsidRPr="00597E56">
        <w:rPr>
          <w:rStyle w:val="Emphasis"/>
          <w:rFonts w:ascii="Palatino Linotype" w:hAnsi="Palatino Linotype" w:cstheme="minorHAnsi"/>
          <w:sz w:val="22"/>
        </w:rPr>
        <w:t xml:space="preserve">83) </w:t>
      </w:r>
    </w:p>
    <w:p w14:paraId="3259C8C4" w14:textId="77777777" w:rsidR="008F0E6A" w:rsidRPr="00597E56" w:rsidRDefault="008F0E6A" w:rsidP="00F1501F">
      <w:pPr>
        <w:spacing w:after="0" w:line="240" w:lineRule="auto"/>
        <w:jc w:val="both"/>
        <w:rPr>
          <w:rStyle w:val="Emphasis"/>
          <w:rFonts w:ascii="Palatino Linotype" w:hAnsi="Palatino Linotype" w:cstheme="minorHAnsi"/>
          <w:sz w:val="22"/>
        </w:rPr>
      </w:pPr>
    </w:p>
    <w:p w14:paraId="5FE48D16" w14:textId="221C52B6" w:rsidR="0015226D" w:rsidRPr="00597E56" w:rsidRDefault="008F0E6A" w:rsidP="00F1501F">
      <w:pPr>
        <w:spacing w:after="0" w:line="240" w:lineRule="auto"/>
        <w:jc w:val="both"/>
        <w:rPr>
          <w:rStyle w:val="Emphasis"/>
          <w:rFonts w:ascii="Palatino Linotype" w:hAnsi="Palatino Linotype" w:cstheme="minorHAnsi"/>
          <w:i/>
          <w:sz w:val="22"/>
        </w:rPr>
      </w:pPr>
      <w:r w:rsidRPr="00597E56">
        <w:rPr>
          <w:rStyle w:val="Emphasis"/>
          <w:rFonts w:ascii="Palatino Linotype" w:hAnsi="Palatino Linotype" w:cstheme="minorHAnsi"/>
          <w:sz w:val="22"/>
        </w:rPr>
        <w:t xml:space="preserve">In support, </w:t>
      </w:r>
      <w:r w:rsidR="003D51CA" w:rsidRPr="00597E56">
        <w:rPr>
          <w:rStyle w:val="Emphasis"/>
          <w:rFonts w:ascii="Palatino Linotype" w:hAnsi="Palatino Linotype" w:cstheme="minorHAnsi"/>
          <w:sz w:val="22"/>
        </w:rPr>
        <w:t>Sneddon observes</w:t>
      </w:r>
      <w:r w:rsidR="002F13F9" w:rsidRPr="00597E56">
        <w:rPr>
          <w:rStyle w:val="Emphasis"/>
          <w:rFonts w:ascii="Palatino Linotype" w:hAnsi="Palatino Linotype" w:cstheme="minorHAnsi"/>
          <w:sz w:val="22"/>
        </w:rPr>
        <w:t xml:space="preserve"> </w:t>
      </w:r>
      <w:r w:rsidR="008C40B9" w:rsidRPr="00597E56">
        <w:rPr>
          <w:rStyle w:val="Emphasis"/>
          <w:rFonts w:ascii="Palatino Linotype" w:hAnsi="Palatino Linotype" w:cstheme="minorHAnsi"/>
          <w:sz w:val="22"/>
        </w:rPr>
        <w:t xml:space="preserve">Indigenous </w:t>
      </w:r>
      <w:r w:rsidR="002F13F9" w:rsidRPr="00597E56">
        <w:rPr>
          <w:rStyle w:val="Emphasis"/>
          <w:rFonts w:ascii="Palatino Linotype" w:hAnsi="Palatino Linotype" w:cstheme="minorHAnsi"/>
          <w:sz w:val="22"/>
        </w:rPr>
        <w:t xml:space="preserve">claimants often </w:t>
      </w:r>
      <w:r w:rsidR="00C83948" w:rsidRPr="00597E56">
        <w:rPr>
          <w:rStyle w:val="Emphasis"/>
          <w:rFonts w:ascii="Palatino Linotype" w:hAnsi="Palatino Linotype" w:cstheme="minorHAnsi"/>
          <w:sz w:val="22"/>
        </w:rPr>
        <w:t>draw attention to</w:t>
      </w:r>
      <w:r w:rsidR="0015226D" w:rsidRPr="00597E56">
        <w:rPr>
          <w:rStyle w:val="Emphasis"/>
          <w:rFonts w:ascii="Palatino Linotype" w:hAnsi="Palatino Linotype" w:cstheme="minorHAnsi"/>
          <w:sz w:val="22"/>
        </w:rPr>
        <w:t>:</w:t>
      </w:r>
    </w:p>
    <w:p w14:paraId="6D67B3EC" w14:textId="77777777" w:rsidR="002F13F9" w:rsidRPr="00597E56" w:rsidRDefault="002F13F9" w:rsidP="00F1501F">
      <w:pPr>
        <w:spacing w:after="0" w:line="240" w:lineRule="auto"/>
        <w:ind w:left="567"/>
        <w:jc w:val="both"/>
        <w:rPr>
          <w:rStyle w:val="Emphasis"/>
          <w:rFonts w:ascii="Palatino Linotype" w:hAnsi="Palatino Linotype" w:cstheme="minorHAnsi"/>
          <w:i/>
          <w:sz w:val="22"/>
        </w:rPr>
      </w:pPr>
    </w:p>
    <w:p w14:paraId="2368993A" w14:textId="7C70C9F5" w:rsidR="001A6727" w:rsidRPr="00597E56" w:rsidRDefault="0015226D" w:rsidP="00F1501F">
      <w:pPr>
        <w:spacing w:after="0" w:line="240" w:lineRule="auto"/>
        <w:ind w:left="567"/>
        <w:jc w:val="both"/>
        <w:rPr>
          <w:rStyle w:val="Emphasis"/>
          <w:rFonts w:ascii="Palatino Linotype" w:hAnsi="Palatino Linotype" w:cstheme="minorHAnsi"/>
          <w:sz w:val="22"/>
        </w:rPr>
      </w:pPr>
      <w:r w:rsidRPr="00597E56">
        <w:rPr>
          <w:rStyle w:val="Emphasis"/>
          <w:rFonts w:ascii="Palatino Linotype" w:hAnsi="Palatino Linotype" w:cstheme="minorHAnsi"/>
          <w:i/>
          <w:sz w:val="22"/>
        </w:rPr>
        <w:lastRenderedPageBreak/>
        <w:t>…impacts on the site’s “sense of place”, which was taken to extend beyond mere visual, aesthetic and auditory impacts to a sense of responsibility to the site and a desire to honour ancestors</w:t>
      </w:r>
      <w:r w:rsidR="001A6727" w:rsidRPr="00597E56">
        <w:rPr>
          <w:rStyle w:val="Emphasis"/>
          <w:rFonts w:ascii="Palatino Linotype" w:hAnsi="Palatino Linotype" w:cstheme="minorHAnsi"/>
          <w:i/>
          <w:iCs/>
          <w:sz w:val="22"/>
        </w:rPr>
        <w:t>…</w:t>
      </w:r>
      <w:r w:rsidR="00C804C3" w:rsidRPr="00597E56">
        <w:rPr>
          <w:rStyle w:val="Emphasis"/>
          <w:rFonts w:ascii="Palatino Linotype" w:hAnsi="Palatino Linotype" w:cstheme="minorHAnsi"/>
          <w:i/>
          <w:iCs/>
          <w:sz w:val="22"/>
        </w:rPr>
        <w:t xml:space="preserve"> </w:t>
      </w:r>
      <w:r w:rsidR="001A6727" w:rsidRPr="00597E56">
        <w:rPr>
          <w:rStyle w:val="Emphasis"/>
          <w:rFonts w:ascii="Palatino Linotype" w:hAnsi="Palatino Linotype" w:cstheme="minorHAnsi"/>
          <w:i/>
          <w:iCs/>
          <w:sz w:val="22"/>
        </w:rPr>
        <w:t>the boundaries of a heritage place will not always be definable by reference solely to physical features. Good heritage management demands an exhaustive definition of the broader heritage values that a site embodies</w:t>
      </w:r>
      <w:r w:rsidR="001A6727" w:rsidRPr="00597E56">
        <w:rPr>
          <w:rStyle w:val="Emphasis"/>
          <w:rFonts w:ascii="Palatino Linotype" w:hAnsi="Palatino Linotype" w:cstheme="minorHAnsi"/>
          <w:sz w:val="22"/>
        </w:rPr>
        <w:t>. (Sneddon, 2012, p.221)</w:t>
      </w:r>
    </w:p>
    <w:p w14:paraId="3D4D39B1" w14:textId="77777777" w:rsidR="0015226D" w:rsidRPr="00597E56" w:rsidRDefault="0015226D" w:rsidP="00F1501F">
      <w:pPr>
        <w:spacing w:after="0" w:line="240" w:lineRule="auto"/>
        <w:ind w:left="567"/>
        <w:jc w:val="both"/>
        <w:rPr>
          <w:rStyle w:val="Emphasis"/>
          <w:rFonts w:ascii="Palatino Linotype" w:hAnsi="Palatino Linotype" w:cstheme="minorHAnsi"/>
          <w:sz w:val="22"/>
        </w:rPr>
      </w:pPr>
    </w:p>
    <w:p w14:paraId="3028C706" w14:textId="77777777" w:rsidR="000768CE" w:rsidRPr="00597E56" w:rsidRDefault="000768CE" w:rsidP="00F1501F">
      <w:pPr>
        <w:spacing w:after="0" w:line="240" w:lineRule="auto"/>
        <w:jc w:val="both"/>
        <w:rPr>
          <w:rStyle w:val="Emphasis"/>
          <w:rFonts w:ascii="Palatino Linotype" w:hAnsi="Palatino Linotype" w:cstheme="minorHAnsi"/>
          <w:sz w:val="22"/>
        </w:rPr>
      </w:pPr>
      <w:r w:rsidRPr="00597E56">
        <w:rPr>
          <w:rStyle w:val="Emphasis"/>
          <w:rFonts w:ascii="Palatino Linotype" w:hAnsi="Palatino Linotype" w:cstheme="minorHAnsi"/>
          <w:sz w:val="22"/>
        </w:rPr>
        <w:t>For example,</w:t>
      </w:r>
      <w:r w:rsidRPr="00597E56">
        <w:rPr>
          <w:rStyle w:val="Emphasis"/>
          <w:rFonts w:ascii="Palatino Linotype" w:hAnsi="Palatino Linotype" w:cstheme="minorHAnsi"/>
          <w:i/>
          <w:sz w:val="22"/>
        </w:rPr>
        <w:t xml:space="preserve"> </w:t>
      </w:r>
      <w:r w:rsidRPr="00597E56">
        <w:rPr>
          <w:rStyle w:val="Emphasis"/>
          <w:rFonts w:ascii="Palatino Linotype" w:hAnsi="Palatino Linotype" w:cstheme="minorHAnsi"/>
          <w:sz w:val="22"/>
        </w:rPr>
        <w:t>along the route of the (then) proposed Manildra-Parkes 132KV electricity transmission line it was recorded in the Indigenous heritage assessment that:</w:t>
      </w:r>
    </w:p>
    <w:p w14:paraId="2768046D" w14:textId="77777777" w:rsidR="000768CE" w:rsidRPr="00597E56" w:rsidRDefault="000768CE" w:rsidP="00F1501F">
      <w:pPr>
        <w:spacing w:after="0" w:line="240" w:lineRule="auto"/>
        <w:ind w:left="567"/>
        <w:jc w:val="both"/>
        <w:rPr>
          <w:rStyle w:val="Emphasis"/>
          <w:rFonts w:ascii="Palatino Linotype" w:hAnsi="Palatino Linotype" w:cstheme="minorHAnsi"/>
          <w:sz w:val="22"/>
        </w:rPr>
      </w:pPr>
    </w:p>
    <w:p w14:paraId="5C7E9BDE" w14:textId="77777777" w:rsidR="000768CE" w:rsidRPr="00597E56" w:rsidRDefault="000768CE" w:rsidP="00F1501F">
      <w:pPr>
        <w:spacing w:after="0" w:line="240" w:lineRule="auto"/>
        <w:ind w:left="567"/>
        <w:jc w:val="both"/>
        <w:rPr>
          <w:rStyle w:val="Emphasis"/>
          <w:rFonts w:ascii="Palatino Linotype" w:hAnsi="Palatino Linotype" w:cstheme="minorHAnsi"/>
          <w:iCs/>
          <w:sz w:val="22"/>
        </w:rPr>
      </w:pPr>
      <w:r w:rsidRPr="00597E56">
        <w:rPr>
          <w:rStyle w:val="Emphasis"/>
          <w:rFonts w:ascii="Palatino Linotype" w:hAnsi="Palatino Linotype" w:cstheme="minorHAnsi"/>
          <w:i/>
          <w:sz w:val="22"/>
        </w:rPr>
        <w:t xml:space="preserve">…scarred trees may be found anywhere but especially where there are remnant stands of native trees. </w:t>
      </w:r>
      <w:r w:rsidRPr="00597E56">
        <w:rPr>
          <w:rStyle w:val="Emphasis"/>
          <w:rFonts w:ascii="Palatino Linotype" w:hAnsi="Palatino Linotype" w:cstheme="minorHAnsi"/>
          <w:iCs/>
          <w:sz w:val="22"/>
        </w:rPr>
        <w:t>(Ozark Environmental and Heritage Management Pty Ltd, 2009, p.19)</w:t>
      </w:r>
    </w:p>
    <w:p w14:paraId="12B4C8DC" w14:textId="77777777" w:rsidR="000768CE" w:rsidRPr="00597E56" w:rsidRDefault="000768CE" w:rsidP="00F1501F">
      <w:pPr>
        <w:widowControl w:val="0"/>
        <w:autoSpaceDE w:val="0"/>
        <w:autoSpaceDN w:val="0"/>
        <w:adjustRightInd w:val="0"/>
        <w:spacing w:after="0" w:line="240" w:lineRule="auto"/>
        <w:jc w:val="both"/>
        <w:rPr>
          <w:rStyle w:val="Emphasis"/>
          <w:rFonts w:ascii="Palatino Linotype" w:hAnsi="Palatino Linotype" w:cstheme="minorHAnsi"/>
          <w:sz w:val="22"/>
        </w:rPr>
      </w:pPr>
    </w:p>
    <w:p w14:paraId="47D2011F" w14:textId="002E7E6D" w:rsidR="0015226D" w:rsidRPr="00597E56" w:rsidRDefault="008C40B9" w:rsidP="00F1501F">
      <w:pPr>
        <w:widowControl w:val="0"/>
        <w:autoSpaceDE w:val="0"/>
        <w:autoSpaceDN w:val="0"/>
        <w:adjustRightInd w:val="0"/>
        <w:spacing w:after="0" w:line="240" w:lineRule="auto"/>
        <w:jc w:val="both"/>
        <w:rPr>
          <w:rStyle w:val="Emphasis"/>
          <w:rFonts w:ascii="Palatino Linotype" w:hAnsi="Palatino Linotype" w:cstheme="minorHAnsi"/>
          <w:sz w:val="22"/>
        </w:rPr>
      </w:pPr>
      <w:r w:rsidRPr="00597E56">
        <w:rPr>
          <w:rStyle w:val="Emphasis"/>
          <w:rFonts w:ascii="Palatino Linotype" w:hAnsi="Palatino Linotype" w:cstheme="minorHAnsi"/>
          <w:sz w:val="22"/>
        </w:rPr>
        <w:t>Usefully</w:t>
      </w:r>
      <w:r w:rsidR="0015226D" w:rsidRPr="00597E56">
        <w:rPr>
          <w:rStyle w:val="Emphasis"/>
          <w:rFonts w:ascii="Palatino Linotype" w:hAnsi="Palatino Linotype" w:cstheme="minorHAnsi"/>
          <w:sz w:val="22"/>
        </w:rPr>
        <w:t xml:space="preserve">, </w:t>
      </w:r>
      <w:r w:rsidRPr="00597E56">
        <w:rPr>
          <w:rStyle w:val="Emphasis"/>
          <w:rFonts w:ascii="Palatino Linotype" w:hAnsi="Palatino Linotype" w:cstheme="minorHAnsi"/>
          <w:sz w:val="22"/>
        </w:rPr>
        <w:t xml:space="preserve">as regard such sites </w:t>
      </w:r>
      <w:r w:rsidR="00E77F14" w:rsidRPr="00597E56">
        <w:rPr>
          <w:rStyle w:val="Emphasis"/>
          <w:rFonts w:ascii="Palatino Linotype" w:hAnsi="Palatino Linotype" w:cstheme="minorHAnsi"/>
          <w:sz w:val="22"/>
        </w:rPr>
        <w:t xml:space="preserve">the </w:t>
      </w:r>
      <w:r w:rsidR="00E77F14" w:rsidRPr="00597E56">
        <w:rPr>
          <w:rFonts w:ascii="Palatino Linotype" w:hAnsi="Palatino Linotype" w:cstheme="minorHAnsi"/>
          <w:bCs/>
          <w:i/>
          <w:spacing w:val="1"/>
          <w:w w:val="102"/>
        </w:rPr>
        <w:t xml:space="preserve">Due Diligence Code of Practice for the Protection of Aboriginal Objects in New South Wales </w:t>
      </w:r>
      <w:r w:rsidRPr="00597E56">
        <w:rPr>
          <w:rStyle w:val="Emphasis"/>
          <w:rFonts w:ascii="Palatino Linotype" w:hAnsi="Palatino Linotype" w:cstheme="minorHAnsi"/>
          <w:sz w:val="22"/>
        </w:rPr>
        <w:t xml:space="preserve">of the (former) </w:t>
      </w:r>
      <w:r w:rsidR="0015226D" w:rsidRPr="00597E56">
        <w:rPr>
          <w:rStyle w:val="Emphasis"/>
          <w:rFonts w:ascii="Palatino Linotype" w:hAnsi="Palatino Linotype" w:cstheme="minorHAnsi"/>
          <w:sz w:val="22"/>
        </w:rPr>
        <w:t>Department of Environment, Cli</w:t>
      </w:r>
      <w:r w:rsidRPr="00597E56">
        <w:rPr>
          <w:rStyle w:val="Emphasis"/>
          <w:rFonts w:ascii="Palatino Linotype" w:hAnsi="Palatino Linotype" w:cstheme="minorHAnsi"/>
          <w:sz w:val="22"/>
        </w:rPr>
        <w:t>mate Change and Water</w:t>
      </w:r>
      <w:r w:rsidR="008625E8" w:rsidRPr="00597E56">
        <w:rPr>
          <w:rStyle w:val="Emphasis"/>
          <w:rFonts w:ascii="Palatino Linotype" w:hAnsi="Palatino Linotype" w:cstheme="minorHAnsi"/>
          <w:sz w:val="22"/>
        </w:rPr>
        <w:t xml:space="preserve"> (DECCW) advises</w:t>
      </w:r>
      <w:r w:rsidR="0015226D" w:rsidRPr="00597E56">
        <w:rPr>
          <w:rStyle w:val="Emphasis"/>
          <w:rFonts w:ascii="Palatino Linotype" w:hAnsi="Palatino Linotype" w:cstheme="minorHAnsi"/>
          <w:sz w:val="22"/>
        </w:rPr>
        <w:t>:</w:t>
      </w:r>
    </w:p>
    <w:p w14:paraId="5E81DD00" w14:textId="77777777" w:rsidR="0015226D" w:rsidRPr="00597E56" w:rsidRDefault="0015226D" w:rsidP="00F1501F">
      <w:pPr>
        <w:widowControl w:val="0"/>
        <w:autoSpaceDE w:val="0"/>
        <w:autoSpaceDN w:val="0"/>
        <w:adjustRightInd w:val="0"/>
        <w:spacing w:after="0" w:line="240" w:lineRule="auto"/>
        <w:ind w:left="567"/>
        <w:jc w:val="both"/>
        <w:rPr>
          <w:rStyle w:val="Emphasis"/>
          <w:rFonts w:ascii="Palatino Linotype" w:hAnsi="Palatino Linotype" w:cstheme="minorHAnsi"/>
          <w:iCs/>
          <w:sz w:val="22"/>
        </w:rPr>
      </w:pPr>
    </w:p>
    <w:p w14:paraId="37082191" w14:textId="65929856" w:rsidR="0015226D" w:rsidRPr="00597E56" w:rsidRDefault="0015226D" w:rsidP="00F1501F">
      <w:pPr>
        <w:widowControl w:val="0"/>
        <w:autoSpaceDE w:val="0"/>
        <w:autoSpaceDN w:val="0"/>
        <w:adjustRightInd w:val="0"/>
        <w:spacing w:after="0" w:line="240" w:lineRule="auto"/>
        <w:ind w:left="567"/>
        <w:jc w:val="both"/>
        <w:rPr>
          <w:rStyle w:val="Emphasis"/>
          <w:rFonts w:ascii="Palatino Linotype" w:hAnsi="Palatino Linotype" w:cstheme="minorHAnsi"/>
          <w:iCs/>
          <w:sz w:val="22"/>
        </w:rPr>
      </w:pPr>
      <w:r w:rsidRPr="00597E56">
        <w:rPr>
          <w:rStyle w:val="Emphasis"/>
          <w:rFonts w:ascii="Palatino Linotype" w:hAnsi="Palatino Linotype" w:cstheme="minorHAnsi"/>
          <w:sz w:val="22"/>
        </w:rPr>
        <w:t>.</w:t>
      </w:r>
      <w:r w:rsidR="00E77F14" w:rsidRPr="00597E56">
        <w:rPr>
          <w:rStyle w:val="Emphasis"/>
          <w:rFonts w:ascii="Palatino Linotype" w:hAnsi="Palatino Linotype" w:cstheme="minorHAnsi"/>
          <w:i/>
          <w:sz w:val="22"/>
        </w:rPr>
        <w:t xml:space="preserve"> …[s]tone artefacts can be found almost anywhere Aboriginal people camped or lived, particularly around occupation sites, in sand dunes, rock shelters, caves, on ridges and near watercourses. </w:t>
      </w:r>
      <w:r w:rsidR="008625E8" w:rsidRPr="00597E56">
        <w:rPr>
          <w:rStyle w:val="Emphasis"/>
          <w:rFonts w:ascii="Palatino Linotype" w:hAnsi="Palatino Linotype" w:cstheme="minorHAnsi"/>
          <w:iCs/>
          <w:sz w:val="22"/>
        </w:rPr>
        <w:t>(DECCW,2010, p.20)</w:t>
      </w:r>
    </w:p>
    <w:p w14:paraId="4811AE7B" w14:textId="77777777" w:rsidR="0015226D" w:rsidRPr="00597E56" w:rsidRDefault="0015226D" w:rsidP="00F1501F">
      <w:pPr>
        <w:spacing w:after="0" w:line="240" w:lineRule="auto"/>
        <w:ind w:left="567"/>
        <w:jc w:val="both"/>
        <w:rPr>
          <w:rFonts w:ascii="Palatino Linotype" w:hAnsi="Palatino Linotype" w:cstheme="minorHAnsi"/>
        </w:rPr>
      </w:pPr>
    </w:p>
    <w:p w14:paraId="299F1BEF" w14:textId="5473F15D" w:rsidR="0015226D" w:rsidRPr="00597E56" w:rsidRDefault="00E77F14" w:rsidP="00F1501F">
      <w:pPr>
        <w:spacing w:after="0" w:line="240" w:lineRule="auto"/>
        <w:jc w:val="both"/>
        <w:rPr>
          <w:rStyle w:val="Emphasis"/>
          <w:rFonts w:ascii="Palatino Linotype" w:hAnsi="Palatino Linotype" w:cstheme="minorHAnsi"/>
          <w:sz w:val="22"/>
        </w:rPr>
      </w:pPr>
      <w:r w:rsidRPr="00597E56">
        <w:rPr>
          <w:rFonts w:ascii="Palatino Linotype" w:hAnsi="Palatino Linotype" w:cstheme="minorHAnsi"/>
          <w:bCs/>
          <w:spacing w:val="1"/>
          <w:w w:val="102"/>
        </w:rPr>
        <w:t>T</w:t>
      </w:r>
      <w:r w:rsidR="0015226D" w:rsidRPr="00597E56">
        <w:rPr>
          <w:rFonts w:ascii="Palatino Linotype" w:hAnsi="Palatino Linotype" w:cstheme="minorHAnsi"/>
          <w:bCs/>
          <w:spacing w:val="1"/>
          <w:w w:val="102"/>
        </w:rPr>
        <w:t xml:space="preserve">he presence of </w:t>
      </w:r>
      <w:r w:rsidRPr="00597E56">
        <w:rPr>
          <w:rFonts w:ascii="Palatino Linotype" w:hAnsi="Palatino Linotype" w:cstheme="minorHAnsi"/>
          <w:bCs/>
          <w:spacing w:val="1"/>
          <w:w w:val="102"/>
        </w:rPr>
        <w:t xml:space="preserve">such </w:t>
      </w:r>
      <w:r w:rsidR="0015226D" w:rsidRPr="00597E56">
        <w:rPr>
          <w:rFonts w:ascii="Palatino Linotype" w:hAnsi="Palatino Linotype" w:cstheme="minorHAnsi"/>
          <w:bCs/>
          <w:spacing w:val="1"/>
          <w:w w:val="102"/>
        </w:rPr>
        <w:t>Indigenous in</w:t>
      </w:r>
      <w:r w:rsidR="00E13FE5" w:rsidRPr="00597E56">
        <w:rPr>
          <w:rFonts w:ascii="Palatino Linotype" w:hAnsi="Palatino Linotype" w:cstheme="minorHAnsi"/>
          <w:bCs/>
          <w:spacing w:val="1"/>
          <w:w w:val="102"/>
        </w:rPr>
        <w:t>-</w:t>
      </w:r>
      <w:r w:rsidR="0015226D" w:rsidRPr="00597E56">
        <w:rPr>
          <w:rFonts w:ascii="Palatino Linotype" w:hAnsi="Palatino Linotype" w:cstheme="minorHAnsi"/>
          <w:bCs/>
          <w:spacing w:val="1"/>
          <w:w w:val="102"/>
        </w:rPr>
        <w:t xml:space="preserve">situ artefactual material and sites of significance on </w:t>
      </w:r>
      <w:r w:rsidRPr="00597E56">
        <w:rPr>
          <w:rFonts w:ascii="Palatino Linotype" w:hAnsi="Palatino Linotype" w:cstheme="minorHAnsi"/>
          <w:bCs/>
          <w:spacing w:val="1"/>
          <w:w w:val="102"/>
        </w:rPr>
        <w:t xml:space="preserve">Crown land (or </w:t>
      </w:r>
      <w:r w:rsidR="0015226D" w:rsidRPr="00597E56">
        <w:rPr>
          <w:rFonts w:ascii="Palatino Linotype" w:hAnsi="Palatino Linotype" w:cstheme="minorHAnsi"/>
          <w:bCs/>
          <w:spacing w:val="1"/>
          <w:w w:val="102"/>
        </w:rPr>
        <w:t>private freehold</w:t>
      </w:r>
      <w:r w:rsidRPr="00597E56">
        <w:rPr>
          <w:rFonts w:ascii="Palatino Linotype" w:hAnsi="Palatino Linotype" w:cstheme="minorHAnsi"/>
          <w:bCs/>
          <w:spacing w:val="1"/>
          <w:w w:val="102"/>
        </w:rPr>
        <w:t xml:space="preserve">) </w:t>
      </w:r>
      <w:r w:rsidR="0015226D" w:rsidRPr="00597E56">
        <w:rPr>
          <w:rFonts w:ascii="Palatino Linotype" w:hAnsi="Palatino Linotype" w:cstheme="minorHAnsi"/>
          <w:bCs/>
          <w:spacing w:val="1"/>
          <w:w w:val="102"/>
        </w:rPr>
        <w:t>has raised the prospect of separate property rights in such material or sites. Literature</w:t>
      </w:r>
      <w:r w:rsidR="00111712" w:rsidRPr="00597E56">
        <w:rPr>
          <w:rFonts w:ascii="Palatino Linotype" w:hAnsi="Palatino Linotype" w:cstheme="minorHAnsi"/>
          <w:bCs/>
          <w:spacing w:val="1"/>
          <w:w w:val="102"/>
        </w:rPr>
        <w:t xml:space="preserve"> (Godwin,</w:t>
      </w:r>
      <w:r w:rsidR="0015226D" w:rsidRPr="00597E56">
        <w:rPr>
          <w:rFonts w:ascii="Palatino Linotype" w:hAnsi="Palatino Linotype" w:cstheme="minorHAnsi"/>
          <w:bCs/>
          <w:spacing w:val="1"/>
          <w:w w:val="102"/>
        </w:rPr>
        <w:t xml:space="preserve"> </w:t>
      </w:r>
      <w:r w:rsidR="00111712" w:rsidRPr="00597E56">
        <w:rPr>
          <w:rFonts w:ascii="Palatino Linotype" w:hAnsi="Palatino Linotype" w:cstheme="minorHAnsi"/>
          <w:bCs/>
          <w:spacing w:val="1"/>
          <w:w w:val="102"/>
        </w:rPr>
        <w:t xml:space="preserve">2001; Sheehan, 2010) </w:t>
      </w:r>
      <w:r w:rsidR="0015226D" w:rsidRPr="00597E56">
        <w:rPr>
          <w:rFonts w:ascii="Palatino Linotype" w:hAnsi="Palatino Linotype" w:cstheme="minorHAnsi"/>
          <w:bCs/>
          <w:spacing w:val="1"/>
          <w:w w:val="102"/>
        </w:rPr>
        <w:t xml:space="preserve">suggests such property </w:t>
      </w:r>
      <w:r w:rsidR="00707251" w:rsidRPr="00597E56">
        <w:rPr>
          <w:rFonts w:ascii="Palatino Linotype" w:hAnsi="Palatino Linotype" w:cstheme="minorHAnsi"/>
          <w:bCs/>
          <w:spacing w:val="1"/>
          <w:w w:val="102"/>
        </w:rPr>
        <w:t xml:space="preserve">rights </w:t>
      </w:r>
      <w:r w:rsidR="0015226D" w:rsidRPr="00597E56">
        <w:rPr>
          <w:rFonts w:ascii="Palatino Linotype" w:hAnsi="Palatino Linotype" w:cstheme="minorHAnsi"/>
          <w:bCs/>
          <w:spacing w:val="1"/>
          <w:w w:val="102"/>
        </w:rPr>
        <w:t xml:space="preserve">may not be vested in the land holder but in the holder of </w:t>
      </w:r>
      <w:r w:rsidR="00C0723C" w:rsidRPr="00597E56">
        <w:rPr>
          <w:rFonts w:ascii="Palatino Linotype" w:hAnsi="Palatino Linotype" w:cstheme="minorHAnsi"/>
          <w:bCs/>
          <w:spacing w:val="1"/>
          <w:w w:val="102"/>
        </w:rPr>
        <w:t xml:space="preserve">the </w:t>
      </w:r>
      <w:r w:rsidR="0015226D" w:rsidRPr="00597E56">
        <w:rPr>
          <w:rFonts w:ascii="Palatino Linotype" w:hAnsi="Palatino Linotype" w:cstheme="minorHAnsi"/>
          <w:bCs/>
          <w:spacing w:val="1"/>
          <w:w w:val="102"/>
        </w:rPr>
        <w:t>statutory rights to the</w:t>
      </w:r>
      <w:r w:rsidRPr="00597E56">
        <w:rPr>
          <w:rFonts w:ascii="Palatino Linotype" w:hAnsi="Palatino Linotype" w:cstheme="minorHAnsi"/>
          <w:bCs/>
          <w:spacing w:val="1"/>
          <w:w w:val="102"/>
        </w:rPr>
        <w:t xml:space="preserve"> Indigenous material or site. Importantly, s</w:t>
      </w:r>
      <w:r w:rsidR="0015226D" w:rsidRPr="00597E56">
        <w:rPr>
          <w:rFonts w:ascii="Palatino Linotype" w:hAnsi="Palatino Linotype" w:cstheme="minorHAnsi"/>
          <w:bCs/>
          <w:spacing w:val="1"/>
          <w:w w:val="102"/>
        </w:rPr>
        <w:t>uch rights are separate to those the</w:t>
      </w:r>
      <w:r w:rsidRPr="00597E56">
        <w:rPr>
          <w:rFonts w:ascii="Palatino Linotype" w:hAnsi="Palatino Linotype" w:cstheme="minorHAnsi"/>
          <w:bCs/>
          <w:spacing w:val="1"/>
          <w:w w:val="102"/>
        </w:rPr>
        <w:t xml:space="preserve"> Minister may grant to any claimant Aboriginal Land C</w:t>
      </w:r>
      <w:r w:rsidR="003E04DD" w:rsidRPr="00597E56">
        <w:rPr>
          <w:rFonts w:ascii="Palatino Linotype" w:hAnsi="Palatino Linotype" w:cstheme="minorHAnsi"/>
          <w:bCs/>
          <w:spacing w:val="1"/>
          <w:w w:val="102"/>
        </w:rPr>
        <w:t>ouncil</w:t>
      </w:r>
      <w:r w:rsidR="00707251" w:rsidRPr="00597E56">
        <w:rPr>
          <w:rFonts w:ascii="Palatino Linotype" w:hAnsi="Palatino Linotype" w:cstheme="minorHAnsi"/>
          <w:bCs/>
          <w:spacing w:val="1"/>
          <w:w w:val="102"/>
        </w:rPr>
        <w:t xml:space="preserve"> under the </w:t>
      </w:r>
      <w:r w:rsidR="00707251" w:rsidRPr="00597E56">
        <w:rPr>
          <w:rFonts w:ascii="Palatino Linotype" w:hAnsi="Palatino Linotype" w:cstheme="minorHAnsi"/>
          <w:bCs/>
          <w:i/>
          <w:iCs/>
          <w:spacing w:val="1"/>
          <w:w w:val="102"/>
        </w:rPr>
        <w:t>ALRA</w:t>
      </w:r>
      <w:r w:rsidR="0015226D" w:rsidRPr="00597E56">
        <w:rPr>
          <w:rStyle w:val="Emphasis"/>
          <w:rFonts w:ascii="Palatino Linotype" w:hAnsi="Palatino Linotype" w:cstheme="minorHAnsi"/>
          <w:sz w:val="22"/>
        </w:rPr>
        <w:t>.</w:t>
      </w:r>
    </w:p>
    <w:p w14:paraId="75352C8B" w14:textId="77777777" w:rsidR="00642941" w:rsidRPr="00597E56" w:rsidRDefault="00642941" w:rsidP="00F1501F">
      <w:pPr>
        <w:spacing w:after="0" w:line="240" w:lineRule="auto"/>
        <w:jc w:val="both"/>
        <w:rPr>
          <w:rFonts w:ascii="Palatino Linotype" w:hAnsi="Palatino Linotype" w:cstheme="minorHAnsi"/>
        </w:rPr>
      </w:pPr>
    </w:p>
    <w:p w14:paraId="7C955B53" w14:textId="4BD51697" w:rsidR="0015226D" w:rsidRPr="00597E56" w:rsidRDefault="00E77F14" w:rsidP="00F1501F">
      <w:pPr>
        <w:spacing w:after="0" w:line="240" w:lineRule="auto"/>
        <w:jc w:val="both"/>
        <w:rPr>
          <w:rStyle w:val="Emphasis"/>
          <w:rFonts w:ascii="Palatino Linotype" w:hAnsi="Palatino Linotype" w:cstheme="minorHAnsi"/>
          <w:sz w:val="22"/>
        </w:rPr>
      </w:pPr>
      <w:r w:rsidRPr="00597E56">
        <w:rPr>
          <w:rStyle w:val="Emphasis"/>
          <w:rFonts w:ascii="Palatino Linotype" w:hAnsi="Palatino Linotype" w:cstheme="minorHAnsi"/>
          <w:sz w:val="22"/>
        </w:rPr>
        <w:t xml:space="preserve">Indeed, </w:t>
      </w:r>
      <w:r w:rsidR="0015226D" w:rsidRPr="00597E56">
        <w:rPr>
          <w:rStyle w:val="Emphasis"/>
          <w:rFonts w:ascii="Palatino Linotype" w:hAnsi="Palatino Linotype" w:cstheme="minorHAnsi"/>
          <w:sz w:val="22"/>
        </w:rPr>
        <w:t xml:space="preserve">the lodgement of </w:t>
      </w:r>
      <w:r w:rsidRPr="00597E56">
        <w:rPr>
          <w:rStyle w:val="Emphasis"/>
          <w:rFonts w:ascii="Palatino Linotype" w:hAnsi="Palatino Linotype" w:cstheme="minorHAnsi"/>
          <w:sz w:val="22"/>
        </w:rPr>
        <w:t xml:space="preserve">any </w:t>
      </w:r>
      <w:r w:rsidR="0015226D" w:rsidRPr="00597E56">
        <w:rPr>
          <w:rStyle w:val="Emphasis"/>
          <w:rFonts w:ascii="Palatino Linotype" w:hAnsi="Palatino Linotype" w:cstheme="minorHAnsi"/>
          <w:sz w:val="22"/>
        </w:rPr>
        <w:t>Aboriginal la</w:t>
      </w:r>
      <w:r w:rsidRPr="00597E56">
        <w:rPr>
          <w:rStyle w:val="Emphasis"/>
          <w:rFonts w:ascii="Palatino Linotype" w:hAnsi="Palatino Linotype" w:cstheme="minorHAnsi"/>
          <w:sz w:val="22"/>
        </w:rPr>
        <w:t>nd claim</w:t>
      </w:r>
      <w:r w:rsidR="0015226D" w:rsidRPr="00597E56">
        <w:rPr>
          <w:rStyle w:val="Emphasis"/>
          <w:rFonts w:ascii="Palatino Linotype" w:hAnsi="Palatino Linotype" w:cstheme="minorHAnsi"/>
          <w:sz w:val="22"/>
        </w:rPr>
        <w:t xml:space="preserve"> is necessarily informed by the Preamble to the </w:t>
      </w:r>
      <w:r w:rsidR="00707251" w:rsidRPr="00597E56">
        <w:rPr>
          <w:rStyle w:val="Emphasis"/>
          <w:rFonts w:ascii="Palatino Linotype" w:hAnsi="Palatino Linotype" w:cstheme="minorHAnsi"/>
          <w:i/>
          <w:sz w:val="22"/>
        </w:rPr>
        <w:t>ALRA</w:t>
      </w:r>
      <w:r w:rsidR="003E04DD" w:rsidRPr="00597E56">
        <w:rPr>
          <w:rStyle w:val="Emphasis"/>
          <w:rFonts w:ascii="Palatino Linotype" w:hAnsi="Palatino Linotype" w:cstheme="minorHAnsi"/>
          <w:sz w:val="22"/>
        </w:rPr>
        <w:t xml:space="preserve"> </w:t>
      </w:r>
      <w:r w:rsidR="0015226D" w:rsidRPr="00597E56">
        <w:rPr>
          <w:rStyle w:val="Emphasis"/>
          <w:rFonts w:ascii="Palatino Linotype" w:hAnsi="Palatino Linotype" w:cstheme="minorHAnsi"/>
          <w:sz w:val="22"/>
        </w:rPr>
        <w:t>which acknowledges:</w:t>
      </w:r>
    </w:p>
    <w:p w14:paraId="08DD8C19" w14:textId="77777777" w:rsidR="0015226D" w:rsidRPr="00597E56" w:rsidRDefault="0015226D" w:rsidP="00F1501F">
      <w:pPr>
        <w:spacing w:after="0" w:line="240" w:lineRule="auto"/>
        <w:ind w:left="567"/>
        <w:jc w:val="both"/>
        <w:rPr>
          <w:rStyle w:val="Emphasis"/>
          <w:rFonts w:ascii="Palatino Linotype" w:hAnsi="Palatino Linotype" w:cstheme="minorHAnsi"/>
          <w:i/>
          <w:sz w:val="22"/>
        </w:rPr>
      </w:pPr>
    </w:p>
    <w:p w14:paraId="365441D2" w14:textId="77777777" w:rsidR="0015226D" w:rsidRPr="00597E56" w:rsidRDefault="0015226D" w:rsidP="00F1501F">
      <w:pPr>
        <w:spacing w:after="0" w:line="240" w:lineRule="auto"/>
        <w:ind w:left="567"/>
        <w:jc w:val="both"/>
        <w:rPr>
          <w:rStyle w:val="Emphasis"/>
          <w:rFonts w:ascii="Palatino Linotype" w:hAnsi="Palatino Linotype" w:cstheme="minorHAnsi"/>
          <w:i/>
          <w:sz w:val="22"/>
        </w:rPr>
      </w:pPr>
      <w:r w:rsidRPr="00597E56">
        <w:rPr>
          <w:rStyle w:val="Emphasis"/>
          <w:rFonts w:ascii="Palatino Linotype" w:hAnsi="Palatino Linotype" w:cstheme="minorHAnsi"/>
          <w:i/>
          <w:sz w:val="22"/>
        </w:rPr>
        <w:t xml:space="preserve">…land is of spiritual, social, cultural and economic importance to Aborigines. </w:t>
      </w:r>
    </w:p>
    <w:p w14:paraId="596DEB9B" w14:textId="77777777" w:rsidR="0015226D" w:rsidRPr="00597E56" w:rsidRDefault="0015226D" w:rsidP="00F1501F">
      <w:pPr>
        <w:spacing w:after="0" w:line="240" w:lineRule="auto"/>
        <w:ind w:left="567"/>
        <w:jc w:val="both"/>
        <w:rPr>
          <w:rStyle w:val="Emphasis"/>
          <w:rFonts w:ascii="Palatino Linotype" w:hAnsi="Palatino Linotype" w:cstheme="minorHAnsi"/>
          <w:i/>
          <w:sz w:val="22"/>
        </w:rPr>
      </w:pPr>
    </w:p>
    <w:p w14:paraId="68F47CBC" w14:textId="307A4F3C" w:rsidR="0015226D" w:rsidRPr="00597E56" w:rsidRDefault="0015226D" w:rsidP="00F1501F">
      <w:pPr>
        <w:spacing w:after="0" w:line="240" w:lineRule="auto"/>
        <w:jc w:val="both"/>
        <w:rPr>
          <w:rStyle w:val="Emphasis"/>
          <w:rFonts w:ascii="Palatino Linotype" w:hAnsi="Palatino Linotype" w:cstheme="minorHAnsi"/>
          <w:i/>
          <w:sz w:val="22"/>
        </w:rPr>
      </w:pPr>
      <w:r w:rsidRPr="00597E56">
        <w:rPr>
          <w:rStyle w:val="Emphasis"/>
          <w:rFonts w:ascii="Palatino Linotype" w:hAnsi="Palatino Linotype" w:cstheme="minorHAnsi"/>
          <w:sz w:val="22"/>
        </w:rPr>
        <w:t xml:space="preserve">Highlighting the importance of land as acknowledged in the </w:t>
      </w:r>
      <w:r w:rsidR="003D51CA" w:rsidRPr="00597E56">
        <w:rPr>
          <w:rStyle w:val="Emphasis"/>
          <w:rFonts w:ascii="Palatino Linotype" w:hAnsi="Palatino Linotype" w:cstheme="minorHAnsi"/>
          <w:i/>
          <w:iCs/>
          <w:sz w:val="22"/>
        </w:rPr>
        <w:t>ALRA</w:t>
      </w:r>
      <w:r w:rsidRPr="00597E56">
        <w:rPr>
          <w:rStyle w:val="Emphasis"/>
          <w:rFonts w:ascii="Palatino Linotype" w:hAnsi="Palatino Linotype" w:cstheme="minorHAnsi"/>
          <w:sz w:val="22"/>
        </w:rPr>
        <w:t>, the Indigenous Land Corporation observed in its 1996 NSW Regional Indigenous Land Strategy:</w:t>
      </w:r>
    </w:p>
    <w:p w14:paraId="066239ED" w14:textId="77777777" w:rsidR="0015226D" w:rsidRPr="00597E56" w:rsidRDefault="0015226D" w:rsidP="00F1501F">
      <w:pPr>
        <w:spacing w:after="0" w:line="240" w:lineRule="auto"/>
        <w:ind w:left="567"/>
        <w:jc w:val="both"/>
        <w:rPr>
          <w:rStyle w:val="Emphasis"/>
          <w:rFonts w:ascii="Palatino Linotype" w:hAnsi="Palatino Linotype" w:cstheme="minorHAnsi"/>
          <w:i/>
          <w:sz w:val="22"/>
        </w:rPr>
      </w:pPr>
    </w:p>
    <w:p w14:paraId="0154F5B8" w14:textId="1C3C2745" w:rsidR="0015226D" w:rsidRPr="00597E56" w:rsidRDefault="00E77F14" w:rsidP="00F1501F">
      <w:pPr>
        <w:spacing w:after="0" w:line="240" w:lineRule="auto"/>
        <w:ind w:left="567"/>
        <w:jc w:val="both"/>
        <w:rPr>
          <w:rStyle w:val="Emphasis"/>
          <w:rFonts w:ascii="Palatino Linotype" w:hAnsi="Palatino Linotype" w:cstheme="minorHAnsi"/>
          <w:iCs/>
          <w:sz w:val="22"/>
        </w:rPr>
      </w:pPr>
      <w:r w:rsidRPr="00597E56">
        <w:rPr>
          <w:rStyle w:val="Emphasis"/>
          <w:rFonts w:ascii="Palatino Linotype" w:hAnsi="Palatino Linotype" w:cstheme="minorHAnsi"/>
          <w:i/>
          <w:sz w:val="22"/>
        </w:rPr>
        <w:t>…</w:t>
      </w:r>
      <w:r w:rsidR="0015226D" w:rsidRPr="00597E56">
        <w:rPr>
          <w:rStyle w:val="Emphasis"/>
          <w:rFonts w:ascii="Palatino Linotype" w:hAnsi="Palatino Linotype" w:cstheme="minorHAnsi"/>
          <w:i/>
          <w:sz w:val="22"/>
        </w:rPr>
        <w:t>[w]</w:t>
      </w:r>
      <w:proofErr w:type="spellStart"/>
      <w:r w:rsidR="0015226D" w:rsidRPr="00597E56">
        <w:rPr>
          <w:rStyle w:val="Emphasis"/>
          <w:rFonts w:ascii="Palatino Linotype" w:hAnsi="Palatino Linotype" w:cstheme="minorHAnsi"/>
          <w:i/>
          <w:sz w:val="22"/>
        </w:rPr>
        <w:t>ith</w:t>
      </w:r>
      <w:proofErr w:type="spellEnd"/>
      <w:r w:rsidR="0015226D" w:rsidRPr="00597E56">
        <w:rPr>
          <w:rStyle w:val="Emphasis"/>
          <w:rFonts w:ascii="Palatino Linotype" w:hAnsi="Palatino Linotype" w:cstheme="minorHAnsi"/>
          <w:i/>
          <w:sz w:val="22"/>
        </w:rPr>
        <w:t xml:space="preserve"> the enactment of the NSW Land Rights Act 1983 land held by the Aboriginal Land Trust was transferred to Aboriginal people.  The Act also provided scope for communities to make claims to Crown land of significance…</w:t>
      </w:r>
      <w:r w:rsidR="00714C65" w:rsidRPr="00597E56">
        <w:rPr>
          <w:rStyle w:val="Emphasis"/>
          <w:rFonts w:ascii="Palatino Linotype" w:hAnsi="Palatino Linotype" w:cstheme="minorHAnsi"/>
          <w:i/>
          <w:sz w:val="22"/>
        </w:rPr>
        <w:t xml:space="preserve"> </w:t>
      </w:r>
      <w:r w:rsidR="00714C65" w:rsidRPr="00597E56">
        <w:rPr>
          <w:rStyle w:val="Emphasis"/>
          <w:rFonts w:ascii="Palatino Linotype" w:hAnsi="Palatino Linotype" w:cstheme="minorHAnsi"/>
          <w:iCs/>
          <w:sz w:val="22"/>
        </w:rPr>
        <w:t>(Indigenous Land Corporation, 1996, p.15)</w:t>
      </w:r>
    </w:p>
    <w:p w14:paraId="23115819" w14:textId="77777777" w:rsidR="00642941" w:rsidRPr="00597E56" w:rsidRDefault="00642941" w:rsidP="00F1501F">
      <w:pPr>
        <w:spacing w:after="0" w:line="240" w:lineRule="auto"/>
        <w:ind w:left="567"/>
        <w:jc w:val="both"/>
        <w:rPr>
          <w:rStyle w:val="Emphasis"/>
          <w:rFonts w:ascii="Palatino Linotype" w:hAnsi="Palatino Linotype" w:cstheme="minorHAnsi"/>
          <w:i/>
          <w:sz w:val="22"/>
        </w:rPr>
      </w:pPr>
    </w:p>
    <w:p w14:paraId="3363454C" w14:textId="2D0F179E" w:rsidR="0015226D" w:rsidRPr="00597E56" w:rsidRDefault="003E04DD" w:rsidP="00F1501F">
      <w:pPr>
        <w:spacing w:after="0" w:line="240" w:lineRule="auto"/>
        <w:jc w:val="both"/>
        <w:rPr>
          <w:rStyle w:val="Emphasis"/>
          <w:rFonts w:ascii="Palatino Linotype" w:hAnsi="Palatino Linotype" w:cstheme="minorHAnsi"/>
          <w:sz w:val="22"/>
        </w:rPr>
      </w:pPr>
      <w:r w:rsidRPr="00597E56">
        <w:rPr>
          <w:rStyle w:val="Emphasis"/>
          <w:rFonts w:ascii="Palatino Linotype" w:hAnsi="Palatino Linotype" w:cstheme="minorHAnsi"/>
          <w:sz w:val="22"/>
        </w:rPr>
        <w:t>Given the above background, the final section of this paper addresses how compensation might be</w:t>
      </w:r>
      <w:r w:rsidR="00634578" w:rsidRPr="00597E56">
        <w:rPr>
          <w:rStyle w:val="Emphasis"/>
          <w:rFonts w:ascii="Palatino Linotype" w:hAnsi="Palatino Linotype" w:cstheme="minorHAnsi"/>
          <w:sz w:val="22"/>
        </w:rPr>
        <w:t xml:space="preserve"> assessed arising from the prospective acquisition of infrastructure property rights in </w:t>
      </w:r>
      <w:r w:rsidRPr="00597E56">
        <w:rPr>
          <w:rStyle w:val="Emphasis"/>
          <w:rFonts w:ascii="Palatino Linotype" w:hAnsi="Palatino Linotype" w:cstheme="minorHAnsi"/>
          <w:sz w:val="22"/>
        </w:rPr>
        <w:t>circumstances</w:t>
      </w:r>
      <w:r w:rsidR="00634578" w:rsidRPr="00597E56">
        <w:rPr>
          <w:rStyle w:val="Emphasis"/>
          <w:rFonts w:ascii="Palatino Linotype" w:hAnsi="Palatino Linotype" w:cstheme="minorHAnsi"/>
          <w:sz w:val="22"/>
        </w:rPr>
        <w:t xml:space="preserve"> when Aboriginal land rights are encountered.</w:t>
      </w:r>
    </w:p>
    <w:p w14:paraId="5A7E1064" w14:textId="77777777" w:rsidR="00E07352" w:rsidRPr="00597E56" w:rsidRDefault="00E07352" w:rsidP="00F1501F">
      <w:pPr>
        <w:spacing w:after="0" w:line="240" w:lineRule="auto"/>
        <w:jc w:val="both"/>
        <w:rPr>
          <w:rStyle w:val="Emphasis"/>
          <w:rFonts w:ascii="Palatino Linotype" w:hAnsi="Palatino Linotype" w:cstheme="minorHAnsi"/>
          <w:sz w:val="22"/>
        </w:rPr>
      </w:pPr>
    </w:p>
    <w:p w14:paraId="3FADA62D" w14:textId="77777777" w:rsidR="00294379" w:rsidRPr="00597E56" w:rsidRDefault="00294379" w:rsidP="00F1501F">
      <w:pPr>
        <w:spacing w:after="0" w:line="240" w:lineRule="auto"/>
        <w:jc w:val="both"/>
        <w:rPr>
          <w:rStyle w:val="Emphasis"/>
          <w:rFonts w:ascii="Palatino Linotype" w:hAnsi="Palatino Linotype" w:cstheme="minorHAnsi"/>
          <w:sz w:val="22"/>
        </w:rPr>
      </w:pPr>
    </w:p>
    <w:p w14:paraId="666853F4" w14:textId="77777777" w:rsidR="00294379" w:rsidRPr="00597E56" w:rsidRDefault="00294379" w:rsidP="00F1501F">
      <w:pPr>
        <w:spacing w:after="0" w:line="240" w:lineRule="auto"/>
        <w:jc w:val="both"/>
        <w:rPr>
          <w:rStyle w:val="Emphasis"/>
          <w:rFonts w:ascii="Palatino Linotype" w:hAnsi="Palatino Linotype" w:cstheme="minorHAnsi"/>
          <w:sz w:val="22"/>
        </w:rPr>
      </w:pPr>
    </w:p>
    <w:p w14:paraId="2E045614" w14:textId="77777777" w:rsidR="00294379" w:rsidRPr="00597E56" w:rsidRDefault="00294379" w:rsidP="00F1501F">
      <w:pPr>
        <w:spacing w:after="0" w:line="240" w:lineRule="auto"/>
        <w:jc w:val="both"/>
        <w:rPr>
          <w:rStyle w:val="Emphasis"/>
          <w:rFonts w:ascii="Palatino Linotype" w:hAnsi="Palatino Linotype" w:cstheme="minorHAnsi"/>
          <w:sz w:val="22"/>
        </w:rPr>
      </w:pPr>
    </w:p>
    <w:p w14:paraId="359564E7" w14:textId="48F94E2F" w:rsidR="0015226D" w:rsidRPr="00597E56" w:rsidRDefault="003E04DD" w:rsidP="00F1501F">
      <w:pPr>
        <w:spacing w:after="0" w:line="240" w:lineRule="auto"/>
        <w:jc w:val="both"/>
        <w:rPr>
          <w:rStyle w:val="Emphasis"/>
          <w:rFonts w:ascii="Palatino Linotype" w:hAnsi="Palatino Linotype" w:cstheme="minorHAnsi"/>
          <w:b/>
          <w:sz w:val="24"/>
          <w:szCs w:val="24"/>
        </w:rPr>
      </w:pPr>
      <w:r w:rsidRPr="00597E56">
        <w:rPr>
          <w:rStyle w:val="Emphasis"/>
          <w:rFonts w:ascii="Palatino Linotype" w:hAnsi="Palatino Linotype" w:cstheme="minorHAnsi"/>
          <w:b/>
          <w:sz w:val="24"/>
          <w:szCs w:val="24"/>
        </w:rPr>
        <w:lastRenderedPageBreak/>
        <w:t>Compensation assessment.</w:t>
      </w:r>
    </w:p>
    <w:p w14:paraId="2FB61EFA" w14:textId="77777777" w:rsidR="002713E4" w:rsidRPr="00597E56" w:rsidRDefault="002713E4" w:rsidP="00F1501F">
      <w:pPr>
        <w:spacing w:after="0" w:line="240" w:lineRule="auto"/>
        <w:jc w:val="both"/>
        <w:rPr>
          <w:rStyle w:val="Emphasis"/>
          <w:rFonts w:ascii="Palatino Linotype" w:hAnsi="Palatino Linotype" w:cstheme="minorHAnsi"/>
          <w:sz w:val="22"/>
        </w:rPr>
      </w:pPr>
    </w:p>
    <w:p w14:paraId="319E5D0C" w14:textId="7429368B" w:rsidR="00443E73" w:rsidRPr="00597E56" w:rsidRDefault="002713E4" w:rsidP="00F1501F">
      <w:pPr>
        <w:spacing w:after="0" w:line="240" w:lineRule="auto"/>
        <w:jc w:val="both"/>
        <w:rPr>
          <w:rStyle w:val="Emphasis"/>
          <w:rFonts w:ascii="Palatino Linotype" w:hAnsi="Palatino Linotype" w:cstheme="minorHAnsi"/>
          <w:i/>
          <w:sz w:val="22"/>
        </w:rPr>
      </w:pPr>
      <w:r w:rsidRPr="00597E56">
        <w:rPr>
          <w:rStyle w:val="Emphasis"/>
          <w:rFonts w:ascii="Palatino Linotype" w:hAnsi="Palatino Linotype" w:cstheme="minorHAnsi"/>
          <w:sz w:val="22"/>
        </w:rPr>
        <w:t>From the foregoing discussion, it can</w:t>
      </w:r>
      <w:r w:rsidR="002C47B5" w:rsidRPr="00597E56">
        <w:rPr>
          <w:rStyle w:val="Emphasis"/>
          <w:rFonts w:ascii="Palatino Linotype" w:hAnsi="Palatino Linotype" w:cstheme="minorHAnsi"/>
          <w:sz w:val="22"/>
        </w:rPr>
        <w:t xml:space="preserve"> be</w:t>
      </w:r>
      <w:r w:rsidRPr="00597E56">
        <w:rPr>
          <w:rStyle w:val="Emphasis"/>
          <w:rFonts w:ascii="Palatino Linotype" w:hAnsi="Palatino Linotype" w:cstheme="minorHAnsi"/>
          <w:sz w:val="22"/>
        </w:rPr>
        <w:t xml:space="preserve"> discerned that Aboriginal l</w:t>
      </w:r>
      <w:r w:rsidR="00443E73" w:rsidRPr="00597E56">
        <w:rPr>
          <w:rStyle w:val="Emphasis"/>
          <w:rFonts w:ascii="Palatino Linotype" w:hAnsi="Palatino Linotype" w:cstheme="minorHAnsi"/>
          <w:sz w:val="22"/>
        </w:rPr>
        <w:t xml:space="preserve">and claims can fall within two broad categories, first those Crown lands claimed which are of intrinsic importance to the local traditional owners or second, Crown land which is available in </w:t>
      </w:r>
      <w:r w:rsidR="00826023" w:rsidRPr="00597E56">
        <w:rPr>
          <w:rStyle w:val="Emphasis"/>
          <w:rFonts w:ascii="Palatino Linotype" w:hAnsi="Palatino Linotype" w:cstheme="minorHAnsi"/>
          <w:sz w:val="22"/>
        </w:rPr>
        <w:t xml:space="preserve">broader </w:t>
      </w:r>
      <w:r w:rsidR="00443E73" w:rsidRPr="00597E56">
        <w:rPr>
          <w:rStyle w:val="Emphasis"/>
          <w:rFonts w:ascii="Palatino Linotype" w:hAnsi="Palatino Linotype" w:cstheme="minorHAnsi"/>
          <w:sz w:val="22"/>
        </w:rPr>
        <w:t xml:space="preserve">recompense for the </w:t>
      </w:r>
      <w:r w:rsidR="00826023" w:rsidRPr="00597E56">
        <w:rPr>
          <w:rStyle w:val="Emphasis"/>
          <w:rFonts w:ascii="Palatino Linotype" w:hAnsi="Palatino Linotype" w:cstheme="minorHAnsi"/>
          <w:sz w:val="22"/>
        </w:rPr>
        <w:t xml:space="preserve">omnibus </w:t>
      </w:r>
      <w:r w:rsidR="00443E73" w:rsidRPr="00597E56">
        <w:rPr>
          <w:rStyle w:val="Emphasis"/>
          <w:rFonts w:ascii="Palatino Linotype" w:hAnsi="Palatino Linotype" w:cstheme="minorHAnsi"/>
          <w:sz w:val="22"/>
        </w:rPr>
        <w:t xml:space="preserve">dispossession of traditional owners since colonisation. </w:t>
      </w:r>
      <w:r w:rsidR="00826023" w:rsidRPr="00597E56">
        <w:rPr>
          <w:rStyle w:val="Emphasis"/>
          <w:rFonts w:ascii="Palatino Linotype" w:hAnsi="Palatino Linotype" w:cstheme="minorHAnsi"/>
          <w:sz w:val="22"/>
        </w:rPr>
        <w:t>Obviously,</w:t>
      </w:r>
      <w:r w:rsidR="00443E73" w:rsidRPr="00597E56">
        <w:rPr>
          <w:rStyle w:val="Emphasis"/>
          <w:rFonts w:ascii="Palatino Linotype" w:hAnsi="Palatino Linotype" w:cstheme="minorHAnsi"/>
          <w:sz w:val="22"/>
        </w:rPr>
        <w:t xml:space="preserve"> some land claims can cover both categories being Crown land not needed for an essential public purpose </w:t>
      </w:r>
      <w:r w:rsidR="00826023" w:rsidRPr="00597E56">
        <w:rPr>
          <w:rStyle w:val="Emphasis"/>
          <w:rFonts w:ascii="Palatino Linotype" w:hAnsi="Palatino Linotype" w:cstheme="minorHAnsi"/>
          <w:sz w:val="22"/>
        </w:rPr>
        <w:t xml:space="preserve">whilst </w:t>
      </w:r>
      <w:r w:rsidR="00443E73" w:rsidRPr="00597E56">
        <w:rPr>
          <w:rStyle w:val="Emphasis"/>
          <w:rFonts w:ascii="Palatino Linotype" w:hAnsi="Palatino Linotype" w:cstheme="minorHAnsi"/>
          <w:sz w:val="22"/>
        </w:rPr>
        <w:t>also having intrinsic Indigenous importance.</w:t>
      </w:r>
      <w:r w:rsidRPr="00597E56">
        <w:rPr>
          <w:rStyle w:val="Emphasis"/>
          <w:rFonts w:ascii="Palatino Linotype" w:hAnsi="Palatino Linotype" w:cstheme="minorHAnsi"/>
          <w:i/>
          <w:sz w:val="22"/>
        </w:rPr>
        <w:t xml:space="preserve"> </w:t>
      </w:r>
      <w:r w:rsidRPr="00597E56">
        <w:rPr>
          <w:rStyle w:val="Emphasis"/>
          <w:rFonts w:ascii="Palatino Linotype" w:hAnsi="Palatino Linotype" w:cstheme="minorHAnsi"/>
          <w:sz w:val="22"/>
        </w:rPr>
        <w:t>Any</w:t>
      </w:r>
      <w:r w:rsidR="00443E73" w:rsidRPr="00597E56">
        <w:rPr>
          <w:rStyle w:val="Emphasis"/>
          <w:rFonts w:ascii="Palatino Linotype" w:hAnsi="Palatino Linotype" w:cstheme="minorHAnsi"/>
          <w:sz w:val="22"/>
        </w:rPr>
        <w:t xml:space="preserve"> incomplete </w:t>
      </w:r>
      <w:r w:rsidRPr="00597E56">
        <w:rPr>
          <w:rStyle w:val="Emphasis"/>
          <w:rFonts w:ascii="Palatino Linotype" w:hAnsi="Palatino Linotype" w:cstheme="minorHAnsi"/>
          <w:sz w:val="22"/>
        </w:rPr>
        <w:t xml:space="preserve">Aboriginal </w:t>
      </w:r>
      <w:r w:rsidR="00443E73" w:rsidRPr="00597E56">
        <w:rPr>
          <w:rStyle w:val="Emphasis"/>
          <w:rFonts w:ascii="Palatino Linotype" w:hAnsi="Palatino Linotype" w:cstheme="minorHAnsi"/>
          <w:sz w:val="22"/>
        </w:rPr>
        <w:t xml:space="preserve">land claims may be merely aspirational within the </w:t>
      </w:r>
      <w:r w:rsidRPr="00597E56">
        <w:rPr>
          <w:rStyle w:val="Emphasis"/>
          <w:rFonts w:ascii="Palatino Linotype" w:hAnsi="Palatino Linotype" w:cstheme="minorHAnsi"/>
          <w:sz w:val="22"/>
        </w:rPr>
        <w:t xml:space="preserve">previously mentioned </w:t>
      </w:r>
      <w:r w:rsidR="00443E73" w:rsidRPr="00597E56">
        <w:rPr>
          <w:rStyle w:val="Emphasis"/>
          <w:rFonts w:ascii="Palatino Linotype" w:hAnsi="Palatino Linotype" w:cstheme="minorHAnsi"/>
          <w:sz w:val="22"/>
        </w:rPr>
        <w:t xml:space="preserve">category of broad recompense for dispossession. </w:t>
      </w:r>
    </w:p>
    <w:p w14:paraId="0F1D4D72" w14:textId="77777777" w:rsidR="002713E4" w:rsidRPr="00597E56" w:rsidRDefault="002713E4" w:rsidP="00F1501F">
      <w:pPr>
        <w:spacing w:after="0" w:line="240" w:lineRule="auto"/>
        <w:jc w:val="both"/>
        <w:rPr>
          <w:rStyle w:val="Emphasis"/>
          <w:rFonts w:ascii="Palatino Linotype" w:hAnsi="Palatino Linotype" w:cstheme="minorHAnsi"/>
          <w:sz w:val="22"/>
        </w:rPr>
      </w:pPr>
    </w:p>
    <w:p w14:paraId="23646C47" w14:textId="7D579F5C" w:rsidR="00443E73" w:rsidRPr="00597E56" w:rsidRDefault="002713E4" w:rsidP="00F1501F">
      <w:pPr>
        <w:spacing w:after="0" w:line="240" w:lineRule="auto"/>
        <w:jc w:val="both"/>
        <w:rPr>
          <w:rFonts w:ascii="Palatino Linotype" w:hAnsi="Palatino Linotype" w:cstheme="minorHAnsi"/>
          <w:iCs/>
        </w:rPr>
      </w:pPr>
      <w:r w:rsidRPr="00597E56">
        <w:rPr>
          <w:rStyle w:val="Emphasis"/>
          <w:rFonts w:ascii="Palatino Linotype" w:hAnsi="Palatino Linotype" w:cstheme="minorHAnsi"/>
          <w:sz w:val="22"/>
        </w:rPr>
        <w:t>Confusingly, i</w:t>
      </w:r>
      <w:r w:rsidR="00443E73" w:rsidRPr="00597E56">
        <w:rPr>
          <w:rStyle w:val="Emphasis"/>
          <w:rFonts w:ascii="Palatino Linotype" w:hAnsi="Palatino Linotype" w:cstheme="minorHAnsi"/>
          <w:sz w:val="22"/>
        </w:rPr>
        <w:t xml:space="preserve">t is also recognised that the </w:t>
      </w:r>
      <w:r w:rsidR="00443E73" w:rsidRPr="00597E56">
        <w:rPr>
          <w:rStyle w:val="Emphasis"/>
          <w:rFonts w:ascii="Palatino Linotype" w:hAnsi="Palatino Linotype" w:cstheme="minorHAnsi"/>
          <w:i/>
          <w:sz w:val="22"/>
        </w:rPr>
        <w:t>A</w:t>
      </w:r>
      <w:r w:rsidR="00826023" w:rsidRPr="00597E56">
        <w:rPr>
          <w:rStyle w:val="Emphasis"/>
          <w:rFonts w:ascii="Palatino Linotype" w:hAnsi="Palatino Linotype" w:cstheme="minorHAnsi"/>
          <w:i/>
          <w:sz w:val="22"/>
        </w:rPr>
        <w:t>LRA</w:t>
      </w:r>
      <w:r w:rsidR="00443E73" w:rsidRPr="00597E56">
        <w:rPr>
          <w:rStyle w:val="Emphasis"/>
          <w:rFonts w:ascii="Palatino Linotype" w:hAnsi="Palatino Linotype" w:cstheme="minorHAnsi"/>
          <w:sz w:val="22"/>
        </w:rPr>
        <w:t xml:space="preserve"> assigns membership of claimant </w:t>
      </w:r>
      <w:r w:rsidRPr="00597E56">
        <w:rPr>
          <w:rStyle w:val="Emphasis"/>
          <w:rFonts w:ascii="Palatino Linotype" w:hAnsi="Palatino Linotype" w:cstheme="minorHAnsi"/>
          <w:sz w:val="22"/>
        </w:rPr>
        <w:t xml:space="preserve">Aboriginal Land Councils </w:t>
      </w:r>
      <w:r w:rsidR="00443E73" w:rsidRPr="00597E56">
        <w:rPr>
          <w:rStyle w:val="Emphasis"/>
          <w:rFonts w:ascii="Palatino Linotype" w:hAnsi="Palatino Linotype" w:cstheme="minorHAnsi"/>
          <w:sz w:val="22"/>
        </w:rPr>
        <w:t>"on the basis of residence” whereas residency may not necessarily reflect “traditional ancestral identification with an area”</w:t>
      </w:r>
      <w:r w:rsidR="00714C65" w:rsidRPr="00597E56">
        <w:rPr>
          <w:rFonts w:ascii="Palatino Linotype" w:hAnsi="Palatino Linotype" w:cstheme="minorHAnsi"/>
          <w:iCs/>
        </w:rPr>
        <w:t xml:space="preserve"> (Sutton,1999, p.41).  </w:t>
      </w:r>
      <w:r w:rsidR="00443E73" w:rsidRPr="00597E56">
        <w:rPr>
          <w:rFonts w:ascii="Palatino Linotype" w:hAnsi="Palatino Linotype" w:cstheme="minorHAnsi"/>
          <w:iCs/>
        </w:rPr>
        <w:t xml:space="preserve">Additionally, </w:t>
      </w:r>
      <w:r w:rsidRPr="00597E56">
        <w:rPr>
          <w:rFonts w:ascii="Palatino Linotype" w:hAnsi="Palatino Linotype" w:cstheme="minorHAnsi"/>
          <w:iCs/>
        </w:rPr>
        <w:t xml:space="preserve">Aboriginal </w:t>
      </w:r>
      <w:r w:rsidR="00443E73" w:rsidRPr="00597E56">
        <w:rPr>
          <w:rFonts w:ascii="Palatino Linotype" w:hAnsi="Palatino Linotype" w:cstheme="minorHAnsi"/>
          <w:iCs/>
        </w:rPr>
        <w:t>land claims do not necessarily:</w:t>
      </w:r>
    </w:p>
    <w:p w14:paraId="5E9AAE3E" w14:textId="77777777" w:rsidR="00443E73" w:rsidRPr="00597E56" w:rsidRDefault="00443E73" w:rsidP="00F1501F">
      <w:pPr>
        <w:spacing w:after="0" w:line="240" w:lineRule="auto"/>
        <w:ind w:left="567"/>
        <w:jc w:val="both"/>
        <w:rPr>
          <w:rFonts w:ascii="Palatino Linotype" w:hAnsi="Palatino Linotype" w:cstheme="minorHAnsi"/>
          <w:iCs/>
        </w:rPr>
      </w:pPr>
    </w:p>
    <w:p w14:paraId="6F1B612E" w14:textId="0240CA4F" w:rsidR="00443E73" w:rsidRPr="00597E56" w:rsidRDefault="00443E73" w:rsidP="00F1501F">
      <w:pPr>
        <w:spacing w:after="0" w:line="240" w:lineRule="auto"/>
        <w:ind w:left="567"/>
        <w:jc w:val="both"/>
        <w:rPr>
          <w:rFonts w:ascii="Palatino Linotype" w:hAnsi="Palatino Linotype" w:cstheme="minorHAnsi"/>
          <w:iCs/>
        </w:rPr>
      </w:pPr>
      <w:r w:rsidRPr="00597E56">
        <w:rPr>
          <w:rFonts w:ascii="Palatino Linotype" w:hAnsi="Palatino Linotype" w:cstheme="minorHAnsi"/>
          <w:i/>
          <w:iCs/>
        </w:rPr>
        <w:t>…require proof of any traditional association with the land.  Rather, land must be ‘claimable Crown lands’…</w:t>
      </w:r>
      <w:r w:rsidR="00714C65" w:rsidRPr="00597E56">
        <w:rPr>
          <w:rFonts w:ascii="Palatino Linotype" w:hAnsi="Palatino Linotype" w:cstheme="minorHAnsi"/>
          <w:i/>
          <w:iCs/>
        </w:rPr>
        <w:t xml:space="preserve"> </w:t>
      </w:r>
      <w:r w:rsidR="00714C65" w:rsidRPr="00597E56">
        <w:rPr>
          <w:rFonts w:ascii="Palatino Linotype" w:hAnsi="Palatino Linotype" w:cstheme="minorHAnsi"/>
          <w:iCs/>
        </w:rPr>
        <w:t>(Kelly &amp; Behrendt, 2007, p.81)</w:t>
      </w:r>
    </w:p>
    <w:p w14:paraId="086C07B1" w14:textId="77777777" w:rsidR="00443E73" w:rsidRPr="00597E56" w:rsidRDefault="00443E73" w:rsidP="00F1501F">
      <w:pPr>
        <w:spacing w:after="0" w:line="240" w:lineRule="auto"/>
        <w:ind w:left="567"/>
        <w:jc w:val="both"/>
        <w:rPr>
          <w:rFonts w:ascii="Palatino Linotype" w:hAnsi="Palatino Linotype" w:cstheme="minorHAnsi"/>
          <w:i/>
          <w:iCs/>
        </w:rPr>
      </w:pPr>
    </w:p>
    <w:p w14:paraId="336FCD05" w14:textId="12AA699F" w:rsidR="00443E73" w:rsidRPr="00597E56" w:rsidRDefault="002713E4" w:rsidP="00F1501F">
      <w:pPr>
        <w:spacing w:after="0" w:line="240" w:lineRule="auto"/>
        <w:jc w:val="both"/>
        <w:rPr>
          <w:rStyle w:val="Emphasis"/>
          <w:rFonts w:ascii="Palatino Linotype" w:hAnsi="Palatino Linotype" w:cstheme="minorHAnsi"/>
          <w:i/>
          <w:sz w:val="22"/>
        </w:rPr>
      </w:pPr>
      <w:r w:rsidRPr="00597E56">
        <w:rPr>
          <w:rFonts w:ascii="Palatino Linotype" w:hAnsi="Palatino Linotype" w:cstheme="minorHAnsi"/>
          <w:iCs/>
        </w:rPr>
        <w:t xml:space="preserve">Nevertheless, </w:t>
      </w:r>
      <w:r w:rsidR="00443E73" w:rsidRPr="00597E56">
        <w:rPr>
          <w:rFonts w:ascii="Palatino Linotype" w:hAnsi="Palatino Linotype" w:cstheme="minorHAnsi"/>
          <w:iCs/>
        </w:rPr>
        <w:t xml:space="preserve">some Crown lands </w:t>
      </w:r>
      <w:r w:rsidRPr="00597E56">
        <w:rPr>
          <w:rFonts w:ascii="Palatino Linotype" w:hAnsi="Palatino Linotype" w:cstheme="minorHAnsi"/>
          <w:iCs/>
        </w:rPr>
        <w:t xml:space="preserve">claimed </w:t>
      </w:r>
      <w:r w:rsidR="00443E73" w:rsidRPr="00597E56">
        <w:rPr>
          <w:rFonts w:ascii="Palatino Linotype" w:hAnsi="Palatino Linotype" w:cstheme="minorHAnsi"/>
          <w:iCs/>
        </w:rPr>
        <w:t>can have intrinsic</w:t>
      </w:r>
      <w:r w:rsidR="00443E73" w:rsidRPr="00597E56">
        <w:rPr>
          <w:rStyle w:val="Emphasis"/>
          <w:rFonts w:ascii="Palatino Linotype" w:hAnsi="Palatino Linotype" w:cstheme="minorHAnsi"/>
          <w:sz w:val="22"/>
        </w:rPr>
        <w:t xml:space="preserve"> importance to the local traditional owners who may also be resident members of a claimant </w:t>
      </w:r>
      <w:r w:rsidRPr="00597E56">
        <w:rPr>
          <w:rStyle w:val="Emphasis"/>
          <w:rFonts w:ascii="Palatino Linotype" w:hAnsi="Palatino Linotype" w:cstheme="minorHAnsi"/>
          <w:sz w:val="22"/>
        </w:rPr>
        <w:t>Aboriginal Land C</w:t>
      </w:r>
      <w:r w:rsidR="00443E73" w:rsidRPr="00597E56">
        <w:rPr>
          <w:rStyle w:val="Emphasis"/>
          <w:rFonts w:ascii="Palatino Linotype" w:hAnsi="Palatino Linotype" w:cstheme="minorHAnsi"/>
          <w:sz w:val="22"/>
        </w:rPr>
        <w:t>ouncil, Laing observing:</w:t>
      </w:r>
    </w:p>
    <w:p w14:paraId="631909BD" w14:textId="77777777" w:rsidR="00443E73" w:rsidRPr="00597E56" w:rsidRDefault="00443E73" w:rsidP="00F1501F">
      <w:pPr>
        <w:spacing w:after="0" w:line="240" w:lineRule="auto"/>
        <w:ind w:left="567"/>
        <w:jc w:val="both"/>
        <w:rPr>
          <w:rStyle w:val="Emphasis"/>
          <w:rFonts w:ascii="Palatino Linotype" w:hAnsi="Palatino Linotype" w:cstheme="minorHAnsi"/>
          <w:i/>
          <w:sz w:val="22"/>
        </w:rPr>
      </w:pPr>
    </w:p>
    <w:p w14:paraId="6734900A" w14:textId="77777777" w:rsidR="003D51CA" w:rsidRPr="00597E56" w:rsidRDefault="00443E73" w:rsidP="00F1501F">
      <w:pPr>
        <w:spacing w:after="0" w:line="240" w:lineRule="auto"/>
        <w:ind w:left="567"/>
        <w:jc w:val="both"/>
        <w:rPr>
          <w:rStyle w:val="Emphasis"/>
          <w:rFonts w:ascii="Palatino Linotype" w:hAnsi="Palatino Linotype" w:cstheme="minorHAnsi"/>
          <w:i/>
          <w:sz w:val="22"/>
        </w:rPr>
      </w:pPr>
      <w:r w:rsidRPr="00597E56">
        <w:rPr>
          <w:rStyle w:val="Emphasis"/>
          <w:rFonts w:ascii="Palatino Linotype" w:hAnsi="Palatino Linotype" w:cstheme="minorHAnsi"/>
          <w:i/>
          <w:sz w:val="22"/>
        </w:rPr>
        <w:t>[</w:t>
      </w:r>
      <w:proofErr w:type="spellStart"/>
      <w:r w:rsidRPr="00597E56">
        <w:rPr>
          <w:rStyle w:val="Emphasis"/>
          <w:rFonts w:ascii="Palatino Linotype" w:hAnsi="Palatino Linotype" w:cstheme="minorHAnsi"/>
          <w:i/>
          <w:sz w:val="22"/>
        </w:rPr>
        <w:t>i</w:t>
      </w:r>
      <w:proofErr w:type="spellEnd"/>
      <w:r w:rsidRPr="00597E56">
        <w:rPr>
          <w:rStyle w:val="Emphasis"/>
          <w:rFonts w:ascii="Palatino Linotype" w:hAnsi="Palatino Linotype" w:cstheme="minorHAnsi"/>
          <w:i/>
          <w:sz w:val="22"/>
        </w:rPr>
        <w:t>]n claiming land rights, Indigenous people are seeking a grant of title from the government of their state or territory.  The granting of such land may, in fact, recognise traditional interests in the land such as heritage or culturally significant sites; or what was colloquially known as ‘sacred sites’</w:t>
      </w:r>
      <w:r w:rsidR="002079FF" w:rsidRPr="00597E56">
        <w:rPr>
          <w:rStyle w:val="Emphasis"/>
          <w:rFonts w:ascii="Palatino Linotype" w:hAnsi="Palatino Linotype" w:cstheme="minorHAnsi"/>
          <w:i/>
          <w:sz w:val="22"/>
        </w:rPr>
        <w:t>...</w:t>
      </w:r>
    </w:p>
    <w:p w14:paraId="52977818" w14:textId="195EDC42" w:rsidR="00443E73" w:rsidRPr="00597E56" w:rsidRDefault="002079FF" w:rsidP="00F1501F">
      <w:pPr>
        <w:spacing w:after="0" w:line="240" w:lineRule="auto"/>
        <w:ind w:left="567"/>
        <w:jc w:val="both"/>
        <w:rPr>
          <w:rStyle w:val="Emphasis"/>
          <w:rFonts w:ascii="Palatino Linotype" w:hAnsi="Palatino Linotype" w:cstheme="minorHAnsi"/>
          <w:iCs/>
          <w:sz w:val="22"/>
        </w:rPr>
      </w:pPr>
      <w:r w:rsidRPr="00597E56">
        <w:rPr>
          <w:rFonts w:ascii="Palatino Linotype" w:hAnsi="Palatino Linotype" w:cstheme="minorHAnsi"/>
        </w:rPr>
        <w:t>(</w:t>
      </w:r>
      <w:r w:rsidRPr="00597E56">
        <w:rPr>
          <w:rStyle w:val="Emphasis"/>
          <w:rFonts w:ascii="Palatino Linotype" w:hAnsi="Palatino Linotype" w:cstheme="minorHAnsi"/>
          <w:iCs/>
          <w:sz w:val="22"/>
        </w:rPr>
        <w:t>Laing, 2007, p.54)</w:t>
      </w:r>
    </w:p>
    <w:p w14:paraId="2D4F7157" w14:textId="77777777" w:rsidR="00443E73" w:rsidRPr="00597E56" w:rsidRDefault="00443E73" w:rsidP="00F1501F">
      <w:pPr>
        <w:spacing w:after="0" w:line="240" w:lineRule="auto"/>
        <w:ind w:left="567"/>
        <w:jc w:val="both"/>
        <w:rPr>
          <w:rFonts w:ascii="Palatino Linotype" w:hAnsi="Palatino Linotype" w:cstheme="minorHAnsi"/>
        </w:rPr>
      </w:pPr>
    </w:p>
    <w:p w14:paraId="5BBBDA30" w14:textId="1E12EEEF" w:rsidR="00443E73" w:rsidRPr="00597E56" w:rsidRDefault="000352A4" w:rsidP="00F1501F">
      <w:pPr>
        <w:spacing w:after="0" w:line="240" w:lineRule="auto"/>
        <w:jc w:val="both"/>
        <w:rPr>
          <w:rFonts w:ascii="Palatino Linotype" w:hAnsi="Palatino Linotype" w:cstheme="minorHAnsi"/>
        </w:rPr>
      </w:pPr>
      <w:r w:rsidRPr="00597E56">
        <w:rPr>
          <w:rFonts w:ascii="Palatino Linotype" w:hAnsi="Palatino Linotype" w:cstheme="minorHAnsi"/>
        </w:rPr>
        <w:t xml:space="preserve">As mentioned earlier, determining </w:t>
      </w:r>
      <w:r w:rsidR="00443E73" w:rsidRPr="00597E56">
        <w:rPr>
          <w:rFonts w:ascii="Palatino Linotype" w:hAnsi="Palatino Linotype" w:cstheme="minorHAnsi"/>
        </w:rPr>
        <w:t xml:space="preserve">the value </w:t>
      </w:r>
      <w:r w:rsidRPr="00597E56">
        <w:rPr>
          <w:rFonts w:ascii="Palatino Linotype" w:hAnsi="Palatino Linotype" w:cstheme="minorHAnsi"/>
        </w:rPr>
        <w:t>of the freehold title</w:t>
      </w:r>
      <w:r w:rsidR="00443E73" w:rsidRPr="00597E56">
        <w:rPr>
          <w:rFonts w:ascii="Palatino Linotype" w:hAnsi="Palatino Linotype" w:cstheme="minorHAnsi"/>
        </w:rPr>
        <w:t xml:space="preserve"> does not need to comply with the definition of market value, </w:t>
      </w:r>
      <w:r w:rsidR="00443E73" w:rsidRPr="00597E56">
        <w:rPr>
          <w:rFonts w:ascii="Palatino Linotype" w:hAnsi="Palatino Linotype" w:cstheme="minorHAnsi"/>
          <w:i/>
        </w:rPr>
        <w:t>s.56(1) Land Acquisition (Just Terms Compensation) Act 1991</w:t>
      </w:r>
      <w:r w:rsidR="00826023" w:rsidRPr="00597E56">
        <w:rPr>
          <w:rFonts w:ascii="Palatino Linotype" w:hAnsi="Palatino Linotype" w:cstheme="minorHAnsi"/>
          <w:iCs/>
        </w:rPr>
        <w:t>(NSW)</w:t>
      </w:r>
      <w:r w:rsidR="00443E73" w:rsidRPr="00597E56">
        <w:rPr>
          <w:rFonts w:ascii="Palatino Linotype" w:hAnsi="Palatino Linotype" w:cstheme="minorHAnsi"/>
        </w:rPr>
        <w:t xml:space="preserve">, as the acquisition cannot be compulsory in ordinary circumstances. However, the above definition of market value can be of assistance as it reflects established case law. In </w:t>
      </w:r>
      <w:r w:rsidR="00443E73" w:rsidRPr="00597E56">
        <w:rPr>
          <w:rFonts w:ascii="Palatino Linotype" w:hAnsi="Palatino Linotype" w:cstheme="minorHAnsi"/>
          <w:i/>
        </w:rPr>
        <w:t xml:space="preserve">Raja </w:t>
      </w:r>
      <w:proofErr w:type="spellStart"/>
      <w:r w:rsidR="00443E73" w:rsidRPr="00597E56">
        <w:rPr>
          <w:rFonts w:ascii="Palatino Linotype" w:hAnsi="Palatino Linotype" w:cstheme="minorHAnsi"/>
          <w:i/>
        </w:rPr>
        <w:t>Vyricherla</w:t>
      </w:r>
      <w:proofErr w:type="spellEnd"/>
      <w:r w:rsidR="00443E73" w:rsidRPr="00597E56">
        <w:rPr>
          <w:rFonts w:ascii="Palatino Linotype" w:hAnsi="Palatino Linotype" w:cstheme="minorHAnsi"/>
          <w:i/>
        </w:rPr>
        <w:t xml:space="preserve"> Narayana </w:t>
      </w:r>
      <w:proofErr w:type="spellStart"/>
      <w:r w:rsidR="00443E73" w:rsidRPr="00597E56">
        <w:rPr>
          <w:rFonts w:ascii="Palatino Linotype" w:hAnsi="Palatino Linotype" w:cstheme="minorHAnsi"/>
          <w:i/>
        </w:rPr>
        <w:t>Gajapatiraju</w:t>
      </w:r>
      <w:proofErr w:type="spellEnd"/>
      <w:r w:rsidR="00443E73" w:rsidRPr="00597E56">
        <w:rPr>
          <w:rFonts w:ascii="Palatino Linotype" w:hAnsi="Palatino Linotype" w:cstheme="minorHAnsi"/>
          <w:i/>
        </w:rPr>
        <w:t xml:space="preserve"> v Revenue Divisional Officer, Vizagapatam [1939] AC 302</w:t>
      </w:r>
      <w:r w:rsidR="00443E73" w:rsidRPr="00597E56">
        <w:rPr>
          <w:rFonts w:ascii="Palatino Linotype" w:hAnsi="Palatino Linotype" w:cstheme="minorHAnsi"/>
        </w:rPr>
        <w:t xml:space="preserve"> </w:t>
      </w:r>
      <w:r w:rsidRPr="00597E56">
        <w:rPr>
          <w:rFonts w:ascii="Palatino Linotype" w:hAnsi="Palatino Linotype" w:cstheme="minorHAnsi"/>
          <w:i/>
        </w:rPr>
        <w:t>(Raja’s case)</w:t>
      </w:r>
      <w:r w:rsidRPr="00597E56">
        <w:rPr>
          <w:rFonts w:ascii="Palatino Linotype" w:hAnsi="Palatino Linotype" w:cstheme="minorHAnsi"/>
        </w:rPr>
        <w:t xml:space="preserve"> </w:t>
      </w:r>
      <w:r w:rsidR="00443E73" w:rsidRPr="00597E56">
        <w:rPr>
          <w:rFonts w:ascii="Palatino Linotype" w:hAnsi="Palatino Linotype" w:cstheme="minorHAnsi"/>
        </w:rPr>
        <w:t xml:space="preserve">it was established that a willing seller of land might reasonably expect to gain a price from a willing purchaser which reflected its location with its potentialities. </w:t>
      </w:r>
      <w:r w:rsidR="00642941" w:rsidRPr="00597E56">
        <w:rPr>
          <w:rFonts w:ascii="Palatino Linotype" w:hAnsi="Palatino Linotype" w:cstheme="minorHAnsi"/>
        </w:rPr>
        <w:t>However,</w:t>
      </w:r>
      <w:r w:rsidR="00443E73" w:rsidRPr="00597E56">
        <w:rPr>
          <w:rFonts w:ascii="Palatino Linotype" w:hAnsi="Palatino Linotype" w:cstheme="minorHAnsi"/>
        </w:rPr>
        <w:t xml:space="preserve"> such interaction between purchaser and seller is still based within the concept in </w:t>
      </w:r>
      <w:r w:rsidR="00443E73" w:rsidRPr="00597E56">
        <w:rPr>
          <w:rFonts w:ascii="Palatino Linotype" w:hAnsi="Palatino Linotype" w:cstheme="minorHAnsi"/>
          <w:i/>
        </w:rPr>
        <w:t>Spencer v The Commonwealth (1907) 5 CLR 418</w:t>
      </w:r>
      <w:r w:rsidR="00443E73" w:rsidRPr="00597E56">
        <w:rPr>
          <w:rFonts w:ascii="Palatino Linotype" w:hAnsi="Palatino Linotype" w:cstheme="minorHAnsi"/>
        </w:rPr>
        <w:t xml:space="preserve"> of the value of land agreed between a willing purchaser and willing seller notwithstanding any additional advantages that the land may have.</w:t>
      </w:r>
    </w:p>
    <w:p w14:paraId="50AE5D7F" w14:textId="77777777" w:rsidR="00443E73" w:rsidRPr="00597E56" w:rsidRDefault="00443E73" w:rsidP="00F1501F">
      <w:pPr>
        <w:spacing w:after="0" w:line="240" w:lineRule="auto"/>
        <w:jc w:val="both"/>
        <w:rPr>
          <w:rFonts w:ascii="Palatino Linotype" w:hAnsi="Palatino Linotype" w:cstheme="minorHAnsi"/>
        </w:rPr>
      </w:pPr>
    </w:p>
    <w:p w14:paraId="4C45A6DB" w14:textId="5764F906" w:rsidR="00443E73" w:rsidRPr="00597E56" w:rsidRDefault="00443E73" w:rsidP="00F1501F">
      <w:pPr>
        <w:spacing w:after="0" w:line="240" w:lineRule="auto"/>
        <w:jc w:val="both"/>
        <w:rPr>
          <w:rFonts w:ascii="Palatino Linotype" w:hAnsi="Palatino Linotype" w:cstheme="minorHAnsi"/>
          <w:spacing w:val="-9"/>
          <w:w w:val="103"/>
        </w:rPr>
      </w:pPr>
      <w:r w:rsidRPr="00597E56">
        <w:rPr>
          <w:rFonts w:ascii="Palatino Linotype" w:hAnsi="Palatino Linotype" w:cstheme="minorHAnsi"/>
        </w:rPr>
        <w:t>Further</w:t>
      </w:r>
      <w:r w:rsidR="000352A4" w:rsidRPr="00597E56">
        <w:rPr>
          <w:rFonts w:ascii="Palatino Linotype" w:hAnsi="Palatino Linotype" w:cstheme="minorHAnsi"/>
        </w:rPr>
        <w:t>, the value of the freehold title</w:t>
      </w:r>
      <w:r w:rsidRPr="00597E56">
        <w:rPr>
          <w:rFonts w:ascii="Palatino Linotype" w:hAnsi="Palatino Linotype" w:cstheme="minorHAnsi"/>
        </w:rPr>
        <w:t xml:space="preserve"> ought not reflect any uplift in value which could be attributed to</w:t>
      </w:r>
      <w:r w:rsidR="000352A4" w:rsidRPr="00597E56">
        <w:rPr>
          <w:rFonts w:ascii="Palatino Linotype" w:hAnsi="Palatino Linotype" w:cstheme="minorHAnsi"/>
        </w:rPr>
        <w:t xml:space="preserve"> the proposed infrastructure works </w:t>
      </w:r>
      <w:r w:rsidR="00642941" w:rsidRPr="00597E56">
        <w:rPr>
          <w:rFonts w:ascii="Palatino Linotype" w:hAnsi="Palatino Linotype" w:cstheme="minorHAnsi"/>
        </w:rPr>
        <w:t>reflecting</w:t>
      </w:r>
      <w:r w:rsidRPr="00597E56">
        <w:rPr>
          <w:rFonts w:ascii="Palatino Linotype" w:hAnsi="Palatino Linotype" w:cstheme="minorHAnsi"/>
        </w:rPr>
        <w:t xml:space="preserve"> the principle in </w:t>
      </w:r>
      <w:proofErr w:type="spellStart"/>
      <w:r w:rsidRPr="00597E56">
        <w:rPr>
          <w:rFonts w:ascii="Palatino Linotype" w:hAnsi="Palatino Linotype" w:cstheme="minorHAnsi"/>
          <w:i/>
          <w:spacing w:val="-10"/>
        </w:rPr>
        <w:t>Ge</w:t>
      </w:r>
      <w:r w:rsidRPr="00597E56">
        <w:rPr>
          <w:rFonts w:ascii="Palatino Linotype" w:hAnsi="Palatino Linotype" w:cstheme="minorHAnsi"/>
          <w:i/>
          <w:spacing w:val="-8"/>
        </w:rPr>
        <w:t>i</w:t>
      </w:r>
      <w:r w:rsidRPr="00597E56">
        <w:rPr>
          <w:rFonts w:ascii="Palatino Linotype" w:hAnsi="Palatino Linotype" w:cstheme="minorHAnsi"/>
          <w:i/>
          <w:spacing w:val="-9"/>
        </w:rPr>
        <w:t>t</w:t>
      </w:r>
      <w:r w:rsidRPr="00597E56">
        <w:rPr>
          <w:rFonts w:ascii="Palatino Linotype" w:hAnsi="Palatino Linotype" w:cstheme="minorHAnsi"/>
          <w:i/>
        </w:rPr>
        <w:t>a</w:t>
      </w:r>
      <w:proofErr w:type="spellEnd"/>
      <w:r w:rsidRPr="00597E56">
        <w:rPr>
          <w:rFonts w:ascii="Palatino Linotype" w:hAnsi="Palatino Linotype" w:cstheme="minorHAnsi"/>
          <w:i/>
          <w:spacing w:val="-3"/>
        </w:rPr>
        <w:t xml:space="preserve"> </w:t>
      </w:r>
      <w:proofErr w:type="spellStart"/>
      <w:r w:rsidRPr="00597E56">
        <w:rPr>
          <w:rFonts w:ascii="Palatino Linotype" w:hAnsi="Palatino Linotype" w:cstheme="minorHAnsi"/>
          <w:i/>
          <w:spacing w:val="-10"/>
        </w:rPr>
        <w:t>Sebe</w:t>
      </w:r>
      <w:r w:rsidRPr="00597E56">
        <w:rPr>
          <w:rFonts w:ascii="Palatino Linotype" w:hAnsi="Palatino Linotype" w:cstheme="minorHAnsi"/>
          <w:i/>
        </w:rPr>
        <w:t>a</w:t>
      </w:r>
      <w:proofErr w:type="spellEnd"/>
      <w:r w:rsidRPr="00597E56">
        <w:rPr>
          <w:rFonts w:ascii="Palatino Linotype" w:hAnsi="Palatino Linotype" w:cstheme="minorHAnsi"/>
          <w:i/>
          <w:spacing w:val="-2"/>
        </w:rPr>
        <w:t xml:space="preserve"> </w:t>
      </w:r>
      <w:r w:rsidRPr="00597E56">
        <w:rPr>
          <w:rFonts w:ascii="Palatino Linotype" w:hAnsi="Palatino Linotype" w:cstheme="minorHAnsi"/>
          <w:i/>
        </w:rPr>
        <w:t>v</w:t>
      </w:r>
      <w:r w:rsidRPr="00597E56">
        <w:rPr>
          <w:rFonts w:ascii="Palatino Linotype" w:hAnsi="Palatino Linotype" w:cstheme="minorHAnsi"/>
          <w:i/>
          <w:spacing w:val="-15"/>
        </w:rPr>
        <w:t xml:space="preserve"> </w:t>
      </w:r>
      <w:r w:rsidRPr="00597E56">
        <w:rPr>
          <w:rFonts w:ascii="Palatino Linotype" w:hAnsi="Palatino Linotype" w:cstheme="minorHAnsi"/>
          <w:i/>
          <w:spacing w:val="-8"/>
        </w:rPr>
        <w:t>T</w:t>
      </w:r>
      <w:r w:rsidRPr="00597E56">
        <w:rPr>
          <w:rFonts w:ascii="Palatino Linotype" w:hAnsi="Palatino Linotype" w:cstheme="minorHAnsi"/>
          <w:i/>
          <w:spacing w:val="-10"/>
        </w:rPr>
        <w:t>er</w:t>
      </w:r>
      <w:r w:rsidRPr="00597E56">
        <w:rPr>
          <w:rFonts w:ascii="Palatino Linotype" w:hAnsi="Palatino Linotype" w:cstheme="minorHAnsi"/>
          <w:i/>
          <w:spacing w:val="-8"/>
        </w:rPr>
        <w:t>r</w:t>
      </w:r>
      <w:r w:rsidRPr="00597E56">
        <w:rPr>
          <w:rFonts w:ascii="Palatino Linotype" w:hAnsi="Palatino Linotype" w:cstheme="minorHAnsi"/>
          <w:i/>
          <w:spacing w:val="-10"/>
        </w:rPr>
        <w:t>i</w:t>
      </w:r>
      <w:r w:rsidRPr="00597E56">
        <w:rPr>
          <w:rFonts w:ascii="Palatino Linotype" w:hAnsi="Palatino Linotype" w:cstheme="minorHAnsi"/>
          <w:i/>
          <w:spacing w:val="-8"/>
        </w:rPr>
        <w:t>t</w:t>
      </w:r>
      <w:r w:rsidRPr="00597E56">
        <w:rPr>
          <w:rFonts w:ascii="Palatino Linotype" w:hAnsi="Palatino Linotype" w:cstheme="minorHAnsi"/>
          <w:i/>
          <w:spacing w:val="-10"/>
        </w:rPr>
        <w:t>or</w:t>
      </w:r>
      <w:r w:rsidRPr="00597E56">
        <w:rPr>
          <w:rFonts w:ascii="Palatino Linotype" w:hAnsi="Palatino Linotype" w:cstheme="minorHAnsi"/>
          <w:i/>
        </w:rPr>
        <w:t>y</w:t>
      </w:r>
      <w:r w:rsidRPr="00597E56">
        <w:rPr>
          <w:rFonts w:ascii="Palatino Linotype" w:hAnsi="Palatino Linotype" w:cstheme="minorHAnsi"/>
          <w:i/>
          <w:spacing w:val="4"/>
        </w:rPr>
        <w:t xml:space="preserve"> </w:t>
      </w:r>
      <w:r w:rsidRPr="00597E56">
        <w:rPr>
          <w:rFonts w:ascii="Palatino Linotype" w:hAnsi="Palatino Linotype" w:cstheme="minorHAnsi"/>
          <w:i/>
          <w:spacing w:val="-9"/>
        </w:rPr>
        <w:t>o</w:t>
      </w:r>
      <w:r w:rsidRPr="00597E56">
        <w:rPr>
          <w:rFonts w:ascii="Palatino Linotype" w:hAnsi="Palatino Linotype" w:cstheme="minorHAnsi"/>
          <w:i/>
        </w:rPr>
        <w:t>f</w:t>
      </w:r>
      <w:r w:rsidRPr="00597E56">
        <w:rPr>
          <w:rFonts w:ascii="Palatino Linotype" w:hAnsi="Palatino Linotype" w:cstheme="minorHAnsi"/>
          <w:i/>
          <w:spacing w:val="-12"/>
        </w:rPr>
        <w:t xml:space="preserve"> </w:t>
      </w:r>
      <w:r w:rsidRPr="00597E56">
        <w:rPr>
          <w:rFonts w:ascii="Palatino Linotype" w:hAnsi="Palatino Linotype" w:cstheme="minorHAnsi"/>
          <w:i/>
          <w:spacing w:val="-9"/>
        </w:rPr>
        <w:t>P</w:t>
      </w:r>
      <w:r w:rsidRPr="00597E56">
        <w:rPr>
          <w:rFonts w:ascii="Palatino Linotype" w:hAnsi="Palatino Linotype" w:cstheme="minorHAnsi"/>
          <w:i/>
          <w:spacing w:val="-11"/>
        </w:rPr>
        <w:t>a</w:t>
      </w:r>
      <w:r w:rsidRPr="00597E56">
        <w:rPr>
          <w:rFonts w:ascii="Palatino Linotype" w:hAnsi="Palatino Linotype" w:cstheme="minorHAnsi"/>
          <w:i/>
          <w:spacing w:val="-10"/>
        </w:rPr>
        <w:t>pu</w:t>
      </w:r>
      <w:r w:rsidRPr="00597E56">
        <w:rPr>
          <w:rFonts w:ascii="Palatino Linotype" w:hAnsi="Palatino Linotype" w:cstheme="minorHAnsi"/>
          <w:i/>
        </w:rPr>
        <w:t xml:space="preserve">a </w:t>
      </w:r>
      <w:r w:rsidRPr="00597E56">
        <w:rPr>
          <w:rFonts w:ascii="Palatino Linotype" w:hAnsi="Palatino Linotype" w:cstheme="minorHAnsi"/>
          <w:i/>
          <w:spacing w:val="-10"/>
        </w:rPr>
        <w:t>Ne</w:t>
      </w:r>
      <w:r w:rsidRPr="00597E56">
        <w:rPr>
          <w:rFonts w:ascii="Palatino Linotype" w:hAnsi="Palatino Linotype" w:cstheme="minorHAnsi"/>
          <w:i/>
        </w:rPr>
        <w:t>w</w:t>
      </w:r>
      <w:r w:rsidRPr="00597E56">
        <w:rPr>
          <w:rFonts w:ascii="Palatino Linotype" w:hAnsi="Palatino Linotype" w:cstheme="minorHAnsi"/>
          <w:i/>
          <w:spacing w:val="-5"/>
        </w:rPr>
        <w:t xml:space="preserve"> </w:t>
      </w:r>
      <w:r w:rsidRPr="00597E56">
        <w:rPr>
          <w:rFonts w:ascii="Palatino Linotype" w:hAnsi="Palatino Linotype" w:cstheme="minorHAnsi"/>
          <w:i/>
          <w:spacing w:val="-10"/>
        </w:rPr>
        <w:t>Gu</w:t>
      </w:r>
      <w:r w:rsidRPr="00597E56">
        <w:rPr>
          <w:rFonts w:ascii="Palatino Linotype" w:hAnsi="Palatino Linotype" w:cstheme="minorHAnsi"/>
          <w:i/>
          <w:spacing w:val="-8"/>
        </w:rPr>
        <w:t>i</w:t>
      </w:r>
      <w:r w:rsidRPr="00597E56">
        <w:rPr>
          <w:rFonts w:ascii="Palatino Linotype" w:hAnsi="Palatino Linotype" w:cstheme="minorHAnsi"/>
          <w:i/>
          <w:spacing w:val="-10"/>
        </w:rPr>
        <w:t>ne</w:t>
      </w:r>
      <w:r w:rsidRPr="00597E56">
        <w:rPr>
          <w:rFonts w:ascii="Palatino Linotype" w:hAnsi="Palatino Linotype" w:cstheme="minorHAnsi"/>
          <w:i/>
        </w:rPr>
        <w:t>a</w:t>
      </w:r>
      <w:r w:rsidRPr="00597E56">
        <w:rPr>
          <w:rFonts w:ascii="Palatino Linotype" w:hAnsi="Palatino Linotype" w:cstheme="minorHAnsi"/>
          <w:spacing w:val="2"/>
        </w:rPr>
        <w:t xml:space="preserve"> </w:t>
      </w:r>
      <w:r w:rsidRPr="00597E56">
        <w:rPr>
          <w:rFonts w:ascii="Palatino Linotype" w:hAnsi="Palatino Linotype" w:cstheme="minorHAnsi"/>
          <w:spacing w:val="-10"/>
        </w:rPr>
        <w:t>(</w:t>
      </w:r>
      <w:r w:rsidRPr="00597E56">
        <w:rPr>
          <w:rFonts w:ascii="Palatino Linotype" w:hAnsi="Palatino Linotype" w:cstheme="minorHAnsi"/>
          <w:spacing w:val="-9"/>
        </w:rPr>
        <w:t>1</w:t>
      </w:r>
      <w:r w:rsidRPr="00597E56">
        <w:rPr>
          <w:rFonts w:ascii="Palatino Linotype" w:hAnsi="Palatino Linotype" w:cstheme="minorHAnsi"/>
          <w:spacing w:val="-10"/>
        </w:rPr>
        <w:t>941</w:t>
      </w:r>
      <w:r w:rsidRPr="00597E56">
        <w:rPr>
          <w:rFonts w:ascii="Palatino Linotype" w:hAnsi="Palatino Linotype" w:cstheme="minorHAnsi"/>
        </w:rPr>
        <w:t>)</w:t>
      </w:r>
      <w:r w:rsidRPr="00597E56">
        <w:rPr>
          <w:rFonts w:ascii="Palatino Linotype" w:hAnsi="Palatino Linotype" w:cstheme="minorHAnsi"/>
          <w:spacing w:val="-2"/>
        </w:rPr>
        <w:t xml:space="preserve"> </w:t>
      </w:r>
      <w:r w:rsidRPr="00597E56">
        <w:rPr>
          <w:rFonts w:ascii="Palatino Linotype" w:hAnsi="Palatino Linotype" w:cstheme="minorHAnsi"/>
          <w:spacing w:val="-9"/>
        </w:rPr>
        <w:t>6</w:t>
      </w:r>
      <w:r w:rsidRPr="00597E56">
        <w:rPr>
          <w:rFonts w:ascii="Palatino Linotype" w:hAnsi="Palatino Linotype" w:cstheme="minorHAnsi"/>
        </w:rPr>
        <w:t>7</w:t>
      </w:r>
      <w:r w:rsidRPr="00597E56">
        <w:rPr>
          <w:rFonts w:ascii="Palatino Linotype" w:hAnsi="Palatino Linotype" w:cstheme="minorHAnsi"/>
          <w:spacing w:val="-12"/>
        </w:rPr>
        <w:t xml:space="preserve"> </w:t>
      </w:r>
      <w:r w:rsidRPr="00597E56">
        <w:rPr>
          <w:rFonts w:ascii="Palatino Linotype" w:hAnsi="Palatino Linotype" w:cstheme="minorHAnsi"/>
          <w:spacing w:val="-8"/>
        </w:rPr>
        <w:t>C</w:t>
      </w:r>
      <w:r w:rsidRPr="00597E56">
        <w:rPr>
          <w:rFonts w:ascii="Palatino Linotype" w:hAnsi="Palatino Linotype" w:cstheme="minorHAnsi"/>
          <w:spacing w:val="-10"/>
        </w:rPr>
        <w:t>L</w:t>
      </w:r>
      <w:r w:rsidRPr="00597E56">
        <w:rPr>
          <w:rFonts w:ascii="Palatino Linotype" w:hAnsi="Palatino Linotype" w:cstheme="minorHAnsi"/>
        </w:rPr>
        <w:t>R</w:t>
      </w:r>
      <w:r w:rsidRPr="00597E56">
        <w:rPr>
          <w:rFonts w:ascii="Palatino Linotype" w:hAnsi="Palatino Linotype" w:cstheme="minorHAnsi"/>
          <w:spacing w:val="-4"/>
        </w:rPr>
        <w:t xml:space="preserve"> </w:t>
      </w:r>
      <w:r w:rsidRPr="00597E56">
        <w:rPr>
          <w:rFonts w:ascii="Palatino Linotype" w:hAnsi="Palatino Linotype" w:cstheme="minorHAnsi"/>
          <w:spacing w:val="-9"/>
          <w:w w:val="103"/>
        </w:rPr>
        <w:t>5</w:t>
      </w:r>
      <w:r w:rsidRPr="00597E56">
        <w:rPr>
          <w:rFonts w:ascii="Palatino Linotype" w:hAnsi="Palatino Linotype" w:cstheme="minorHAnsi"/>
          <w:spacing w:val="-10"/>
          <w:w w:val="103"/>
        </w:rPr>
        <w:t xml:space="preserve">44 that any increase in value attributable to the public work cannot be </w:t>
      </w:r>
      <w:proofErr w:type="gramStart"/>
      <w:r w:rsidRPr="00597E56">
        <w:rPr>
          <w:rFonts w:ascii="Palatino Linotype" w:hAnsi="Palatino Linotype" w:cstheme="minorHAnsi"/>
          <w:spacing w:val="-10"/>
          <w:w w:val="103"/>
        </w:rPr>
        <w:t>taken into account</w:t>
      </w:r>
      <w:proofErr w:type="gramEnd"/>
      <w:r w:rsidRPr="00597E56">
        <w:rPr>
          <w:rFonts w:ascii="Palatino Linotype" w:hAnsi="Palatino Linotype" w:cstheme="minorHAnsi"/>
          <w:spacing w:val="-10"/>
          <w:w w:val="103"/>
        </w:rPr>
        <w:t xml:space="preserve">. </w:t>
      </w:r>
      <w:r w:rsidRPr="00597E56">
        <w:rPr>
          <w:rFonts w:ascii="Palatino Linotype" w:hAnsi="Palatino Linotype" w:cstheme="minorHAnsi"/>
        </w:rPr>
        <w:t xml:space="preserve">In </w:t>
      </w:r>
      <w:r w:rsidRPr="00597E56">
        <w:rPr>
          <w:rFonts w:ascii="Palatino Linotype" w:hAnsi="Palatino Linotype" w:cstheme="minorHAnsi"/>
          <w:i/>
          <w:spacing w:val="-9"/>
          <w:w w:val="103"/>
        </w:rPr>
        <w:t xml:space="preserve">Cedar Rapids Manufacturing &amp; Power Co v Lacoste </w:t>
      </w:r>
      <w:r w:rsidRPr="00597E56">
        <w:rPr>
          <w:rFonts w:ascii="Palatino Linotype" w:hAnsi="Palatino Linotype" w:cstheme="minorHAnsi"/>
          <w:spacing w:val="-9"/>
          <w:w w:val="103"/>
        </w:rPr>
        <w:t xml:space="preserve">[1914] AC 569; [1914-15] All ER Rep 571; 16 DLR 168 the principle was established that the value of land </w:t>
      </w:r>
      <w:proofErr w:type="gramStart"/>
      <w:r w:rsidRPr="00597E56">
        <w:rPr>
          <w:rFonts w:ascii="Palatino Linotype" w:hAnsi="Palatino Linotype" w:cstheme="minorHAnsi"/>
          <w:spacing w:val="-9"/>
          <w:w w:val="103"/>
        </w:rPr>
        <w:t>has to</w:t>
      </w:r>
      <w:proofErr w:type="gramEnd"/>
      <w:r w:rsidRPr="00597E56">
        <w:rPr>
          <w:rFonts w:ascii="Palatino Linotype" w:hAnsi="Palatino Linotype" w:cstheme="minorHAnsi"/>
          <w:spacing w:val="-9"/>
          <w:w w:val="103"/>
        </w:rPr>
        <w:t xml:space="preserve"> be assessed as if the prospect of the public work was not available.  Further, Speedy states that:</w:t>
      </w:r>
    </w:p>
    <w:p w14:paraId="271EF19B" w14:textId="77777777" w:rsidR="00443E73" w:rsidRPr="00597E56" w:rsidRDefault="00443E73" w:rsidP="00F1501F">
      <w:pPr>
        <w:pStyle w:val="NoSpacing"/>
        <w:ind w:left="567"/>
        <w:jc w:val="both"/>
        <w:rPr>
          <w:rFonts w:ascii="Palatino Linotype" w:hAnsi="Palatino Linotype" w:cstheme="minorHAnsi"/>
          <w:spacing w:val="-9"/>
          <w:w w:val="103"/>
        </w:rPr>
      </w:pPr>
    </w:p>
    <w:p w14:paraId="69279D2D" w14:textId="008804BB" w:rsidR="00443E73" w:rsidRPr="00597E56" w:rsidRDefault="00443E73" w:rsidP="00F1501F">
      <w:pPr>
        <w:pStyle w:val="NoSpacing"/>
        <w:ind w:left="567"/>
        <w:jc w:val="both"/>
        <w:rPr>
          <w:rFonts w:ascii="Palatino Linotype" w:hAnsi="Palatino Linotype" w:cstheme="minorHAnsi"/>
          <w:iCs/>
          <w:spacing w:val="-9"/>
          <w:w w:val="103"/>
        </w:rPr>
      </w:pPr>
      <w:r w:rsidRPr="00597E56">
        <w:rPr>
          <w:rFonts w:ascii="Palatino Linotype" w:hAnsi="Palatino Linotype" w:cstheme="minorHAnsi"/>
          <w:i/>
          <w:spacing w:val="-9"/>
          <w:w w:val="103"/>
        </w:rPr>
        <w:t>…</w:t>
      </w:r>
      <w:r w:rsidRPr="00597E56">
        <w:rPr>
          <w:rFonts w:ascii="Palatino Linotype" w:hAnsi="Palatino Linotype" w:cstheme="minorHAnsi"/>
          <w:spacing w:val="-9"/>
          <w:w w:val="103"/>
        </w:rPr>
        <w:t>[a]</w:t>
      </w:r>
      <w:proofErr w:type="spellStart"/>
      <w:r w:rsidRPr="00597E56">
        <w:rPr>
          <w:rFonts w:ascii="Palatino Linotype" w:hAnsi="Palatino Linotype" w:cstheme="minorHAnsi"/>
          <w:i/>
          <w:spacing w:val="-9"/>
          <w:w w:val="103"/>
        </w:rPr>
        <w:t>ny</w:t>
      </w:r>
      <w:proofErr w:type="spellEnd"/>
      <w:r w:rsidRPr="00597E56">
        <w:rPr>
          <w:rFonts w:ascii="Palatino Linotype" w:hAnsi="Palatino Linotype" w:cstheme="minorHAnsi"/>
          <w:i/>
          <w:spacing w:val="-9"/>
          <w:w w:val="103"/>
        </w:rPr>
        <w:t xml:space="preserve"> increase or reduction in the value of the land taken </w:t>
      </w:r>
      <w:proofErr w:type="gramStart"/>
      <w:r w:rsidRPr="00597E56">
        <w:rPr>
          <w:rFonts w:ascii="Palatino Linotype" w:hAnsi="Palatino Linotype" w:cstheme="minorHAnsi"/>
          <w:i/>
          <w:spacing w:val="-9"/>
          <w:w w:val="103"/>
        </w:rPr>
        <w:t>as a result of</w:t>
      </w:r>
      <w:proofErr w:type="gramEnd"/>
      <w:r w:rsidRPr="00597E56">
        <w:rPr>
          <w:rFonts w:ascii="Palatino Linotype" w:hAnsi="Palatino Linotype" w:cstheme="minorHAnsi"/>
          <w:i/>
          <w:spacing w:val="-9"/>
          <w:w w:val="103"/>
        </w:rPr>
        <w:t xml:space="preserve"> the public work, or the prospect of such work is not to be </w:t>
      </w:r>
      <w:proofErr w:type="gramStart"/>
      <w:r w:rsidRPr="00597E56">
        <w:rPr>
          <w:rFonts w:ascii="Palatino Linotype" w:hAnsi="Palatino Linotype" w:cstheme="minorHAnsi"/>
          <w:i/>
          <w:spacing w:val="-9"/>
          <w:w w:val="103"/>
        </w:rPr>
        <w:t>taken into account</w:t>
      </w:r>
      <w:proofErr w:type="gramEnd"/>
      <w:r w:rsidRPr="00597E56">
        <w:rPr>
          <w:rFonts w:ascii="Palatino Linotype" w:hAnsi="Palatino Linotype" w:cstheme="minorHAnsi"/>
          <w:i/>
          <w:spacing w:val="-9"/>
          <w:w w:val="103"/>
        </w:rPr>
        <w:t xml:space="preserve"> in assessing the amount of compensation.</w:t>
      </w:r>
      <w:r w:rsidR="00FE46F2" w:rsidRPr="00597E56">
        <w:rPr>
          <w:rFonts w:ascii="Palatino Linotype" w:hAnsi="Palatino Linotype" w:cstheme="minorHAnsi"/>
          <w:iCs/>
          <w:spacing w:val="-9"/>
          <w:w w:val="103"/>
        </w:rPr>
        <w:t xml:space="preserve"> (Speedy,1978, p.17.)</w:t>
      </w:r>
    </w:p>
    <w:p w14:paraId="2FC5A755" w14:textId="77777777" w:rsidR="00443E73" w:rsidRPr="00597E56" w:rsidRDefault="00443E73" w:rsidP="00F1501F">
      <w:pPr>
        <w:pStyle w:val="NoSpacing"/>
        <w:ind w:left="567"/>
        <w:jc w:val="both"/>
        <w:rPr>
          <w:rFonts w:ascii="Palatino Linotype" w:hAnsi="Palatino Linotype" w:cstheme="minorHAnsi"/>
          <w:i/>
          <w:spacing w:val="-9"/>
          <w:w w:val="103"/>
        </w:rPr>
      </w:pPr>
    </w:p>
    <w:p w14:paraId="4CB13581" w14:textId="3118D543" w:rsidR="00443E73" w:rsidRPr="00597E56" w:rsidRDefault="000352A4" w:rsidP="00F1501F">
      <w:pPr>
        <w:pStyle w:val="NoSpacing"/>
        <w:jc w:val="both"/>
        <w:rPr>
          <w:rFonts w:ascii="Palatino Linotype" w:hAnsi="Palatino Linotype" w:cstheme="minorHAnsi"/>
          <w:spacing w:val="-9"/>
          <w:w w:val="103"/>
        </w:rPr>
      </w:pPr>
      <w:r w:rsidRPr="00597E56">
        <w:rPr>
          <w:rFonts w:ascii="Palatino Linotype" w:hAnsi="Palatino Linotype" w:cstheme="minorHAnsi"/>
          <w:spacing w:val="-9"/>
          <w:w w:val="103"/>
        </w:rPr>
        <w:t>In</w:t>
      </w:r>
      <w:r w:rsidR="00443E73" w:rsidRPr="00597E56">
        <w:rPr>
          <w:rFonts w:ascii="Palatino Linotype" w:hAnsi="Palatino Linotype" w:cstheme="minorHAnsi"/>
          <w:spacing w:val="-9"/>
          <w:w w:val="103"/>
        </w:rPr>
        <w:t xml:space="preserve"> </w:t>
      </w:r>
      <w:r w:rsidR="00443E73" w:rsidRPr="00597E56">
        <w:rPr>
          <w:rFonts w:ascii="Palatino Linotype" w:hAnsi="Palatino Linotype" w:cstheme="minorHAnsi"/>
          <w:i/>
          <w:spacing w:val="-9"/>
          <w:w w:val="103"/>
        </w:rPr>
        <w:t>El Boustani v The Minister Administering the Environmental Planning and Assessment Act 1979</w:t>
      </w:r>
      <w:r w:rsidR="00443E73" w:rsidRPr="00597E56">
        <w:rPr>
          <w:rFonts w:ascii="Palatino Linotype" w:hAnsi="Palatino Linotype" w:cstheme="minorHAnsi"/>
          <w:spacing w:val="-9"/>
          <w:w w:val="103"/>
        </w:rPr>
        <w:t xml:space="preserve"> [2014] NSWCA 323 it was observed that the question to be asked in ass</w:t>
      </w:r>
      <w:r w:rsidRPr="00597E56">
        <w:rPr>
          <w:rFonts w:ascii="Palatino Linotype" w:hAnsi="Palatino Linotype" w:cstheme="minorHAnsi"/>
          <w:spacing w:val="-9"/>
          <w:w w:val="103"/>
        </w:rPr>
        <w:t>essing land as a site for</w:t>
      </w:r>
      <w:r w:rsidR="00443E73" w:rsidRPr="00597E56">
        <w:rPr>
          <w:rFonts w:ascii="Palatino Linotype" w:hAnsi="Palatino Linotype" w:cstheme="minorHAnsi"/>
          <w:spacing w:val="-9"/>
          <w:w w:val="103"/>
        </w:rPr>
        <w:t xml:space="preserve"> proposed </w:t>
      </w:r>
      <w:r w:rsidRPr="00597E56">
        <w:rPr>
          <w:rFonts w:ascii="Palatino Linotype" w:hAnsi="Palatino Linotype" w:cstheme="minorHAnsi"/>
          <w:spacing w:val="-9"/>
          <w:w w:val="103"/>
        </w:rPr>
        <w:t xml:space="preserve">infrastructure </w:t>
      </w:r>
      <w:r w:rsidR="00443E73" w:rsidRPr="00597E56">
        <w:rPr>
          <w:rFonts w:ascii="Palatino Linotype" w:hAnsi="Palatino Linotype" w:cstheme="minorHAnsi"/>
          <w:spacing w:val="-9"/>
          <w:w w:val="103"/>
        </w:rPr>
        <w:t>is:</w:t>
      </w:r>
    </w:p>
    <w:p w14:paraId="455E7699" w14:textId="77777777" w:rsidR="00443E73" w:rsidRPr="00597E56" w:rsidRDefault="00443E73" w:rsidP="00F1501F">
      <w:pPr>
        <w:pStyle w:val="NoSpacing"/>
        <w:ind w:left="567"/>
        <w:jc w:val="both"/>
        <w:rPr>
          <w:rFonts w:ascii="Palatino Linotype" w:hAnsi="Palatino Linotype" w:cstheme="minorHAnsi"/>
          <w:spacing w:val="-9"/>
          <w:w w:val="103"/>
        </w:rPr>
      </w:pPr>
    </w:p>
    <w:p w14:paraId="53F8922A" w14:textId="77777777" w:rsidR="00443E73" w:rsidRPr="00597E56" w:rsidRDefault="00443E73" w:rsidP="00F1501F">
      <w:pPr>
        <w:pStyle w:val="NoSpacing"/>
        <w:ind w:left="567"/>
        <w:jc w:val="both"/>
        <w:rPr>
          <w:rFonts w:ascii="Palatino Linotype" w:hAnsi="Palatino Linotype" w:cstheme="minorHAnsi"/>
          <w:i/>
          <w:spacing w:val="-9"/>
          <w:w w:val="103"/>
        </w:rPr>
      </w:pPr>
      <w:r w:rsidRPr="00597E56">
        <w:rPr>
          <w:rFonts w:ascii="Palatino Linotype" w:hAnsi="Palatino Linotype" w:cstheme="minorHAnsi"/>
          <w:i/>
          <w:spacing w:val="-9"/>
          <w:w w:val="103"/>
        </w:rPr>
        <w:t>…what was the “potential” the land “had” at the time on the date of acquisition to be used for a purpose other than that for which the land was currently used on that date.</w:t>
      </w:r>
      <w:r w:rsidRPr="00597E56">
        <w:rPr>
          <w:rStyle w:val="FootnoteReference"/>
          <w:rFonts w:ascii="Palatino Linotype" w:hAnsi="Palatino Linotype" w:cstheme="minorHAnsi"/>
          <w:spacing w:val="-9"/>
          <w:w w:val="103"/>
        </w:rPr>
        <w:footnoteReference w:id="13"/>
      </w:r>
    </w:p>
    <w:p w14:paraId="020C3326" w14:textId="77777777" w:rsidR="00443E73" w:rsidRPr="00597E56" w:rsidRDefault="00443E73" w:rsidP="00F1501F">
      <w:pPr>
        <w:pStyle w:val="NoSpacing"/>
        <w:ind w:left="567"/>
        <w:jc w:val="both"/>
        <w:rPr>
          <w:rFonts w:ascii="Palatino Linotype" w:hAnsi="Palatino Linotype" w:cstheme="minorHAnsi"/>
          <w:i/>
          <w:spacing w:val="-9"/>
          <w:w w:val="103"/>
        </w:rPr>
      </w:pPr>
    </w:p>
    <w:p w14:paraId="2912DCC6" w14:textId="31384D3C" w:rsidR="00443E73" w:rsidRPr="00597E56" w:rsidRDefault="00C679F4" w:rsidP="00F1501F">
      <w:pPr>
        <w:spacing w:after="0" w:line="240" w:lineRule="auto"/>
        <w:jc w:val="both"/>
        <w:rPr>
          <w:rFonts w:ascii="Palatino Linotype" w:hAnsi="Palatino Linotype" w:cstheme="minorHAnsi"/>
        </w:rPr>
      </w:pPr>
      <w:r w:rsidRPr="00597E56">
        <w:rPr>
          <w:rFonts w:ascii="Palatino Linotype" w:hAnsi="Palatino Linotype" w:cstheme="minorHAnsi"/>
        </w:rPr>
        <w:t>In addition</w:t>
      </w:r>
      <w:r w:rsidR="00CD0720" w:rsidRPr="00597E56">
        <w:rPr>
          <w:rFonts w:ascii="Palatino Linotype" w:hAnsi="Palatino Linotype" w:cstheme="minorHAnsi"/>
        </w:rPr>
        <w:t xml:space="preserve">, as previously mentioned an </w:t>
      </w:r>
      <w:r w:rsidR="00443E73" w:rsidRPr="00597E56">
        <w:rPr>
          <w:rFonts w:ascii="Palatino Linotype" w:hAnsi="Palatino Linotype" w:cstheme="minorHAnsi"/>
        </w:rPr>
        <w:t xml:space="preserve">uplift in </w:t>
      </w:r>
      <w:r w:rsidRPr="00597E56">
        <w:rPr>
          <w:rFonts w:ascii="Palatino Linotype" w:hAnsi="Palatino Linotype" w:cstheme="minorHAnsi"/>
        </w:rPr>
        <w:t>compensation above that of the market value could</w:t>
      </w:r>
      <w:r w:rsidR="00443E73" w:rsidRPr="00597E56">
        <w:rPr>
          <w:rFonts w:ascii="Palatino Linotype" w:hAnsi="Palatino Linotype" w:cstheme="minorHAnsi"/>
        </w:rPr>
        <w:t xml:space="preserve"> be required to reflect the</w:t>
      </w:r>
      <w:r w:rsidRPr="00597E56">
        <w:rPr>
          <w:rFonts w:ascii="Palatino Linotype" w:hAnsi="Palatino Linotype" w:cstheme="minorHAnsi"/>
        </w:rPr>
        <w:t xml:space="preserve"> worth of the land to the relevant Aboriginal Land Council given any </w:t>
      </w:r>
      <w:r w:rsidR="00443E73" w:rsidRPr="00597E56">
        <w:rPr>
          <w:rFonts w:ascii="Palatino Linotype" w:hAnsi="Palatino Linotype" w:cstheme="minorHAnsi"/>
        </w:rPr>
        <w:t>intrinsic Indigenous values. Ordinarily, such uplift in compensation for Indigenous spiritual and cultural attachment is expressed as a graduation directly reflecting the robustness of the attachment</w:t>
      </w:r>
      <w:r w:rsidR="00FE46F2" w:rsidRPr="00597E56">
        <w:rPr>
          <w:rFonts w:ascii="Palatino Linotype" w:hAnsi="Palatino Linotype" w:cstheme="minorHAnsi"/>
        </w:rPr>
        <w:t xml:space="preserve"> (</w:t>
      </w:r>
      <w:r w:rsidR="0055183E" w:rsidRPr="00597E56">
        <w:rPr>
          <w:rFonts w:ascii="Palatino Linotype" w:hAnsi="Palatino Linotype" w:cstheme="minorHAnsi"/>
        </w:rPr>
        <w:t xml:space="preserve">Sheehan and Turner, </w:t>
      </w:r>
      <w:r w:rsidR="00FE46F2" w:rsidRPr="00597E56">
        <w:rPr>
          <w:rFonts w:ascii="Palatino Linotype" w:hAnsi="Palatino Linotype" w:cstheme="minorHAnsi"/>
        </w:rPr>
        <w:t>2013).</w:t>
      </w:r>
      <w:r w:rsidRPr="00597E56">
        <w:rPr>
          <w:rFonts w:ascii="Palatino Linotype" w:hAnsi="Palatino Linotype" w:cstheme="minorHAnsi"/>
        </w:rPr>
        <w:t xml:space="preserve"> If </w:t>
      </w:r>
      <w:r w:rsidR="00443E73" w:rsidRPr="00597E56">
        <w:rPr>
          <w:rFonts w:ascii="Palatino Linotype" w:hAnsi="Palatino Linotype" w:cstheme="minorHAnsi"/>
        </w:rPr>
        <w:t>Indigenous reli</w:t>
      </w:r>
      <w:r w:rsidR="00E13FE5" w:rsidRPr="00597E56">
        <w:rPr>
          <w:rFonts w:ascii="Palatino Linotype" w:hAnsi="Palatino Linotype" w:cstheme="minorHAnsi"/>
        </w:rPr>
        <w:t>quary</w:t>
      </w:r>
      <w:r w:rsidR="00443E73" w:rsidRPr="00597E56">
        <w:rPr>
          <w:rFonts w:ascii="Palatino Linotype" w:hAnsi="Palatino Linotype" w:cstheme="minorHAnsi"/>
        </w:rPr>
        <w:t xml:space="preserve"> is identified on </w:t>
      </w:r>
      <w:r w:rsidRPr="00597E56">
        <w:rPr>
          <w:rFonts w:ascii="Palatino Linotype" w:hAnsi="Palatino Linotype" w:cstheme="minorHAnsi"/>
        </w:rPr>
        <w:t xml:space="preserve">such </w:t>
      </w:r>
      <w:r w:rsidR="00443E73" w:rsidRPr="00597E56">
        <w:rPr>
          <w:rFonts w:ascii="Palatino Linotype" w:hAnsi="Palatino Linotype" w:cstheme="minorHAnsi"/>
        </w:rPr>
        <w:t>land (such as</w:t>
      </w:r>
      <w:r w:rsidR="007E04E9" w:rsidRPr="00597E56">
        <w:rPr>
          <w:rFonts w:ascii="Palatino Linotype" w:hAnsi="Palatino Linotype" w:cstheme="minorHAnsi"/>
        </w:rPr>
        <w:t xml:space="preserve"> the presence of</w:t>
      </w:r>
      <w:r w:rsidR="00443E73" w:rsidRPr="00597E56">
        <w:rPr>
          <w:rFonts w:ascii="Palatino Linotype" w:hAnsi="Palatino Linotype" w:cstheme="minorHAnsi"/>
        </w:rPr>
        <w:t xml:space="preserve"> </w:t>
      </w:r>
      <w:r w:rsidR="007E04E9" w:rsidRPr="00597E56">
        <w:rPr>
          <w:rStyle w:val="Emphasis"/>
          <w:rFonts w:ascii="Palatino Linotype" w:hAnsi="Palatino Linotype" w:cstheme="minorHAnsi"/>
          <w:sz w:val="22"/>
        </w:rPr>
        <w:t>dendroglyphs</w:t>
      </w:r>
      <w:r w:rsidR="004B364D" w:rsidRPr="00597E56">
        <w:rPr>
          <w:rStyle w:val="FootnoteReference"/>
          <w:rFonts w:ascii="Palatino Linotype" w:hAnsi="Palatino Linotype" w:cstheme="minorHAnsi"/>
        </w:rPr>
        <w:footnoteReference w:id="14"/>
      </w:r>
      <w:r w:rsidR="009B78C9" w:rsidRPr="00597E56">
        <w:rPr>
          <w:rStyle w:val="Emphasis"/>
          <w:rFonts w:ascii="Palatino Linotype" w:hAnsi="Palatino Linotype" w:cstheme="minorHAnsi"/>
          <w:sz w:val="22"/>
        </w:rPr>
        <w:t>,</w:t>
      </w:r>
      <w:r w:rsidR="00BF7BB9" w:rsidRPr="00597E56">
        <w:rPr>
          <w:rStyle w:val="Emphasis"/>
          <w:rFonts w:ascii="Palatino Linotype" w:hAnsi="Palatino Linotype" w:cstheme="minorHAnsi"/>
          <w:sz w:val="22"/>
        </w:rPr>
        <w:t xml:space="preserve"> or traditional habitation sites</w:t>
      </w:r>
      <w:r w:rsidR="00443E73" w:rsidRPr="00597E56">
        <w:rPr>
          <w:rFonts w:ascii="Palatino Linotype" w:hAnsi="Palatino Linotype" w:cstheme="minorHAnsi"/>
        </w:rPr>
        <w:t>)</w:t>
      </w:r>
      <w:r w:rsidR="00DB2509" w:rsidRPr="00597E56">
        <w:rPr>
          <w:rFonts w:ascii="Palatino Linotype" w:hAnsi="Palatino Linotype" w:cstheme="minorHAnsi"/>
        </w:rPr>
        <w:t>,</w:t>
      </w:r>
      <w:r w:rsidR="00443E73" w:rsidRPr="00597E56">
        <w:rPr>
          <w:rFonts w:ascii="Palatino Linotype" w:hAnsi="Palatino Linotype" w:cstheme="minorHAnsi"/>
        </w:rPr>
        <w:t xml:space="preserve"> </w:t>
      </w:r>
      <w:r w:rsidR="00DB2509" w:rsidRPr="00597E56">
        <w:rPr>
          <w:rFonts w:ascii="Palatino Linotype" w:hAnsi="Palatino Linotype" w:cstheme="minorHAnsi"/>
        </w:rPr>
        <w:t>anecdotal evidence suggests any</w:t>
      </w:r>
      <w:r w:rsidR="00443E73" w:rsidRPr="00597E56">
        <w:rPr>
          <w:rFonts w:ascii="Palatino Linotype" w:hAnsi="Palatino Linotype" w:cstheme="minorHAnsi"/>
        </w:rPr>
        <w:t xml:space="preserve"> graduation </w:t>
      </w:r>
      <w:r w:rsidR="00DB2509" w:rsidRPr="00597E56">
        <w:rPr>
          <w:rFonts w:ascii="Palatino Linotype" w:hAnsi="Palatino Linotype" w:cstheme="minorHAnsi"/>
        </w:rPr>
        <w:t xml:space="preserve">in worth above </w:t>
      </w:r>
      <w:r w:rsidRPr="00597E56">
        <w:rPr>
          <w:rFonts w:ascii="Palatino Linotype" w:hAnsi="Palatino Linotype" w:cstheme="minorHAnsi"/>
        </w:rPr>
        <w:t>market value might</w:t>
      </w:r>
      <w:r w:rsidR="00443E73" w:rsidRPr="00597E56">
        <w:rPr>
          <w:rFonts w:ascii="Palatino Linotype" w:hAnsi="Palatino Linotype" w:cstheme="minorHAnsi"/>
        </w:rPr>
        <w:t xml:space="preserve"> often not </w:t>
      </w:r>
      <w:r w:rsidRPr="00597E56">
        <w:rPr>
          <w:rFonts w:ascii="Palatino Linotype" w:hAnsi="Palatino Linotype" w:cstheme="minorHAnsi"/>
        </w:rPr>
        <w:t xml:space="preserve">be </w:t>
      </w:r>
      <w:r w:rsidR="00443E73" w:rsidRPr="00597E56">
        <w:rPr>
          <w:rFonts w:ascii="Palatino Linotype" w:hAnsi="Palatino Linotype" w:cstheme="minorHAnsi"/>
        </w:rPr>
        <w:t xml:space="preserve">greater than say 20 percent. However, in some circumstances where the </w:t>
      </w:r>
      <w:r w:rsidR="00E13FE5" w:rsidRPr="00597E56">
        <w:rPr>
          <w:rFonts w:ascii="Palatino Linotype" w:hAnsi="Palatino Linotype" w:cstheme="minorHAnsi"/>
        </w:rPr>
        <w:t>reliquary</w:t>
      </w:r>
      <w:r w:rsidR="00443E73" w:rsidRPr="00597E56">
        <w:rPr>
          <w:rFonts w:ascii="Palatino Linotype" w:hAnsi="Palatino Linotype" w:cstheme="minorHAnsi"/>
        </w:rPr>
        <w:t xml:space="preserve"> is rare</w:t>
      </w:r>
      <w:r w:rsidR="007E04E9" w:rsidRPr="00597E56">
        <w:rPr>
          <w:rFonts w:ascii="Palatino Linotype" w:hAnsi="Palatino Linotype" w:cstheme="minorHAnsi"/>
        </w:rPr>
        <w:t xml:space="preserve"> and evidence </w:t>
      </w:r>
      <w:r w:rsidR="00DB2509" w:rsidRPr="00597E56">
        <w:rPr>
          <w:rFonts w:ascii="Palatino Linotype" w:hAnsi="Palatino Linotype" w:cstheme="minorHAnsi"/>
        </w:rPr>
        <w:t xml:space="preserve">exists </w:t>
      </w:r>
      <w:r w:rsidR="007E04E9" w:rsidRPr="00597E56">
        <w:rPr>
          <w:rFonts w:ascii="Palatino Linotype" w:hAnsi="Palatino Linotype" w:cstheme="minorHAnsi"/>
        </w:rPr>
        <w:t>of intrinsic local importance</w:t>
      </w:r>
      <w:r w:rsidR="00443E73" w:rsidRPr="00597E56">
        <w:rPr>
          <w:rFonts w:ascii="Palatino Linotype" w:hAnsi="Palatino Linotype" w:cstheme="minorHAnsi"/>
        </w:rPr>
        <w:t xml:space="preserve">, this percentage graduation can </w:t>
      </w:r>
      <w:r w:rsidR="00DB2509" w:rsidRPr="00597E56">
        <w:rPr>
          <w:rFonts w:ascii="Palatino Linotype" w:hAnsi="Palatino Linotype" w:cstheme="minorHAnsi"/>
        </w:rPr>
        <w:t xml:space="preserve">obviously </w:t>
      </w:r>
      <w:r w:rsidR="00443E73" w:rsidRPr="00597E56">
        <w:rPr>
          <w:rFonts w:ascii="Palatino Linotype" w:hAnsi="Palatino Linotype" w:cstheme="minorHAnsi"/>
        </w:rPr>
        <w:t xml:space="preserve">be significantly greater than 20 percent. </w:t>
      </w:r>
    </w:p>
    <w:p w14:paraId="2DCD0CA5" w14:textId="77777777" w:rsidR="001E5B51" w:rsidRPr="00597E56" w:rsidRDefault="001E5B51" w:rsidP="00F1501F">
      <w:pPr>
        <w:spacing w:after="0" w:line="240" w:lineRule="auto"/>
        <w:jc w:val="both"/>
        <w:rPr>
          <w:rFonts w:ascii="Palatino Linotype" w:hAnsi="Palatino Linotype" w:cstheme="minorHAnsi"/>
        </w:rPr>
      </w:pPr>
    </w:p>
    <w:p w14:paraId="5480FFBA" w14:textId="71CA0B40" w:rsidR="001E5B51" w:rsidRPr="00597E56" w:rsidRDefault="00986B46" w:rsidP="00F1501F">
      <w:pPr>
        <w:spacing w:after="0" w:line="240" w:lineRule="auto"/>
        <w:jc w:val="both"/>
        <w:rPr>
          <w:rFonts w:ascii="Palatino Linotype" w:hAnsi="Palatino Linotype" w:cstheme="minorHAnsi"/>
        </w:rPr>
      </w:pPr>
      <w:r w:rsidRPr="00597E56">
        <w:rPr>
          <w:rFonts w:ascii="Palatino Linotype" w:hAnsi="Palatino Linotype" w:cstheme="minorHAnsi"/>
        </w:rPr>
        <w:t>However,</w:t>
      </w:r>
      <w:r w:rsidR="00C83948" w:rsidRPr="00597E56">
        <w:rPr>
          <w:rFonts w:ascii="Palatino Linotype" w:hAnsi="Palatino Linotype" w:cstheme="minorHAnsi"/>
        </w:rPr>
        <w:t xml:space="preserve"> i</w:t>
      </w:r>
      <w:r w:rsidR="001E5B51" w:rsidRPr="00597E56">
        <w:rPr>
          <w:rFonts w:ascii="Palatino Linotype" w:hAnsi="Palatino Linotype" w:cstheme="minorHAnsi"/>
        </w:rPr>
        <w:t xml:space="preserve">n the </w:t>
      </w:r>
      <w:r w:rsidR="001E5B51" w:rsidRPr="00597E56">
        <w:rPr>
          <w:rStyle w:val="Emphasis"/>
          <w:rFonts w:ascii="Palatino Linotype" w:hAnsi="Palatino Linotype" w:cstheme="minorHAnsi"/>
          <w:sz w:val="22"/>
        </w:rPr>
        <w:t>penultimate</w:t>
      </w:r>
      <w:r w:rsidR="001E5B51" w:rsidRPr="00597E56">
        <w:rPr>
          <w:rFonts w:ascii="Palatino Linotype" w:hAnsi="Palatino Linotype" w:cstheme="minorHAnsi"/>
        </w:rPr>
        <w:t xml:space="preserve"> section of this paper, </w:t>
      </w:r>
      <w:r w:rsidR="00AE3EFF" w:rsidRPr="00597E56">
        <w:rPr>
          <w:rStyle w:val="Emphasis"/>
          <w:rFonts w:ascii="Palatino Linotype" w:hAnsi="Palatino Linotype" w:cstheme="minorHAnsi"/>
          <w:sz w:val="22"/>
        </w:rPr>
        <w:t xml:space="preserve">the absence of statutory Aboriginal land rights in Western Australia provides a </w:t>
      </w:r>
      <w:r w:rsidR="003374E5" w:rsidRPr="00597E56">
        <w:rPr>
          <w:rStyle w:val="Emphasis"/>
          <w:rFonts w:ascii="Palatino Linotype" w:hAnsi="Palatino Linotype" w:cstheme="minorHAnsi"/>
          <w:sz w:val="22"/>
        </w:rPr>
        <w:t xml:space="preserve">brief </w:t>
      </w:r>
      <w:r w:rsidR="00AE3EFF" w:rsidRPr="00597E56">
        <w:rPr>
          <w:rStyle w:val="Emphasis"/>
          <w:rFonts w:ascii="Palatino Linotype" w:hAnsi="Palatino Linotype" w:cstheme="minorHAnsi"/>
          <w:sz w:val="22"/>
        </w:rPr>
        <w:t>sobering comparison with</w:t>
      </w:r>
      <w:r w:rsidR="001E5B51" w:rsidRPr="00597E56">
        <w:rPr>
          <w:rStyle w:val="Emphasis"/>
          <w:rFonts w:ascii="Palatino Linotype" w:hAnsi="Palatino Linotype" w:cstheme="minorHAnsi"/>
          <w:sz w:val="22"/>
        </w:rPr>
        <w:t xml:space="preserve"> the </w:t>
      </w:r>
      <w:r w:rsidR="00C83948" w:rsidRPr="00597E56">
        <w:rPr>
          <w:rStyle w:val="Emphasis"/>
          <w:rFonts w:ascii="Palatino Linotype" w:hAnsi="Palatino Linotype" w:cstheme="minorHAnsi"/>
          <w:i/>
          <w:iCs/>
          <w:sz w:val="22"/>
        </w:rPr>
        <w:t>ALRA</w:t>
      </w:r>
      <w:r w:rsidR="00AE3EFF" w:rsidRPr="00597E56">
        <w:rPr>
          <w:rStyle w:val="Emphasis"/>
          <w:rFonts w:ascii="Palatino Linotype" w:hAnsi="Palatino Linotype" w:cstheme="minorHAnsi"/>
          <w:sz w:val="22"/>
        </w:rPr>
        <w:t>.</w:t>
      </w:r>
      <w:r w:rsidR="001E5B51" w:rsidRPr="00597E56">
        <w:rPr>
          <w:rStyle w:val="Emphasis"/>
          <w:rFonts w:ascii="Palatino Linotype" w:hAnsi="Palatino Linotype" w:cstheme="minorHAnsi"/>
          <w:sz w:val="22"/>
        </w:rPr>
        <w:t xml:space="preserve"> </w:t>
      </w:r>
    </w:p>
    <w:p w14:paraId="2DAFBCE8" w14:textId="34869141" w:rsidR="00077BC2" w:rsidRPr="00597E56" w:rsidRDefault="00077BC2" w:rsidP="00F1501F">
      <w:pPr>
        <w:spacing w:after="0" w:line="240" w:lineRule="auto"/>
        <w:rPr>
          <w:rStyle w:val="Emphasis"/>
          <w:rFonts w:ascii="Palatino Linotype" w:hAnsi="Palatino Linotype" w:cstheme="minorHAnsi"/>
          <w:b/>
          <w:sz w:val="22"/>
        </w:rPr>
      </w:pPr>
      <w:r w:rsidRPr="00597E56">
        <w:rPr>
          <w:rStyle w:val="Emphasis"/>
          <w:rFonts w:ascii="Palatino Linotype" w:hAnsi="Palatino Linotype" w:cstheme="minorHAnsi"/>
          <w:b/>
          <w:sz w:val="22"/>
        </w:rPr>
        <w:br w:type="page"/>
      </w:r>
    </w:p>
    <w:p w14:paraId="02583775" w14:textId="293A117B" w:rsidR="0063384C" w:rsidRPr="00597E56" w:rsidRDefault="0063384C" w:rsidP="00F1501F">
      <w:pPr>
        <w:spacing w:after="0" w:line="240" w:lineRule="auto"/>
        <w:rPr>
          <w:rStyle w:val="Emphasis"/>
          <w:rFonts w:ascii="Palatino Linotype" w:hAnsi="Palatino Linotype" w:cstheme="minorHAnsi"/>
          <w:sz w:val="28"/>
          <w:szCs w:val="28"/>
        </w:rPr>
      </w:pPr>
      <w:r w:rsidRPr="00597E56">
        <w:rPr>
          <w:rStyle w:val="Emphasis"/>
          <w:rFonts w:ascii="Palatino Linotype" w:hAnsi="Palatino Linotype" w:cstheme="minorHAnsi"/>
          <w:b/>
          <w:sz w:val="32"/>
          <w:szCs w:val="32"/>
        </w:rPr>
        <w:lastRenderedPageBreak/>
        <w:t>Absence of statutory land rights in Western Australia.</w:t>
      </w:r>
    </w:p>
    <w:p w14:paraId="5B235CF9" w14:textId="77777777" w:rsidR="00986B46" w:rsidRPr="00597E56" w:rsidRDefault="00986B46" w:rsidP="00F1501F">
      <w:pPr>
        <w:pStyle w:val="BodyText"/>
        <w:rPr>
          <w:rStyle w:val="Emphasis"/>
          <w:rFonts w:ascii="Palatino Linotype" w:hAnsi="Palatino Linotype" w:cstheme="minorHAnsi"/>
          <w:sz w:val="22"/>
          <w:szCs w:val="22"/>
          <w:lang w:val="en-AU"/>
        </w:rPr>
      </w:pPr>
    </w:p>
    <w:p w14:paraId="4A37B107" w14:textId="2A04DBFB" w:rsidR="00041FC5" w:rsidRPr="00597E56" w:rsidRDefault="00041FC5" w:rsidP="00F1501F">
      <w:pPr>
        <w:pStyle w:val="BodyText"/>
        <w:rPr>
          <w:rStyle w:val="Emphasis"/>
          <w:rFonts w:ascii="Palatino Linotype" w:hAnsi="Palatino Linotype" w:cstheme="minorHAnsi"/>
          <w:color w:val="000000" w:themeColor="text1"/>
          <w:sz w:val="22"/>
          <w:szCs w:val="22"/>
          <w:lang w:val="en-AU"/>
        </w:rPr>
      </w:pPr>
      <w:r w:rsidRPr="00597E56">
        <w:rPr>
          <w:rStyle w:val="Emphasis"/>
          <w:rFonts w:ascii="Palatino Linotype" w:hAnsi="Palatino Linotype" w:cstheme="minorHAnsi"/>
          <w:color w:val="000000" w:themeColor="text1"/>
          <w:sz w:val="22"/>
          <w:szCs w:val="22"/>
          <w:lang w:val="en-AU"/>
        </w:rPr>
        <w:t>While five Australian States and the two Territories all “have some form of land rights legislation” (New South Wales Department of Aboriginal Affairs 2000, p. 47), Western Australia remains the enduring outlier. Unlike the other jurisdictions, the Western Australian framework relies not on a land rights statute but upon a cluster of legislative instruments concerned primarily with heritage and community regulation, notably the Aboriginal Affairs Planning Authority Act 1972 (WA), the Aboriginal Heritage Act 1972 (WA), and the Aboriginal Communities Act 1979 (WA)</w:t>
      </w:r>
      <w:r w:rsidR="00644159" w:rsidRPr="00597E56">
        <w:rPr>
          <w:rStyle w:val="Emphasis"/>
          <w:rFonts w:ascii="Palatino Linotype" w:hAnsi="Palatino Linotype" w:cstheme="minorHAnsi"/>
          <w:color w:val="000000" w:themeColor="text1"/>
          <w:sz w:val="22"/>
          <w:szCs w:val="22"/>
          <w:lang w:val="en-AU"/>
        </w:rPr>
        <w:t>.</w:t>
      </w:r>
    </w:p>
    <w:p w14:paraId="722EA2B6" w14:textId="77777777" w:rsidR="00041FC5" w:rsidRPr="00597E56" w:rsidRDefault="00041FC5" w:rsidP="00F1501F">
      <w:pPr>
        <w:pStyle w:val="BodyText"/>
        <w:rPr>
          <w:rStyle w:val="Emphasis"/>
          <w:rFonts w:ascii="Palatino Linotype" w:hAnsi="Palatino Linotype" w:cstheme="minorHAnsi"/>
          <w:color w:val="EE0000"/>
          <w:sz w:val="22"/>
          <w:szCs w:val="22"/>
          <w:lang w:val="en-AU"/>
        </w:rPr>
      </w:pPr>
    </w:p>
    <w:p w14:paraId="0225081F" w14:textId="227C99EA" w:rsidR="00041FC5" w:rsidRPr="00597E56" w:rsidRDefault="00041FC5" w:rsidP="00F1501F">
      <w:pPr>
        <w:pStyle w:val="BodyText"/>
        <w:rPr>
          <w:rStyle w:val="Emphasis"/>
          <w:rFonts w:ascii="Palatino Linotype" w:hAnsi="Palatino Linotype" w:cstheme="minorHAnsi"/>
          <w:sz w:val="22"/>
          <w:szCs w:val="22"/>
          <w:lang w:val="en-AU"/>
        </w:rPr>
      </w:pPr>
      <w:r w:rsidRPr="00597E56">
        <w:rPr>
          <w:rStyle w:val="Emphasis"/>
          <w:rFonts w:ascii="Palatino Linotype" w:hAnsi="Palatino Linotype" w:cstheme="minorHAnsi"/>
          <w:sz w:val="22"/>
          <w:szCs w:val="22"/>
          <w:lang w:val="en-AU"/>
        </w:rPr>
        <w:t>The principal statute, the Aboriginal Heritage Act 1972 (WA) (AHA), came into force on 15 December 1972 and was described</w:t>
      </w:r>
      <w:r w:rsidR="00903B14" w:rsidRPr="00597E56">
        <w:rPr>
          <w:rStyle w:val="FootnoteReference"/>
          <w:rFonts w:ascii="Palatino Linotype" w:hAnsi="Palatino Linotype" w:cstheme="minorHAnsi"/>
          <w:sz w:val="22"/>
          <w:szCs w:val="22"/>
          <w:lang w:val="en-AU"/>
        </w:rPr>
        <w:footnoteReference w:id="15"/>
      </w:r>
      <w:r w:rsidRPr="00597E56">
        <w:rPr>
          <w:rStyle w:val="Emphasis"/>
          <w:rFonts w:ascii="Palatino Linotype" w:hAnsi="Palatino Linotype" w:cstheme="minorHAnsi"/>
          <w:sz w:val="22"/>
          <w:szCs w:val="22"/>
          <w:lang w:val="en-AU"/>
        </w:rPr>
        <w:t xml:space="preserve"> contemporaneously as a progressive legislative initiative—predating the High Court</w:t>
      </w:r>
      <w:r w:rsidR="00903B14" w:rsidRPr="00597E56">
        <w:rPr>
          <w:rStyle w:val="Emphasis"/>
          <w:rFonts w:ascii="Palatino Linotype" w:hAnsi="Palatino Linotype" w:cstheme="minorHAnsi"/>
          <w:sz w:val="22"/>
          <w:szCs w:val="22"/>
          <w:lang w:val="en-AU"/>
        </w:rPr>
        <w:t xml:space="preserve"> of Australia</w:t>
      </w:r>
      <w:r w:rsidRPr="00597E56">
        <w:rPr>
          <w:rStyle w:val="Emphasis"/>
          <w:rFonts w:ascii="Palatino Linotype" w:hAnsi="Palatino Linotype" w:cstheme="minorHAnsi"/>
          <w:sz w:val="22"/>
          <w:szCs w:val="22"/>
          <w:lang w:val="en-AU"/>
        </w:rPr>
        <w:t>’s recognition of native title by two decades. Its early emphasis on “tradition, culture and heritage” marked a departure from the merely archaeological orientation of earlier twentieth-century statutes</w:t>
      </w:r>
      <w:r w:rsidR="00903B14" w:rsidRPr="00597E56">
        <w:rPr>
          <w:rStyle w:val="FootnoteReference"/>
          <w:rFonts w:ascii="Palatino Linotype" w:hAnsi="Palatino Linotype" w:cstheme="minorHAnsi"/>
          <w:sz w:val="22"/>
          <w:szCs w:val="22"/>
          <w:lang w:val="en-AU"/>
        </w:rPr>
        <w:footnoteReference w:id="16"/>
      </w:r>
      <w:r w:rsidR="00903B14" w:rsidRPr="00597E56">
        <w:rPr>
          <w:rStyle w:val="FootnoteReference"/>
          <w:rFonts w:ascii="Palatino Linotype" w:hAnsi="Palatino Linotype" w:cstheme="minorHAnsi"/>
          <w:sz w:val="22"/>
          <w:szCs w:val="22"/>
          <w:lang w:val="en-AU"/>
        </w:rPr>
        <w:footnoteReference w:id="17"/>
      </w:r>
      <w:r w:rsidRPr="00597E56">
        <w:rPr>
          <w:rStyle w:val="Emphasis"/>
          <w:rFonts w:ascii="Palatino Linotype" w:hAnsi="Palatino Linotype" w:cstheme="minorHAnsi"/>
          <w:sz w:val="22"/>
          <w:szCs w:val="22"/>
          <w:lang w:val="en-AU"/>
        </w:rPr>
        <w:t xml:space="preserve">. Yet over time the Act’s operation proved paradoxical: a law framed with humane intent became, in practice, a mechanism through which disturbance and destruction of both tangible and intangible Aboriginal cultural heritage repeatedly occurred. </w:t>
      </w:r>
      <w:r w:rsidR="00644159" w:rsidRPr="00597E56">
        <w:rPr>
          <w:rStyle w:val="Emphasis"/>
          <w:rFonts w:ascii="Palatino Linotype" w:hAnsi="Palatino Linotype" w:cstheme="minorHAnsi"/>
          <w:sz w:val="22"/>
          <w:szCs w:val="22"/>
          <w:lang w:val="en-AU"/>
        </w:rPr>
        <w:t>T</w:t>
      </w:r>
      <w:r w:rsidRPr="00597E56">
        <w:rPr>
          <w:rStyle w:val="Emphasis"/>
          <w:rFonts w:ascii="Palatino Linotype" w:hAnsi="Palatino Linotype" w:cstheme="minorHAnsi"/>
          <w:sz w:val="22"/>
          <w:szCs w:val="22"/>
          <w:lang w:val="en-AU"/>
        </w:rPr>
        <w:t>he Chamber of Minerals and Energy of Western Australia conceded</w:t>
      </w:r>
      <w:r w:rsidR="00903B14" w:rsidRPr="00597E56">
        <w:rPr>
          <w:rStyle w:val="FootnoteReference"/>
          <w:rFonts w:ascii="Palatino Linotype" w:hAnsi="Palatino Linotype" w:cstheme="minorHAnsi"/>
          <w:sz w:val="22"/>
          <w:szCs w:val="22"/>
          <w:lang w:val="en-AU"/>
        </w:rPr>
        <w:footnoteReference w:id="18"/>
      </w:r>
      <w:r w:rsidRPr="00597E56">
        <w:rPr>
          <w:rStyle w:val="Emphasis"/>
          <w:rFonts w:ascii="Palatino Linotype" w:hAnsi="Palatino Linotype" w:cstheme="minorHAnsi"/>
          <w:sz w:val="22"/>
          <w:szCs w:val="22"/>
          <w:lang w:val="en-AU"/>
        </w:rPr>
        <w:t xml:space="preserve"> that the legislation, having long pre-dated native title, now demanded </w:t>
      </w:r>
      <w:r w:rsidR="00644159" w:rsidRPr="00597E56">
        <w:rPr>
          <w:rStyle w:val="Emphasis"/>
          <w:rFonts w:ascii="Palatino Linotype" w:hAnsi="Palatino Linotype" w:cstheme="minorHAnsi"/>
          <w:sz w:val="22"/>
          <w:szCs w:val="22"/>
          <w:lang w:val="en-AU"/>
        </w:rPr>
        <w:t xml:space="preserve">modernization, </w:t>
      </w:r>
      <w:r w:rsidR="00644159" w:rsidRPr="00597E56">
        <w:rPr>
          <w:rFonts w:ascii="Palatino Linotype" w:hAnsi="Palatino Linotype" w:cstheme="minorHAnsi"/>
          <w:i/>
          <w:iCs/>
          <w:sz w:val="22"/>
          <w:szCs w:val="22"/>
          <w:lang w:val="en-AU"/>
        </w:rPr>
        <w:t>“… the current WA legislation pre-dates the recognition of Native Title further highlighting the need for modernisation</w:t>
      </w:r>
      <w:r w:rsidR="00644159" w:rsidRPr="00597E56">
        <w:rPr>
          <w:rFonts w:ascii="Palatino Linotype" w:hAnsi="Palatino Linotype" w:cstheme="minorHAnsi"/>
          <w:sz w:val="22"/>
          <w:szCs w:val="22"/>
          <w:lang w:val="en-AU"/>
        </w:rPr>
        <w:t>”.</w:t>
      </w:r>
    </w:p>
    <w:p w14:paraId="022DDC94" w14:textId="77777777" w:rsidR="00041FC5" w:rsidRPr="00597E56" w:rsidRDefault="00041FC5" w:rsidP="00F1501F">
      <w:pPr>
        <w:pStyle w:val="BodyText"/>
        <w:rPr>
          <w:rStyle w:val="Emphasis"/>
          <w:rFonts w:ascii="Palatino Linotype" w:hAnsi="Palatino Linotype" w:cstheme="minorHAnsi"/>
          <w:sz w:val="22"/>
          <w:szCs w:val="22"/>
          <w:lang w:val="en-AU"/>
        </w:rPr>
      </w:pPr>
    </w:p>
    <w:p w14:paraId="3473D2B6" w14:textId="4A213E4E" w:rsidR="00041FC5" w:rsidRPr="00597E56" w:rsidRDefault="00041FC5" w:rsidP="00F1501F">
      <w:pPr>
        <w:pStyle w:val="BodyText"/>
        <w:rPr>
          <w:rStyle w:val="Emphasis"/>
          <w:rFonts w:ascii="Palatino Linotype" w:hAnsi="Palatino Linotype" w:cstheme="minorHAnsi"/>
          <w:sz w:val="22"/>
          <w:szCs w:val="22"/>
          <w:lang w:val="en-AU"/>
        </w:rPr>
      </w:pPr>
      <w:r w:rsidRPr="00597E56">
        <w:rPr>
          <w:rStyle w:val="Emphasis"/>
          <w:rFonts w:ascii="Palatino Linotype" w:hAnsi="Palatino Linotype" w:cstheme="minorHAnsi"/>
          <w:sz w:val="22"/>
          <w:szCs w:val="22"/>
          <w:lang w:val="en-AU"/>
        </w:rPr>
        <w:t xml:space="preserve">The gravity of this legislative obsolescence was laid bare following the </w:t>
      </w:r>
      <w:proofErr w:type="spellStart"/>
      <w:r w:rsidRPr="00597E56">
        <w:rPr>
          <w:rStyle w:val="Emphasis"/>
          <w:rFonts w:ascii="Palatino Linotype" w:hAnsi="Palatino Linotype" w:cstheme="minorHAnsi"/>
          <w:sz w:val="22"/>
          <w:szCs w:val="22"/>
          <w:lang w:val="en-AU"/>
        </w:rPr>
        <w:t>Juukan</w:t>
      </w:r>
      <w:proofErr w:type="spellEnd"/>
      <w:r w:rsidRPr="00597E56">
        <w:rPr>
          <w:rStyle w:val="Emphasis"/>
          <w:rFonts w:ascii="Palatino Linotype" w:hAnsi="Palatino Linotype" w:cstheme="minorHAnsi"/>
          <w:sz w:val="22"/>
          <w:szCs w:val="22"/>
          <w:lang w:val="en-AU"/>
        </w:rPr>
        <w:t xml:space="preserve"> Gorge catastrophe—the 2020 destruction of a rock shelter dating back some 46</w:t>
      </w:r>
      <w:r w:rsidR="00644159" w:rsidRPr="00597E56">
        <w:rPr>
          <w:rStyle w:val="Emphasis"/>
          <w:rFonts w:ascii="Palatino Linotype" w:hAnsi="Palatino Linotype" w:cstheme="minorHAnsi"/>
          <w:sz w:val="22"/>
          <w:szCs w:val="22"/>
          <w:lang w:val="en-AU"/>
        </w:rPr>
        <w:t>,</w:t>
      </w:r>
      <w:r w:rsidRPr="00597E56">
        <w:rPr>
          <w:rStyle w:val="Emphasis"/>
          <w:rFonts w:ascii="Palatino Linotype" w:hAnsi="Palatino Linotype" w:cstheme="minorHAnsi"/>
          <w:sz w:val="22"/>
          <w:szCs w:val="22"/>
          <w:lang w:val="en-AU"/>
        </w:rPr>
        <w:t xml:space="preserve">000 years. In the ensuing public </w:t>
      </w:r>
      <w:proofErr w:type="gramStart"/>
      <w:r w:rsidRPr="00597E56">
        <w:rPr>
          <w:rStyle w:val="Emphasis"/>
          <w:rFonts w:ascii="Palatino Linotype" w:hAnsi="Palatino Linotype" w:cstheme="minorHAnsi"/>
          <w:sz w:val="22"/>
          <w:szCs w:val="22"/>
          <w:lang w:val="en-AU"/>
        </w:rPr>
        <w:t>outcry</w:t>
      </w:r>
      <w:proofErr w:type="gramEnd"/>
      <w:r w:rsidRPr="00597E56">
        <w:rPr>
          <w:rStyle w:val="Emphasis"/>
          <w:rFonts w:ascii="Palatino Linotype" w:hAnsi="Palatino Linotype" w:cstheme="minorHAnsi"/>
          <w:sz w:val="22"/>
          <w:szCs w:val="22"/>
          <w:lang w:val="en-AU"/>
        </w:rPr>
        <w:t xml:space="preserve"> the AHA was replaced by the Aboriginal Cultural Heritage Act 2021 (WA). Yet, remarkably, that reform survived scarcely five weeks before repeal</w:t>
      </w:r>
      <w:r w:rsidR="00903B14" w:rsidRPr="00597E56">
        <w:rPr>
          <w:rStyle w:val="FootnoteReference"/>
          <w:rFonts w:ascii="Palatino Linotype" w:hAnsi="Palatino Linotype" w:cstheme="minorHAnsi"/>
          <w:sz w:val="22"/>
          <w:szCs w:val="22"/>
          <w:lang w:val="en-AU"/>
        </w:rPr>
        <w:footnoteReference w:id="19"/>
      </w:r>
      <w:r w:rsidRPr="00597E56">
        <w:rPr>
          <w:rStyle w:val="Emphasis"/>
          <w:rFonts w:ascii="Palatino Linotype" w:hAnsi="Palatino Linotype" w:cstheme="minorHAnsi"/>
          <w:sz w:val="22"/>
          <w:szCs w:val="22"/>
          <w:lang w:val="en-AU"/>
        </w:rPr>
        <w:t xml:space="preserve"> amid landowner backlash, leading to reinstatement of the 1972 Act. The episode starkly illustrated the continuing fragility of Aboriginal heritage protection in Western Australia and the political volatility surrounding Indigenous land recognition.</w:t>
      </w:r>
    </w:p>
    <w:p w14:paraId="5A676BC1" w14:textId="77777777" w:rsidR="00041FC5" w:rsidRPr="00597E56" w:rsidRDefault="00041FC5" w:rsidP="00F1501F">
      <w:pPr>
        <w:pStyle w:val="BodyText"/>
        <w:rPr>
          <w:rStyle w:val="Emphasis"/>
          <w:rFonts w:ascii="Palatino Linotype" w:hAnsi="Palatino Linotype" w:cstheme="minorHAnsi"/>
          <w:sz w:val="22"/>
          <w:szCs w:val="22"/>
          <w:lang w:val="en-AU"/>
        </w:rPr>
      </w:pPr>
    </w:p>
    <w:p w14:paraId="4C9DC193" w14:textId="476DF03C" w:rsidR="00041FC5" w:rsidRPr="00597E56" w:rsidRDefault="00041FC5" w:rsidP="00F1501F">
      <w:pPr>
        <w:pStyle w:val="BodyText"/>
        <w:rPr>
          <w:rStyle w:val="Emphasis"/>
          <w:rFonts w:ascii="Palatino Linotype" w:hAnsi="Palatino Linotype" w:cstheme="minorHAnsi"/>
          <w:sz w:val="22"/>
          <w:szCs w:val="22"/>
          <w:lang w:val="en-AU"/>
        </w:rPr>
      </w:pPr>
      <w:r w:rsidRPr="00597E56">
        <w:rPr>
          <w:rStyle w:val="Emphasis"/>
          <w:rFonts w:ascii="Palatino Linotype" w:hAnsi="Palatino Linotype" w:cstheme="minorHAnsi"/>
          <w:sz w:val="22"/>
          <w:szCs w:val="22"/>
          <w:lang w:val="en-AU"/>
        </w:rPr>
        <w:t xml:space="preserve">Historically, in the absence of a statutory land rights regime, the AHA provided the only limited statutory recognition of Aboriginal interests in land—restricted to discrete sites rather than encompassing territorial title. The 1980 development of the Argyle diamond mine exemplified this deficiency. The mine’s proponents entered into a so-called good-neighbour </w:t>
      </w:r>
      <w:r w:rsidRPr="00597E56">
        <w:rPr>
          <w:rStyle w:val="Emphasis"/>
          <w:rFonts w:ascii="Palatino Linotype" w:hAnsi="Palatino Linotype" w:cstheme="minorHAnsi"/>
          <w:sz w:val="22"/>
          <w:szCs w:val="22"/>
          <w:lang w:val="en-AU"/>
        </w:rPr>
        <w:lastRenderedPageBreak/>
        <w:t>policy agreement with Aboriginal signatories under the auspices of the Western Australian Museum, then administrator of the AHA. As Connell and Howitt</w:t>
      </w:r>
      <w:r w:rsidR="00903B14" w:rsidRPr="00597E56">
        <w:rPr>
          <w:rStyle w:val="FootnoteReference"/>
          <w:rFonts w:ascii="Palatino Linotype" w:hAnsi="Palatino Linotype" w:cstheme="minorHAnsi"/>
          <w:sz w:val="22"/>
          <w:szCs w:val="22"/>
          <w:lang w:val="en-AU"/>
        </w:rPr>
        <w:footnoteReference w:id="20"/>
      </w:r>
      <w:r w:rsidRPr="00597E56">
        <w:rPr>
          <w:rStyle w:val="Emphasis"/>
          <w:rFonts w:ascii="Palatino Linotype" w:hAnsi="Palatino Linotype" w:cstheme="minorHAnsi"/>
          <w:sz w:val="22"/>
          <w:szCs w:val="22"/>
          <w:lang w:val="en-AU"/>
        </w:rPr>
        <w:t xml:space="preserve"> observed, the legislation thereby offered “</w:t>
      </w:r>
      <w:r w:rsidR="00644159" w:rsidRPr="00597E56">
        <w:rPr>
          <w:rStyle w:val="Emphasis"/>
          <w:rFonts w:ascii="Palatino Linotype" w:hAnsi="Palatino Linotype" w:cstheme="minorHAnsi"/>
          <w:i/>
          <w:iCs/>
          <w:sz w:val="22"/>
          <w:szCs w:val="22"/>
          <w:lang w:val="en-AU"/>
        </w:rPr>
        <w:t>…</w:t>
      </w:r>
      <w:r w:rsidRPr="00597E56">
        <w:rPr>
          <w:rStyle w:val="Emphasis"/>
          <w:rFonts w:ascii="Palatino Linotype" w:hAnsi="Palatino Linotype" w:cstheme="minorHAnsi"/>
          <w:i/>
          <w:iCs/>
          <w:sz w:val="22"/>
          <w:szCs w:val="22"/>
          <w:lang w:val="en-AU"/>
        </w:rPr>
        <w:t>the only statutory recognition in Western Australia of Aboriginal rights in land—albeit rights limited to particular sites.</w:t>
      </w:r>
      <w:r w:rsidRPr="00597E56">
        <w:rPr>
          <w:rStyle w:val="Emphasis"/>
          <w:rFonts w:ascii="Palatino Linotype" w:hAnsi="Palatino Linotype" w:cstheme="minorHAnsi"/>
          <w:sz w:val="22"/>
          <w:szCs w:val="22"/>
          <w:lang w:val="en-AU"/>
        </w:rPr>
        <w:t xml:space="preserve">” Yet this accommodation was fraught. The Warmun community rejected the agreement as unrepresentative, while Premier Sir Charles Court feared that its terms, being </w:t>
      </w:r>
      <w:r w:rsidRPr="00597E56">
        <w:rPr>
          <w:rStyle w:val="Emphasis"/>
          <w:rFonts w:ascii="Palatino Linotype" w:hAnsi="Palatino Linotype" w:cstheme="minorHAnsi"/>
          <w:i/>
          <w:iCs/>
          <w:sz w:val="22"/>
          <w:szCs w:val="22"/>
          <w:lang w:val="en-AU"/>
        </w:rPr>
        <w:t>“</w:t>
      </w:r>
      <w:r w:rsidR="003A7A0A" w:rsidRPr="00597E56">
        <w:rPr>
          <w:rStyle w:val="Emphasis"/>
          <w:rFonts w:ascii="Palatino Linotype" w:hAnsi="Palatino Linotype" w:cstheme="minorHAnsi"/>
          <w:i/>
          <w:iCs/>
          <w:sz w:val="22"/>
          <w:szCs w:val="22"/>
          <w:lang w:val="en-AU"/>
        </w:rPr>
        <w:t xml:space="preserve">… </w:t>
      </w:r>
      <w:r w:rsidR="003A7A0A" w:rsidRPr="00597E56">
        <w:rPr>
          <w:rFonts w:ascii="Palatino Linotype" w:hAnsi="Palatino Linotype" w:cstheme="minorHAnsi"/>
          <w:i/>
          <w:iCs/>
          <w:sz w:val="22"/>
          <w:szCs w:val="22"/>
          <w:lang w:val="en-AU"/>
        </w:rPr>
        <w:t>so specific that it must be interpreted as compensation and payments in lieu of royalty</w:t>
      </w:r>
      <w:r w:rsidR="003A7A0A" w:rsidRPr="00597E56">
        <w:rPr>
          <w:rFonts w:ascii="Palatino Linotype" w:hAnsi="Palatino Linotype" w:cstheme="minorHAnsi"/>
          <w:sz w:val="22"/>
          <w:szCs w:val="22"/>
          <w:lang w:val="en-AU"/>
        </w:rPr>
        <w:t>”</w:t>
      </w:r>
      <w:r w:rsidRPr="00597E56">
        <w:rPr>
          <w:rStyle w:val="Emphasis"/>
          <w:rFonts w:ascii="Palatino Linotype" w:hAnsi="Palatino Linotype" w:cstheme="minorHAnsi"/>
          <w:sz w:val="22"/>
          <w:szCs w:val="22"/>
          <w:lang w:val="en-AU"/>
        </w:rPr>
        <w:t xml:space="preserve">—thus setting a precedent for recognising Aboriginal land rights. Soon afterwards, the Act was amended to remove heritage protection over the mine, an omission which Connell and Howitt </w:t>
      </w:r>
      <w:r w:rsidR="003A7A0A" w:rsidRPr="00597E56">
        <w:rPr>
          <w:rStyle w:val="Emphasis"/>
          <w:rFonts w:ascii="Palatino Linotype" w:hAnsi="Palatino Linotype" w:cstheme="minorHAnsi"/>
          <w:sz w:val="22"/>
          <w:szCs w:val="22"/>
          <w:lang w:val="en-AU"/>
        </w:rPr>
        <w:t xml:space="preserve">at p.146 </w:t>
      </w:r>
      <w:r w:rsidRPr="00597E56">
        <w:rPr>
          <w:rStyle w:val="Emphasis"/>
          <w:rFonts w:ascii="Palatino Linotype" w:hAnsi="Palatino Linotype" w:cstheme="minorHAnsi"/>
          <w:sz w:val="22"/>
          <w:szCs w:val="22"/>
          <w:lang w:val="en-AU"/>
        </w:rPr>
        <w:t>concluded left Aboriginal people at Argyle having “lost both the battle and the war,” with culturally significant sites damaged and aspirations for statutory land recognition denied</w:t>
      </w:r>
    </w:p>
    <w:p w14:paraId="5B1804E9" w14:textId="77777777" w:rsidR="00041FC5" w:rsidRPr="00597E56" w:rsidRDefault="00041FC5" w:rsidP="00F1501F">
      <w:pPr>
        <w:pStyle w:val="BodyText"/>
        <w:rPr>
          <w:rStyle w:val="Emphasis"/>
          <w:rFonts w:ascii="Palatino Linotype" w:hAnsi="Palatino Linotype" w:cstheme="minorHAnsi"/>
          <w:sz w:val="22"/>
          <w:szCs w:val="22"/>
          <w:lang w:val="en-AU"/>
        </w:rPr>
      </w:pPr>
    </w:p>
    <w:p w14:paraId="438136AF" w14:textId="2EF4ABE0" w:rsidR="00041FC5" w:rsidRPr="00597E56" w:rsidRDefault="00041FC5" w:rsidP="00F1501F">
      <w:pPr>
        <w:spacing w:after="0" w:line="240" w:lineRule="auto"/>
        <w:jc w:val="both"/>
        <w:rPr>
          <w:rStyle w:val="Emphasis"/>
          <w:rFonts w:ascii="Palatino Linotype" w:hAnsi="Palatino Linotype" w:cstheme="minorHAnsi"/>
          <w:sz w:val="22"/>
        </w:rPr>
      </w:pPr>
      <w:r w:rsidRPr="00597E56">
        <w:rPr>
          <w:rStyle w:val="Emphasis"/>
          <w:rFonts w:ascii="Palatino Linotype" w:hAnsi="Palatino Linotype" w:cstheme="minorHAnsi"/>
          <w:sz w:val="22"/>
        </w:rPr>
        <w:t>The Seaman Report</w:t>
      </w:r>
      <w:r w:rsidR="000043BB" w:rsidRPr="00597E56">
        <w:rPr>
          <w:rStyle w:val="FootnoteReference"/>
          <w:rFonts w:ascii="Palatino Linotype" w:hAnsi="Palatino Linotype" w:cstheme="minorHAnsi"/>
        </w:rPr>
        <w:footnoteReference w:id="21"/>
      </w:r>
      <w:r w:rsidRPr="00597E56">
        <w:rPr>
          <w:rStyle w:val="Emphasis"/>
          <w:rFonts w:ascii="Palatino Linotype" w:hAnsi="Palatino Linotype" w:cstheme="minorHAnsi"/>
          <w:sz w:val="22"/>
        </w:rPr>
        <w:t xml:space="preserve"> (Report of the Aboriginal Land Inquiry, 1984) </w:t>
      </w:r>
      <w:r w:rsidR="003A7A0A" w:rsidRPr="00597E56">
        <w:rPr>
          <w:rFonts w:ascii="Palatino Linotype" w:hAnsi="Palatino Linotype" w:cstheme="minorHAnsi"/>
        </w:rPr>
        <w:t>which according to Snelling</w:t>
      </w:r>
      <w:r w:rsidR="003A7A0A" w:rsidRPr="00597E56">
        <w:rPr>
          <w:rStyle w:val="FootnoteReference"/>
          <w:rFonts w:ascii="Palatino Linotype" w:hAnsi="Palatino Linotype" w:cstheme="minorHAnsi"/>
        </w:rPr>
        <w:footnoteReference w:id="22"/>
      </w:r>
      <w:r w:rsidR="003A7A0A" w:rsidRPr="00597E56">
        <w:rPr>
          <w:rFonts w:ascii="Palatino Linotype" w:hAnsi="Palatino Linotype" w:cstheme="minorHAnsi"/>
        </w:rPr>
        <w:t xml:space="preserve"> </w:t>
      </w:r>
      <w:r w:rsidR="0075761D" w:rsidRPr="00597E56">
        <w:rPr>
          <w:rFonts w:ascii="Palatino Linotype" w:hAnsi="Palatino Linotype" w:cstheme="minorHAnsi"/>
        </w:rPr>
        <w:t>(1984, p.18)</w:t>
      </w:r>
      <w:r w:rsidR="003A7A0A" w:rsidRPr="00597E56">
        <w:rPr>
          <w:rFonts w:ascii="Palatino Linotype" w:hAnsi="Palatino Linotype" w:cstheme="minorHAnsi"/>
        </w:rPr>
        <w:t xml:space="preserve"> recommended that “… land claims to be held under inalienable freehold title” and at page 20 </w:t>
      </w:r>
      <w:proofErr w:type="gramStart"/>
      <w:r w:rsidR="003A7A0A" w:rsidRPr="00597E56">
        <w:rPr>
          <w:rFonts w:ascii="Palatino Linotype" w:hAnsi="Palatino Linotype" w:cstheme="minorHAnsi"/>
        </w:rPr>
        <w:t>“..</w:t>
      </w:r>
      <w:proofErr w:type="gramEnd"/>
      <w:r w:rsidR="003A7A0A" w:rsidRPr="00597E56">
        <w:rPr>
          <w:rFonts w:ascii="Palatino Linotype" w:hAnsi="Palatino Linotype" w:cstheme="minorHAnsi"/>
        </w:rPr>
        <w:t xml:space="preserve"> the power to veto a mine development. The</w:t>
      </w:r>
      <w:r w:rsidRPr="00597E56">
        <w:rPr>
          <w:rStyle w:val="Emphasis"/>
          <w:rFonts w:ascii="Palatino Linotype" w:hAnsi="Palatino Linotype" w:cstheme="minorHAnsi"/>
          <w:sz w:val="22"/>
        </w:rPr>
        <w:t xml:space="preserve"> Government response</w:t>
      </w:r>
      <w:r w:rsidR="00110A4F" w:rsidRPr="00597E56">
        <w:rPr>
          <w:rStyle w:val="Emphasis"/>
          <w:rFonts w:ascii="Palatino Linotype" w:hAnsi="Palatino Linotype" w:cstheme="minorHAnsi"/>
          <w:sz w:val="22"/>
        </w:rPr>
        <w:t xml:space="preserve"> (Hunt, 1984, p.58)</w:t>
      </w:r>
      <w:r w:rsidRPr="00597E56">
        <w:rPr>
          <w:rStyle w:val="Emphasis"/>
          <w:rFonts w:ascii="Palatino Linotype" w:hAnsi="Palatino Linotype" w:cstheme="minorHAnsi"/>
          <w:sz w:val="22"/>
        </w:rPr>
        <w:t>, however, was to contemplate only a “protective and secure”</w:t>
      </w:r>
      <w:r w:rsidR="000043BB" w:rsidRPr="00597E56">
        <w:rPr>
          <w:rStyle w:val="FootnoteReference"/>
          <w:rFonts w:ascii="Palatino Linotype" w:hAnsi="Palatino Linotype" w:cstheme="minorHAnsi"/>
        </w:rPr>
        <w:t xml:space="preserve"> </w:t>
      </w:r>
      <w:r w:rsidR="000043BB" w:rsidRPr="00597E56">
        <w:rPr>
          <w:rStyle w:val="FootnoteReference"/>
          <w:rFonts w:ascii="Palatino Linotype" w:hAnsi="Palatino Linotype" w:cstheme="minorHAnsi"/>
        </w:rPr>
        <w:footnoteReference w:id="23"/>
      </w:r>
      <w:r w:rsidRPr="00597E56">
        <w:rPr>
          <w:rStyle w:val="Emphasis"/>
          <w:rFonts w:ascii="Palatino Linotype" w:hAnsi="Palatino Linotype" w:cstheme="minorHAnsi"/>
          <w:sz w:val="22"/>
        </w:rPr>
        <w:t xml:space="preserve"> form of lesser title, </w:t>
      </w:r>
      <w:r w:rsidR="003A7A0A" w:rsidRPr="00597E56">
        <w:rPr>
          <w:rStyle w:val="Emphasis"/>
          <w:rFonts w:ascii="Palatino Linotype" w:hAnsi="Palatino Linotype" w:cstheme="minorHAnsi"/>
          <w:sz w:val="22"/>
        </w:rPr>
        <w:t>thereby avoiding</w:t>
      </w:r>
      <w:r w:rsidRPr="00597E56">
        <w:rPr>
          <w:rStyle w:val="Emphasis"/>
          <w:rFonts w:ascii="Palatino Linotype" w:hAnsi="Palatino Linotype" w:cstheme="minorHAnsi"/>
          <w:sz w:val="22"/>
        </w:rPr>
        <w:t xml:space="preserve"> any true proprietary recognition</w:t>
      </w:r>
      <w:r w:rsidR="0017163F" w:rsidRPr="00597E56">
        <w:rPr>
          <w:rStyle w:val="Emphasis"/>
          <w:rFonts w:ascii="Palatino Linotype" w:hAnsi="Palatino Linotype" w:cstheme="minorHAnsi"/>
          <w:sz w:val="22"/>
        </w:rPr>
        <w:t>.</w:t>
      </w:r>
    </w:p>
    <w:p w14:paraId="4F1BC1D2" w14:textId="77777777" w:rsidR="00041FC5" w:rsidRPr="00597E56" w:rsidRDefault="00041FC5" w:rsidP="00F1501F">
      <w:pPr>
        <w:pStyle w:val="BodyText"/>
        <w:rPr>
          <w:rStyle w:val="Emphasis"/>
          <w:rFonts w:ascii="Palatino Linotype" w:hAnsi="Palatino Linotype" w:cstheme="minorHAnsi"/>
          <w:sz w:val="22"/>
          <w:szCs w:val="22"/>
          <w:lang w:val="en-AU"/>
        </w:rPr>
      </w:pPr>
    </w:p>
    <w:p w14:paraId="74ACC31C" w14:textId="7A4DB991" w:rsidR="00A60597" w:rsidRPr="00597E56" w:rsidRDefault="00041FC5" w:rsidP="00F1501F">
      <w:pPr>
        <w:pStyle w:val="BodyText"/>
        <w:rPr>
          <w:rFonts w:ascii="Palatino Linotype" w:hAnsi="Palatino Linotype" w:cstheme="minorHAnsi"/>
          <w:sz w:val="22"/>
          <w:szCs w:val="22"/>
          <w:lang w:val="en-AU"/>
        </w:rPr>
      </w:pPr>
      <w:r w:rsidRPr="00597E56">
        <w:rPr>
          <w:rStyle w:val="Emphasis"/>
          <w:rFonts w:ascii="Palatino Linotype" w:hAnsi="Palatino Linotype" w:cstheme="minorHAnsi"/>
          <w:sz w:val="22"/>
          <w:szCs w:val="22"/>
          <w:lang w:val="en-AU"/>
        </w:rPr>
        <w:t>In this retreat one can discern the political anxiety that statutory land rights—by conferring economic agency—might unsettle the State’s extractive economy.</w:t>
      </w:r>
      <w:r w:rsidR="00A60597" w:rsidRPr="00597E56">
        <w:rPr>
          <w:rFonts w:ascii="Palatino Linotype" w:hAnsi="Palatino Linotype" w:cstheme="minorHAnsi"/>
          <w:sz w:val="22"/>
          <w:szCs w:val="22"/>
          <w:lang w:val="en-AU"/>
        </w:rPr>
        <w:t xml:space="preserve"> Pierluigi explains with somewhat confronting frankness that:</w:t>
      </w:r>
    </w:p>
    <w:p w14:paraId="22C60CC0" w14:textId="77777777" w:rsidR="00A60597" w:rsidRPr="00597E56" w:rsidRDefault="00A60597" w:rsidP="00F1501F">
      <w:pPr>
        <w:pStyle w:val="BodyText"/>
        <w:rPr>
          <w:rFonts w:ascii="Palatino Linotype" w:hAnsi="Palatino Linotype" w:cstheme="minorHAnsi"/>
          <w:sz w:val="22"/>
          <w:szCs w:val="22"/>
          <w:lang w:val="en-AU"/>
        </w:rPr>
      </w:pPr>
    </w:p>
    <w:p w14:paraId="22E3D3BB" w14:textId="77777777" w:rsidR="00A60597" w:rsidRPr="00597E56" w:rsidRDefault="00A60597" w:rsidP="00F1501F">
      <w:pPr>
        <w:pStyle w:val="BodyText"/>
        <w:rPr>
          <w:rFonts w:ascii="Palatino Linotype" w:hAnsi="Palatino Linotype" w:cstheme="minorHAnsi"/>
          <w:i/>
          <w:iCs/>
          <w:sz w:val="22"/>
          <w:szCs w:val="22"/>
          <w:lang w:val="en-AU"/>
        </w:rPr>
      </w:pPr>
      <w:r w:rsidRPr="00597E56">
        <w:rPr>
          <w:rFonts w:ascii="Palatino Linotype" w:hAnsi="Palatino Linotype" w:cstheme="minorHAnsi"/>
          <w:i/>
          <w:iCs/>
          <w:sz w:val="22"/>
          <w:szCs w:val="22"/>
          <w:lang w:val="en-AU"/>
        </w:rPr>
        <w:t xml:space="preserve">The history of Aboriginal land rights in Western Australia is based on the denial of Aboriginal ownership, the systematic taking of land and encumbering Aborigines from the freedom to use and occupy the land in accordance with their traditions. </w:t>
      </w:r>
    </w:p>
    <w:p w14:paraId="193E6655" w14:textId="77777777" w:rsidR="00A60597" w:rsidRPr="00597E56" w:rsidRDefault="00A60597" w:rsidP="00F1501F">
      <w:pPr>
        <w:pStyle w:val="BodyText"/>
        <w:rPr>
          <w:rFonts w:ascii="Palatino Linotype" w:hAnsi="Palatino Linotype" w:cstheme="minorHAnsi"/>
          <w:i/>
          <w:iCs/>
          <w:sz w:val="22"/>
          <w:szCs w:val="22"/>
          <w:lang w:val="en-AU"/>
        </w:rPr>
      </w:pPr>
      <w:r w:rsidRPr="00597E56">
        <w:rPr>
          <w:rFonts w:ascii="Palatino Linotype" w:hAnsi="Palatino Linotype" w:cstheme="minorHAnsi"/>
          <w:i/>
          <w:iCs/>
          <w:sz w:val="22"/>
          <w:szCs w:val="22"/>
          <w:lang w:val="en-AU"/>
        </w:rPr>
        <w:t>There are currently no proposals for Aboriginal land rights in WA. Instead, the State Government's policy provides three forms of tenure: a system of 99-year leases over existing Aboriginal Reserve lands; excisions of small plots of land on pastoral leases; and 50- or 25-year special purpose leases.</w:t>
      </w:r>
    </w:p>
    <w:p w14:paraId="09E8839A" w14:textId="77777777" w:rsidR="00A60597" w:rsidRPr="00597E56" w:rsidRDefault="00A60597" w:rsidP="00F1501F">
      <w:pPr>
        <w:pStyle w:val="BodyText"/>
        <w:rPr>
          <w:rFonts w:ascii="Palatino Linotype" w:hAnsi="Palatino Linotype" w:cstheme="minorHAnsi"/>
          <w:sz w:val="22"/>
          <w:szCs w:val="22"/>
          <w:lang w:val="en-AU"/>
        </w:rPr>
      </w:pPr>
      <w:r w:rsidRPr="00597E56">
        <w:rPr>
          <w:rFonts w:ascii="Palatino Linotype" w:hAnsi="Palatino Linotype" w:cstheme="minorHAnsi"/>
          <w:sz w:val="22"/>
          <w:szCs w:val="22"/>
          <w:lang w:val="en-AU"/>
        </w:rPr>
        <w:t>Further:</w:t>
      </w:r>
    </w:p>
    <w:p w14:paraId="380D71AE" w14:textId="77777777" w:rsidR="00A60597" w:rsidRPr="00597E56" w:rsidRDefault="00A60597" w:rsidP="00F1501F">
      <w:pPr>
        <w:pStyle w:val="BodyText"/>
        <w:rPr>
          <w:rFonts w:ascii="Palatino Linotype" w:hAnsi="Palatino Linotype" w:cstheme="minorHAnsi"/>
          <w:color w:val="000000" w:themeColor="text1"/>
          <w:sz w:val="22"/>
          <w:szCs w:val="22"/>
          <w:lang w:val="en-AU"/>
        </w:rPr>
      </w:pPr>
      <w:r w:rsidRPr="00597E56">
        <w:rPr>
          <w:rFonts w:ascii="Palatino Linotype" w:hAnsi="Palatino Linotype" w:cstheme="minorHAnsi"/>
          <w:i/>
          <w:iCs/>
          <w:color w:val="000000" w:themeColor="text1"/>
          <w:sz w:val="22"/>
          <w:szCs w:val="22"/>
          <w:lang w:val="en-AU"/>
        </w:rPr>
        <w:t>There is no provision for inalienable freehold title of Aboriginal land in this State. The best arrangements available are the 99-year leases over Aboriginal reserve land which give limited control to local people.</w:t>
      </w:r>
      <w:r w:rsidRPr="00597E56">
        <w:rPr>
          <w:rFonts w:ascii="Palatino Linotype" w:hAnsi="Palatino Linotype" w:cstheme="minorHAnsi"/>
          <w:color w:val="000000" w:themeColor="text1"/>
          <w:sz w:val="22"/>
          <w:szCs w:val="22"/>
          <w:lang w:val="en-AU"/>
        </w:rPr>
        <w:t xml:space="preserve"> (Pierluigi, (1991), p.1)</w:t>
      </w:r>
    </w:p>
    <w:p w14:paraId="76E784DB" w14:textId="76CEE5AB" w:rsidR="00041FC5" w:rsidRPr="00597E56" w:rsidRDefault="00041FC5" w:rsidP="00F1501F">
      <w:pPr>
        <w:pStyle w:val="BodyText"/>
        <w:rPr>
          <w:rStyle w:val="Emphasis"/>
          <w:rFonts w:ascii="Palatino Linotype" w:hAnsi="Palatino Linotype" w:cstheme="minorHAnsi"/>
          <w:color w:val="000000" w:themeColor="text1"/>
          <w:sz w:val="22"/>
          <w:szCs w:val="22"/>
          <w:lang w:val="en-AU"/>
        </w:rPr>
      </w:pPr>
    </w:p>
    <w:p w14:paraId="181CD74B" w14:textId="762AB9E8" w:rsidR="00A60597" w:rsidRPr="00597E56" w:rsidRDefault="00A60597" w:rsidP="00F1501F">
      <w:pPr>
        <w:pStyle w:val="BodyText"/>
        <w:rPr>
          <w:rStyle w:val="Emphasis"/>
          <w:rFonts w:ascii="Palatino Linotype" w:hAnsi="Palatino Linotype" w:cstheme="minorHAnsi"/>
          <w:sz w:val="22"/>
          <w:szCs w:val="22"/>
          <w:lang w:val="en-AU"/>
        </w:rPr>
      </w:pPr>
      <w:r w:rsidRPr="00597E56">
        <w:rPr>
          <w:rStyle w:val="Emphasis"/>
          <w:rFonts w:ascii="Palatino Linotype" w:hAnsi="Palatino Linotype" w:cstheme="minorHAnsi"/>
          <w:color w:val="000000" w:themeColor="text1"/>
          <w:sz w:val="22"/>
          <w:szCs w:val="22"/>
          <w:lang w:val="en-AU"/>
        </w:rPr>
        <w:t>More recently, Cardaci notes that “the interests of the mining industry and the State remain intertwined and focused on resource-based development”</w:t>
      </w:r>
      <w:r w:rsidR="007438AF" w:rsidRPr="00597E56">
        <w:rPr>
          <w:rStyle w:val="Emphasis"/>
          <w:rFonts w:ascii="Palatino Linotype" w:hAnsi="Palatino Linotype" w:cstheme="minorHAnsi"/>
          <w:color w:val="000000" w:themeColor="text1"/>
          <w:sz w:val="22"/>
          <w:szCs w:val="22"/>
          <w:lang w:val="en-AU"/>
        </w:rPr>
        <w:t xml:space="preserve"> to the </w:t>
      </w:r>
      <w:r w:rsidR="007438AF" w:rsidRPr="00597E56">
        <w:rPr>
          <w:rStyle w:val="Emphasis"/>
          <w:rFonts w:ascii="Palatino Linotype" w:hAnsi="Palatino Linotype" w:cstheme="minorHAnsi"/>
          <w:sz w:val="22"/>
          <w:szCs w:val="22"/>
          <w:lang w:val="en-AU"/>
        </w:rPr>
        <w:t>detriment of Indigenous connection with land.</w:t>
      </w:r>
      <w:r w:rsidRPr="00597E56">
        <w:rPr>
          <w:rStyle w:val="Emphasis"/>
          <w:rFonts w:ascii="Palatino Linotype" w:hAnsi="Palatino Linotype" w:cstheme="minorHAnsi"/>
          <w:sz w:val="22"/>
          <w:szCs w:val="22"/>
          <w:lang w:val="en-AU"/>
        </w:rPr>
        <w:t xml:space="preserve"> (2025, p.192)</w:t>
      </w:r>
      <w:r w:rsidR="007438AF" w:rsidRPr="00597E56">
        <w:rPr>
          <w:rStyle w:val="Emphasis"/>
          <w:rFonts w:ascii="Palatino Linotype" w:hAnsi="Palatino Linotype" w:cstheme="minorHAnsi"/>
          <w:sz w:val="22"/>
          <w:szCs w:val="22"/>
          <w:lang w:val="en-AU"/>
        </w:rPr>
        <w:t>. Professor Alex Gardner also supports this observation noting that “there is a lingering pioneering attitude to the exploitation of natural resources and the environment; that Western Australia is the “resources state.” (2025, p.305)</w:t>
      </w:r>
    </w:p>
    <w:p w14:paraId="2AE0B128" w14:textId="77777777" w:rsidR="00041FC5" w:rsidRPr="00597E56" w:rsidRDefault="00041FC5" w:rsidP="00F1501F">
      <w:pPr>
        <w:pStyle w:val="BodyText"/>
        <w:rPr>
          <w:rStyle w:val="Emphasis"/>
          <w:rFonts w:ascii="Palatino Linotype" w:hAnsi="Palatino Linotype" w:cstheme="minorHAnsi"/>
          <w:sz w:val="22"/>
          <w:szCs w:val="22"/>
          <w:lang w:val="en-AU"/>
        </w:rPr>
      </w:pPr>
    </w:p>
    <w:p w14:paraId="08F91F14" w14:textId="099F1C22" w:rsidR="00041FC5" w:rsidRPr="00597E56" w:rsidRDefault="00041FC5" w:rsidP="00F1501F">
      <w:pPr>
        <w:pStyle w:val="BodyText"/>
        <w:rPr>
          <w:rStyle w:val="Emphasis"/>
          <w:rFonts w:ascii="Palatino Linotype" w:hAnsi="Palatino Linotype" w:cstheme="minorHAnsi"/>
          <w:sz w:val="22"/>
          <w:szCs w:val="22"/>
          <w:lang w:val="en-AU"/>
        </w:rPr>
      </w:pPr>
      <w:r w:rsidRPr="00597E56">
        <w:rPr>
          <w:rStyle w:val="Emphasis"/>
          <w:rFonts w:ascii="Palatino Linotype" w:hAnsi="Palatino Linotype" w:cstheme="minorHAnsi"/>
          <w:sz w:val="22"/>
          <w:szCs w:val="22"/>
          <w:lang w:val="en-AU"/>
        </w:rPr>
        <w:lastRenderedPageBreak/>
        <w:t xml:space="preserve">Nevertheless, Western Australia has gradually come to acknowledge native title within the federal statutory framework. Contemporary determinations, such as the </w:t>
      </w:r>
      <w:proofErr w:type="spellStart"/>
      <w:r w:rsidRPr="00597E56">
        <w:rPr>
          <w:rStyle w:val="Emphasis"/>
          <w:rFonts w:ascii="Palatino Linotype" w:hAnsi="Palatino Linotype" w:cstheme="minorHAnsi"/>
          <w:i/>
          <w:iCs/>
          <w:sz w:val="22"/>
          <w:szCs w:val="22"/>
          <w:lang w:val="en-AU"/>
        </w:rPr>
        <w:t>Nyalpa</w:t>
      </w:r>
      <w:proofErr w:type="spellEnd"/>
      <w:r w:rsidRPr="00597E56">
        <w:rPr>
          <w:rStyle w:val="Emphasis"/>
          <w:rFonts w:ascii="Palatino Linotype" w:hAnsi="Palatino Linotype" w:cstheme="minorHAnsi"/>
          <w:i/>
          <w:iCs/>
          <w:sz w:val="22"/>
          <w:szCs w:val="22"/>
          <w:lang w:val="en-AU"/>
        </w:rPr>
        <w:t xml:space="preserve"> </w:t>
      </w:r>
      <w:proofErr w:type="spellStart"/>
      <w:r w:rsidRPr="00597E56">
        <w:rPr>
          <w:rStyle w:val="Emphasis"/>
          <w:rFonts w:ascii="Palatino Linotype" w:hAnsi="Palatino Linotype" w:cstheme="minorHAnsi"/>
          <w:i/>
          <w:iCs/>
          <w:sz w:val="22"/>
          <w:szCs w:val="22"/>
          <w:lang w:val="en-AU"/>
        </w:rPr>
        <w:t>Pirniku</w:t>
      </w:r>
      <w:proofErr w:type="spellEnd"/>
      <w:r w:rsidRPr="00597E56">
        <w:rPr>
          <w:rStyle w:val="Emphasis"/>
          <w:rFonts w:ascii="Palatino Linotype" w:hAnsi="Palatino Linotype" w:cstheme="minorHAnsi"/>
          <w:sz w:val="22"/>
          <w:szCs w:val="22"/>
          <w:lang w:val="en-AU"/>
        </w:rPr>
        <w:t xml:space="preserve"> claim</w:t>
      </w:r>
      <w:r w:rsidR="00757423" w:rsidRPr="00597E56">
        <w:rPr>
          <w:rStyle w:val="FootnoteReference"/>
          <w:rFonts w:ascii="Palatino Linotype" w:hAnsi="Palatino Linotype" w:cstheme="minorHAnsi"/>
          <w:sz w:val="22"/>
          <w:szCs w:val="22"/>
          <w:lang w:val="en-AU"/>
        </w:rPr>
        <w:footnoteReference w:id="24"/>
      </w:r>
      <w:r w:rsidRPr="00597E56">
        <w:rPr>
          <w:rStyle w:val="Emphasis"/>
          <w:rFonts w:ascii="Palatino Linotype" w:hAnsi="Palatino Linotype" w:cstheme="minorHAnsi"/>
          <w:sz w:val="22"/>
          <w:szCs w:val="22"/>
          <w:lang w:val="en-AU"/>
        </w:rPr>
        <w:t xml:space="preserve"> in the Goldfields–Esperance region, signal growing juridical acceptance of Indigenous connection to land, albeit through Commonwealth rather than State initiative</w:t>
      </w:r>
    </w:p>
    <w:p w14:paraId="582A0A0C" w14:textId="77777777" w:rsidR="00041FC5" w:rsidRPr="00597E56" w:rsidRDefault="00041FC5" w:rsidP="00F1501F">
      <w:pPr>
        <w:pStyle w:val="BodyText"/>
        <w:rPr>
          <w:rStyle w:val="Emphasis"/>
          <w:rFonts w:ascii="Palatino Linotype" w:hAnsi="Palatino Linotype" w:cstheme="minorHAnsi"/>
          <w:sz w:val="22"/>
          <w:szCs w:val="22"/>
          <w:lang w:val="en-AU"/>
        </w:rPr>
      </w:pPr>
    </w:p>
    <w:p w14:paraId="5FD048A5" w14:textId="77777777" w:rsidR="00041FC5" w:rsidRPr="00597E56" w:rsidRDefault="00041FC5" w:rsidP="00F1501F">
      <w:pPr>
        <w:pStyle w:val="BodyText"/>
        <w:rPr>
          <w:rStyle w:val="Emphasis"/>
          <w:rFonts w:ascii="Palatino Linotype" w:hAnsi="Palatino Linotype" w:cstheme="minorHAnsi"/>
          <w:sz w:val="22"/>
          <w:szCs w:val="22"/>
          <w:lang w:val="en-AU"/>
        </w:rPr>
      </w:pPr>
      <w:r w:rsidRPr="00597E56">
        <w:rPr>
          <w:rStyle w:val="Emphasis"/>
          <w:rFonts w:ascii="Palatino Linotype" w:hAnsi="Palatino Linotype" w:cstheme="minorHAnsi"/>
          <w:sz w:val="22"/>
          <w:szCs w:val="22"/>
          <w:lang w:val="en-AU"/>
        </w:rPr>
        <w:t>Yet native title remains conceptually distinct from land rights: it recognises pre-existing communal law and custom but does not, of itself, confer the inalienable freehold that statutory regimes in other jurisdictions have delivered.</w:t>
      </w:r>
    </w:p>
    <w:p w14:paraId="547FDD6C" w14:textId="77777777" w:rsidR="00041FC5" w:rsidRPr="00597E56" w:rsidRDefault="00041FC5" w:rsidP="00F1501F">
      <w:pPr>
        <w:pStyle w:val="BodyText"/>
        <w:rPr>
          <w:rStyle w:val="Emphasis"/>
          <w:rFonts w:ascii="Palatino Linotype" w:hAnsi="Palatino Linotype" w:cstheme="minorHAnsi"/>
          <w:sz w:val="22"/>
          <w:szCs w:val="22"/>
          <w:lang w:val="en-AU"/>
        </w:rPr>
      </w:pPr>
    </w:p>
    <w:p w14:paraId="3966D82A" w14:textId="280EFC98" w:rsidR="00041FC5" w:rsidRPr="00597E56" w:rsidRDefault="00041FC5" w:rsidP="00F1501F">
      <w:pPr>
        <w:pStyle w:val="BodyText"/>
        <w:rPr>
          <w:rStyle w:val="Emphasis"/>
          <w:rFonts w:ascii="Palatino Linotype" w:hAnsi="Palatino Linotype" w:cstheme="minorHAnsi"/>
          <w:sz w:val="22"/>
          <w:szCs w:val="22"/>
          <w:lang w:val="en-AU"/>
        </w:rPr>
      </w:pPr>
      <w:r w:rsidRPr="00597E56">
        <w:rPr>
          <w:rStyle w:val="Emphasis"/>
          <w:rFonts w:ascii="Palatino Linotype" w:hAnsi="Palatino Linotype" w:cstheme="minorHAnsi"/>
          <w:sz w:val="22"/>
          <w:szCs w:val="22"/>
          <w:lang w:val="en-AU"/>
        </w:rPr>
        <w:t xml:space="preserve">From a valuation and philosophical standpoint, the Western Australian position exposes a persistent duality between mineral economy and moral economy. The State’s reliance on resource extraction sustains a reluctance to concede Indigenous proprietary authority that might constrain exploration and production. Hence, the absence of statutory land rights functions not merely as a legislative omission but as a reflection of a deeper epistemological divide—between a settler polity grounded in utilitarian economics and an Indigenous jurisprudence centred upon spiritual responsibility to Country. In this light, Western Australia’s policy stance can be read less as an administrative anomaly than as a continuing denial of equivalence between economic and cultural value, leaving the task of reconciliation once again to </w:t>
      </w:r>
      <w:r w:rsidR="005F2D4C" w:rsidRPr="00597E56">
        <w:rPr>
          <w:rStyle w:val="Emphasis"/>
          <w:rFonts w:ascii="Palatino Linotype" w:hAnsi="Palatino Linotype" w:cstheme="minorHAnsi"/>
          <w:sz w:val="22"/>
          <w:szCs w:val="22"/>
          <w:lang w:val="en-AU"/>
        </w:rPr>
        <w:t xml:space="preserve">others, surprisingly such as </w:t>
      </w:r>
      <w:r w:rsidRPr="00597E56">
        <w:rPr>
          <w:rStyle w:val="Emphasis"/>
          <w:rFonts w:ascii="Palatino Linotype" w:hAnsi="Palatino Linotype" w:cstheme="minorHAnsi"/>
          <w:sz w:val="22"/>
          <w:szCs w:val="22"/>
          <w:lang w:val="en-AU"/>
        </w:rPr>
        <w:t>the valuation profession and the courts.</w:t>
      </w:r>
    </w:p>
    <w:p w14:paraId="61285967" w14:textId="77777777" w:rsidR="00075751" w:rsidRDefault="00075751" w:rsidP="00F1501F">
      <w:pPr>
        <w:spacing w:after="0" w:line="240" w:lineRule="auto"/>
        <w:jc w:val="both"/>
        <w:rPr>
          <w:rFonts w:ascii="Palatino Linotype" w:hAnsi="Palatino Linotype"/>
        </w:rPr>
      </w:pPr>
    </w:p>
    <w:p w14:paraId="4A6215EC" w14:textId="77777777" w:rsidR="00597E56" w:rsidRPr="00597E56" w:rsidRDefault="00597E56" w:rsidP="00F1501F">
      <w:pPr>
        <w:spacing w:after="0" w:line="240" w:lineRule="auto"/>
        <w:jc w:val="both"/>
        <w:rPr>
          <w:rFonts w:ascii="Palatino Linotype" w:hAnsi="Palatino Linotype"/>
        </w:rPr>
      </w:pPr>
    </w:p>
    <w:p w14:paraId="406D3681" w14:textId="63FABF13" w:rsidR="00641030" w:rsidRPr="00597E56" w:rsidRDefault="00A4790C" w:rsidP="00F1501F">
      <w:pPr>
        <w:pStyle w:val="BodyText"/>
        <w:rPr>
          <w:rStyle w:val="Emphasis"/>
          <w:rFonts w:ascii="Palatino Linotype" w:hAnsi="Palatino Linotype" w:cstheme="minorHAnsi"/>
          <w:sz w:val="28"/>
          <w:szCs w:val="28"/>
          <w:lang w:val="en-AU"/>
        </w:rPr>
      </w:pPr>
      <w:r w:rsidRPr="00597E56">
        <w:rPr>
          <w:rStyle w:val="Emphasis"/>
          <w:rFonts w:ascii="Palatino Linotype" w:hAnsi="Palatino Linotype" w:cstheme="minorHAnsi"/>
          <w:sz w:val="28"/>
          <w:szCs w:val="28"/>
          <w:lang w:val="en-AU"/>
        </w:rPr>
        <w:t xml:space="preserve">  </w:t>
      </w:r>
    </w:p>
    <w:p w14:paraId="53AC529A" w14:textId="41597939" w:rsidR="00443E73" w:rsidRPr="00597E56" w:rsidRDefault="009B5ACB" w:rsidP="00F1501F">
      <w:pPr>
        <w:spacing w:after="0" w:line="240" w:lineRule="auto"/>
        <w:rPr>
          <w:rStyle w:val="Emphasis"/>
          <w:rFonts w:ascii="Palatino Linotype" w:hAnsi="Palatino Linotype" w:cstheme="minorHAnsi"/>
          <w:sz w:val="24"/>
          <w:szCs w:val="24"/>
        </w:rPr>
      </w:pPr>
      <w:r w:rsidRPr="00597E56">
        <w:rPr>
          <w:rStyle w:val="Emphasis"/>
          <w:rFonts w:ascii="Palatino Linotype" w:hAnsi="Palatino Linotype" w:cstheme="minorHAnsi"/>
          <w:b/>
          <w:sz w:val="24"/>
          <w:szCs w:val="24"/>
        </w:rPr>
        <w:t>Concluding remarks</w:t>
      </w:r>
    </w:p>
    <w:p w14:paraId="23F36985" w14:textId="77777777" w:rsidR="004B364D" w:rsidRPr="00597E56" w:rsidRDefault="004B364D" w:rsidP="00F1501F">
      <w:pPr>
        <w:pStyle w:val="ListParagraph"/>
        <w:spacing w:after="0" w:line="240" w:lineRule="auto"/>
        <w:rPr>
          <w:rFonts w:ascii="Palatino Linotype" w:hAnsi="Palatino Linotype" w:cstheme="minorHAnsi"/>
          <w:sz w:val="28"/>
          <w:szCs w:val="28"/>
        </w:rPr>
      </w:pPr>
    </w:p>
    <w:p w14:paraId="4B2B6E04" w14:textId="77777777" w:rsidR="00924175" w:rsidRPr="00597E56" w:rsidRDefault="00924175" w:rsidP="00D97260">
      <w:pPr>
        <w:pStyle w:val="ListParagraph"/>
        <w:spacing w:after="0" w:line="240" w:lineRule="auto"/>
        <w:ind w:left="0"/>
        <w:jc w:val="both"/>
        <w:rPr>
          <w:rFonts w:ascii="Palatino Linotype" w:hAnsi="Palatino Linotype" w:cstheme="minorHAnsi"/>
        </w:rPr>
      </w:pPr>
      <w:r w:rsidRPr="00597E56">
        <w:rPr>
          <w:rFonts w:ascii="Palatino Linotype" w:hAnsi="Palatino Linotype" w:cstheme="minorHAnsi"/>
        </w:rPr>
        <w:t>This paper has pursued two closely related aims: first, to examine the legislative framework governing Aboriginal land rights in New South Wales and, second, to explore how such statutory rights intersect—often uneasily—with established principles of compensation assessment for infrastructure acquisition on Crown and non-freehold lands.</w:t>
      </w:r>
    </w:p>
    <w:p w14:paraId="5C28658B" w14:textId="77777777" w:rsidR="00924175" w:rsidRPr="00597E56" w:rsidRDefault="00924175" w:rsidP="00D97260">
      <w:pPr>
        <w:pStyle w:val="ListParagraph"/>
        <w:spacing w:after="0" w:line="240" w:lineRule="auto"/>
        <w:ind w:left="0"/>
        <w:jc w:val="both"/>
        <w:rPr>
          <w:rFonts w:ascii="Palatino Linotype" w:hAnsi="Palatino Linotype" w:cstheme="minorHAnsi"/>
        </w:rPr>
      </w:pPr>
    </w:p>
    <w:p w14:paraId="14CC7A63" w14:textId="77777777" w:rsidR="00924175" w:rsidRPr="00597E56" w:rsidRDefault="00924175" w:rsidP="00D97260">
      <w:pPr>
        <w:pStyle w:val="ListParagraph"/>
        <w:spacing w:after="0" w:line="240" w:lineRule="auto"/>
        <w:ind w:left="0"/>
        <w:jc w:val="both"/>
        <w:rPr>
          <w:rFonts w:ascii="Palatino Linotype" w:hAnsi="Palatino Linotype" w:cstheme="minorHAnsi"/>
        </w:rPr>
      </w:pPr>
      <w:r w:rsidRPr="00597E56">
        <w:rPr>
          <w:rFonts w:ascii="Palatino Linotype" w:hAnsi="Palatino Linotype" w:cstheme="minorHAnsi"/>
        </w:rPr>
        <w:t xml:space="preserve">In addressing the first aim, the discussion traced the operation of the </w:t>
      </w:r>
      <w:r w:rsidRPr="00597E56">
        <w:rPr>
          <w:rFonts w:ascii="Palatino Linotype" w:hAnsi="Palatino Linotype" w:cstheme="minorHAnsi"/>
          <w:i/>
          <w:iCs/>
        </w:rPr>
        <w:t>Aboriginal Land Rights Act 1983</w:t>
      </w:r>
      <w:r w:rsidRPr="00597E56">
        <w:rPr>
          <w:rFonts w:ascii="Palatino Linotype" w:hAnsi="Palatino Linotype" w:cstheme="minorHAnsi"/>
        </w:rPr>
        <w:t xml:space="preserve"> (NSW) and the jurisprudence interpreting its key provision, </w:t>
      </w:r>
      <w:r w:rsidRPr="00597E56">
        <w:rPr>
          <w:rFonts w:ascii="Palatino Linotype" w:hAnsi="Palatino Linotype" w:cstheme="minorHAnsi"/>
          <w:i/>
          <w:iCs/>
        </w:rPr>
        <w:t>s</w:t>
      </w:r>
      <w:r w:rsidRPr="00597E56">
        <w:rPr>
          <w:rFonts w:ascii="Palatino Linotype" w:hAnsi="Palatino Linotype" w:cstheme="minorHAnsi"/>
        </w:rPr>
        <w:t xml:space="preserve">.36(1). Through cases such as </w:t>
      </w:r>
      <w:r w:rsidRPr="00597E56">
        <w:rPr>
          <w:rFonts w:ascii="Palatino Linotype" w:hAnsi="Palatino Linotype" w:cstheme="minorHAnsi"/>
          <w:i/>
          <w:iCs/>
        </w:rPr>
        <w:t>Coffs Harbour and District LALC v Minister Administering the Crown Lands Act</w:t>
      </w:r>
      <w:r w:rsidRPr="00597E56">
        <w:rPr>
          <w:rFonts w:ascii="Palatino Linotype" w:hAnsi="Palatino Linotype" w:cstheme="minorHAnsi"/>
        </w:rPr>
        <w:t xml:space="preserve"> and </w:t>
      </w:r>
      <w:proofErr w:type="spellStart"/>
      <w:r w:rsidRPr="00597E56">
        <w:rPr>
          <w:rFonts w:ascii="Palatino Linotype" w:hAnsi="Palatino Linotype" w:cstheme="minorHAnsi"/>
          <w:i/>
          <w:iCs/>
        </w:rPr>
        <w:t>Goldmate</w:t>
      </w:r>
      <w:proofErr w:type="spellEnd"/>
      <w:r w:rsidRPr="00597E56">
        <w:rPr>
          <w:rFonts w:ascii="Palatino Linotype" w:hAnsi="Palatino Linotype" w:cstheme="minorHAnsi"/>
          <w:i/>
          <w:iCs/>
        </w:rPr>
        <w:t xml:space="preserve"> Property Luddenham No. 1 Pty Ltd v Transport for NSW</w:t>
      </w:r>
      <w:r w:rsidRPr="00597E56">
        <w:rPr>
          <w:rFonts w:ascii="Palatino Linotype" w:hAnsi="Palatino Linotype" w:cstheme="minorHAnsi"/>
        </w:rPr>
        <w:t xml:space="preserve">, it was shown that the Act embeds a clear and structured test for determining claimable Crown land, and that this framework continues to define the boundaries of statutory Aboriginal property in the State. The analysis demonstrated that the Act, though statutory and limited, provides an enduring mechanism for recognising Aboriginal interests in land independent of native title—an achievement still </w:t>
      </w:r>
      <w:proofErr w:type="gramStart"/>
      <w:r w:rsidRPr="00597E56">
        <w:rPr>
          <w:rFonts w:ascii="Palatino Linotype" w:hAnsi="Palatino Linotype" w:cstheme="minorHAnsi"/>
        </w:rPr>
        <w:t>absent</w:t>
      </w:r>
      <w:proofErr w:type="gramEnd"/>
      <w:r w:rsidRPr="00597E56">
        <w:rPr>
          <w:rFonts w:ascii="Palatino Linotype" w:hAnsi="Palatino Linotype" w:cstheme="minorHAnsi"/>
        </w:rPr>
        <w:t xml:space="preserve"> in jurisdictions such as Western Australia.</w:t>
      </w:r>
    </w:p>
    <w:p w14:paraId="037FE93B" w14:textId="77777777" w:rsidR="00924175" w:rsidRPr="00597E56" w:rsidRDefault="00924175" w:rsidP="00F1501F">
      <w:pPr>
        <w:pStyle w:val="ListParagraph"/>
        <w:spacing w:after="0" w:line="240" w:lineRule="auto"/>
        <w:jc w:val="both"/>
        <w:rPr>
          <w:rFonts w:ascii="Palatino Linotype" w:hAnsi="Palatino Linotype" w:cstheme="minorHAnsi"/>
          <w:sz w:val="28"/>
          <w:szCs w:val="28"/>
        </w:rPr>
      </w:pPr>
    </w:p>
    <w:p w14:paraId="1E7141CE" w14:textId="081F65CC" w:rsidR="00903582" w:rsidRPr="00597E56" w:rsidRDefault="00924175" w:rsidP="00F1501F">
      <w:pPr>
        <w:spacing w:after="0" w:line="240" w:lineRule="auto"/>
        <w:jc w:val="both"/>
        <w:rPr>
          <w:rFonts w:ascii="Palatino Linotype" w:hAnsi="Palatino Linotype" w:cstheme="minorHAnsi"/>
        </w:rPr>
      </w:pPr>
      <w:r w:rsidRPr="00597E56">
        <w:rPr>
          <w:rFonts w:ascii="Palatino Linotype" w:hAnsi="Palatino Linotype" w:cstheme="minorHAnsi"/>
        </w:rPr>
        <w:t xml:space="preserve">In relation to the second aim, the paper examined how </w:t>
      </w:r>
      <w:r w:rsidR="005A4460" w:rsidRPr="00597E56">
        <w:rPr>
          <w:rFonts w:ascii="Palatino Linotype" w:hAnsi="Palatino Linotype" w:cstheme="minorHAnsi"/>
        </w:rPr>
        <w:t>this statutory land</w:t>
      </w:r>
      <w:r w:rsidRPr="00597E56">
        <w:rPr>
          <w:rFonts w:ascii="Palatino Linotype" w:hAnsi="Palatino Linotype" w:cstheme="minorHAnsi"/>
        </w:rPr>
        <w:t xml:space="preserve"> rights engage with the practice of valuation and the assessment of compensation when infrastructure property rights are acquired. It was shown that compensation in such contexts cannot be assessed directly under the </w:t>
      </w:r>
      <w:r w:rsidRPr="00597E56">
        <w:rPr>
          <w:rFonts w:ascii="Palatino Linotype" w:hAnsi="Palatino Linotype" w:cstheme="minorHAnsi"/>
          <w:i/>
          <w:iCs/>
        </w:rPr>
        <w:t>Land Acquisition (Just Terms Compensation) Act 1991 (NSW)</w:t>
      </w:r>
      <w:r w:rsidR="00903582" w:rsidRPr="00597E56">
        <w:rPr>
          <w:rFonts w:ascii="Palatino Linotype" w:hAnsi="Palatino Linotype" w:cstheme="minorHAnsi"/>
        </w:rPr>
        <w:t xml:space="preserve">. Indeed, more </w:t>
      </w:r>
      <w:r w:rsidR="00903582" w:rsidRPr="00597E56">
        <w:rPr>
          <w:rFonts w:ascii="Palatino Linotype" w:hAnsi="Palatino Linotype" w:cstheme="minorHAnsi"/>
        </w:rPr>
        <w:lastRenderedPageBreak/>
        <w:t xml:space="preserve">recently (albeit in the native title context) the Full Federal Court in </w:t>
      </w:r>
      <w:r w:rsidR="00903582" w:rsidRPr="00597E56">
        <w:rPr>
          <w:rFonts w:ascii="Palatino Linotype" w:hAnsi="Palatino Linotype" w:cstheme="minorHAnsi"/>
          <w:i/>
        </w:rPr>
        <w:t>Northern Territory of Australia v Griffiths</w:t>
      </w:r>
      <w:r w:rsidR="00903582" w:rsidRPr="00597E56">
        <w:rPr>
          <w:rFonts w:ascii="Palatino Linotype" w:hAnsi="Palatino Linotype" w:cstheme="minorHAnsi"/>
        </w:rPr>
        <w:t xml:space="preserve"> (2017) 256 FCR 478 was moved to recognise the futility of compensation assessment pursuant to such legislative constraints given: </w:t>
      </w:r>
    </w:p>
    <w:p w14:paraId="79F6383A" w14:textId="77777777" w:rsidR="00903582" w:rsidRPr="00597E56" w:rsidRDefault="00903582" w:rsidP="00F1501F">
      <w:pPr>
        <w:spacing w:after="0" w:line="240" w:lineRule="auto"/>
        <w:ind w:left="567"/>
        <w:jc w:val="both"/>
        <w:rPr>
          <w:rFonts w:ascii="Palatino Linotype" w:hAnsi="Palatino Linotype" w:cstheme="minorHAnsi"/>
        </w:rPr>
      </w:pPr>
    </w:p>
    <w:p w14:paraId="75D7F257" w14:textId="77777777" w:rsidR="00903582" w:rsidRPr="00597E56" w:rsidRDefault="00903582" w:rsidP="00F1501F">
      <w:pPr>
        <w:spacing w:after="0" w:line="240" w:lineRule="auto"/>
        <w:ind w:left="567"/>
        <w:jc w:val="both"/>
        <w:rPr>
          <w:rFonts w:ascii="Palatino Linotype" w:hAnsi="Palatino Linotype" w:cstheme="minorHAnsi"/>
          <w:i/>
        </w:rPr>
      </w:pPr>
      <w:r w:rsidRPr="00597E56">
        <w:rPr>
          <w:rFonts w:ascii="Palatino Linotype" w:hAnsi="Palatino Linotype" w:cstheme="minorHAnsi"/>
          <w:i/>
        </w:rPr>
        <w:t>Aboriginal rights and interests in land have dimensions remote from the notions enshrined in Australian land law.</w:t>
      </w:r>
      <w:r w:rsidRPr="00597E56">
        <w:rPr>
          <w:rStyle w:val="FootnoteReference"/>
          <w:rFonts w:ascii="Palatino Linotype" w:hAnsi="Palatino Linotype" w:cstheme="minorHAnsi"/>
          <w:i/>
        </w:rPr>
        <w:footnoteReference w:id="25"/>
      </w:r>
    </w:p>
    <w:p w14:paraId="7878FBBF" w14:textId="77777777" w:rsidR="00903582" w:rsidRPr="00597E56" w:rsidRDefault="00903582" w:rsidP="00F1501F">
      <w:pPr>
        <w:spacing w:after="0" w:line="240" w:lineRule="auto"/>
        <w:ind w:left="567"/>
        <w:jc w:val="both"/>
        <w:rPr>
          <w:rFonts w:ascii="Palatino Linotype" w:hAnsi="Palatino Linotype" w:cstheme="minorHAnsi"/>
          <w:i/>
        </w:rPr>
      </w:pPr>
    </w:p>
    <w:p w14:paraId="6CBFA958" w14:textId="545ED03D" w:rsidR="00903582" w:rsidRPr="00597E56" w:rsidRDefault="00903582" w:rsidP="00F1501F">
      <w:pPr>
        <w:pStyle w:val="ListParagraph"/>
        <w:spacing w:after="0" w:line="240" w:lineRule="auto"/>
        <w:ind w:left="0"/>
        <w:jc w:val="both"/>
        <w:rPr>
          <w:rFonts w:ascii="Palatino Linotype" w:hAnsi="Palatino Linotype" w:cstheme="minorHAnsi"/>
        </w:rPr>
      </w:pPr>
      <w:r w:rsidRPr="00597E56">
        <w:rPr>
          <w:rFonts w:ascii="Palatino Linotype" w:hAnsi="Palatino Linotype" w:cstheme="minorHAnsi"/>
        </w:rPr>
        <w:t xml:space="preserve">More recently in strong support (again in the broad native title context), Edelman J. in </w:t>
      </w:r>
      <w:r w:rsidRPr="00597E56">
        <w:rPr>
          <w:rFonts w:ascii="Palatino Linotype" w:hAnsi="Palatino Linotype" w:cstheme="minorHAnsi"/>
          <w:i/>
          <w:iCs/>
        </w:rPr>
        <w:t>Commonwealth of Australia v Yunupingu</w:t>
      </w:r>
      <w:r w:rsidRPr="00597E56">
        <w:rPr>
          <w:rFonts w:ascii="Palatino Linotype" w:hAnsi="Palatino Linotype" w:cstheme="minorHAnsi"/>
        </w:rPr>
        <w:t xml:space="preserve"> [2025] HCA 6 contrasted how very different” the norms underlying traditional laws and customs “were from “common law concepts of property”.</w:t>
      </w:r>
      <w:r w:rsidRPr="00597E56">
        <w:rPr>
          <w:rStyle w:val="FootnoteReference"/>
          <w:rFonts w:ascii="Palatino Linotype" w:hAnsi="Palatino Linotype" w:cstheme="minorHAnsi"/>
        </w:rPr>
        <w:footnoteReference w:id="26"/>
      </w:r>
      <w:r w:rsidRPr="00597E56">
        <w:rPr>
          <w:rFonts w:ascii="Palatino Linotype" w:hAnsi="Palatino Linotype" w:cstheme="minorHAnsi"/>
        </w:rPr>
        <w:t xml:space="preserve"> Yet holders of Indigenous estates (whether native title or Aboriginal land rights) are no strangers to societal transparency concerns. The opacity of such estates within the measured confines of Australian land law has provoked intensive scrutiny amid speculation that holders might gain advantages against holders of non-Indigenous estates.</w:t>
      </w:r>
    </w:p>
    <w:p w14:paraId="502588A9" w14:textId="77777777" w:rsidR="00903582" w:rsidRPr="00597E56" w:rsidRDefault="00903582" w:rsidP="00F1501F">
      <w:pPr>
        <w:pStyle w:val="ListParagraph"/>
        <w:spacing w:after="0" w:line="240" w:lineRule="auto"/>
        <w:jc w:val="both"/>
        <w:rPr>
          <w:rFonts w:ascii="Palatino Linotype" w:hAnsi="Palatino Linotype" w:cstheme="minorHAnsi"/>
        </w:rPr>
      </w:pPr>
    </w:p>
    <w:p w14:paraId="5D2337ED" w14:textId="6E0F9D54" w:rsidR="00924175" w:rsidRPr="00597E56" w:rsidRDefault="00903582" w:rsidP="00F1501F">
      <w:pPr>
        <w:spacing w:after="0" w:line="240" w:lineRule="auto"/>
        <w:jc w:val="both"/>
        <w:rPr>
          <w:rFonts w:ascii="Palatino Linotype" w:hAnsi="Palatino Linotype" w:cstheme="minorHAnsi"/>
        </w:rPr>
      </w:pPr>
      <w:r w:rsidRPr="00597E56">
        <w:rPr>
          <w:rFonts w:ascii="Palatino Linotype" w:hAnsi="Palatino Linotype" w:cstheme="minorHAnsi"/>
        </w:rPr>
        <w:t>Y</w:t>
      </w:r>
      <w:r w:rsidR="00924175" w:rsidRPr="00597E56">
        <w:rPr>
          <w:rFonts w:ascii="Palatino Linotype" w:hAnsi="Palatino Linotype" w:cstheme="minorHAnsi"/>
        </w:rPr>
        <w:t>et the underlying principles of market value, potentiality, and exclusion of public-work enhancement remain instructive. Moreover, it was argued that valuation must incorporate an additional dimension: the cultural and spiritual attachment that gives Aboriginal land its distinctive meaning and worth. This dimension, while not reducible to market metrics, is nonetheless capable of reasoned estimation within the profession’s established frameworks.</w:t>
      </w:r>
    </w:p>
    <w:p w14:paraId="2B25617B" w14:textId="77777777" w:rsidR="00924175" w:rsidRPr="00597E56" w:rsidRDefault="00924175" w:rsidP="00F1501F">
      <w:pPr>
        <w:pStyle w:val="ListParagraph"/>
        <w:spacing w:after="0" w:line="240" w:lineRule="auto"/>
        <w:jc w:val="both"/>
        <w:rPr>
          <w:rFonts w:ascii="Palatino Linotype" w:hAnsi="Palatino Linotype" w:cstheme="minorHAnsi"/>
        </w:rPr>
      </w:pPr>
    </w:p>
    <w:p w14:paraId="5419721E" w14:textId="77777777" w:rsidR="00924175" w:rsidRPr="00597E56" w:rsidRDefault="00924175" w:rsidP="00F1501F">
      <w:pPr>
        <w:pStyle w:val="ListParagraph"/>
        <w:spacing w:after="0" w:line="240" w:lineRule="auto"/>
        <w:ind w:left="0"/>
        <w:jc w:val="both"/>
        <w:rPr>
          <w:rFonts w:ascii="Palatino Linotype" w:hAnsi="Palatino Linotype" w:cstheme="minorHAnsi"/>
        </w:rPr>
      </w:pPr>
      <w:r w:rsidRPr="00597E56">
        <w:rPr>
          <w:rFonts w:ascii="Palatino Linotype" w:hAnsi="Palatino Linotype" w:cstheme="minorHAnsi"/>
        </w:rPr>
        <w:t>The comparative analysis of Western Australia underscored the consequences of a jurisdiction without statutory land rights, where Aboriginal interests remain confined to heritage protection and native title determinations. The WA experience highlights by contrast the relative maturity of the NSW model and affirms the need for coherent integration of Indigenous rights within the legal and valuation systems that govern land and infrastructure.</w:t>
      </w:r>
    </w:p>
    <w:p w14:paraId="6F3BB8D8" w14:textId="77777777" w:rsidR="00924175" w:rsidRPr="00597E56" w:rsidRDefault="00924175" w:rsidP="00F1501F">
      <w:pPr>
        <w:pStyle w:val="ListParagraph"/>
        <w:spacing w:after="0" w:line="240" w:lineRule="auto"/>
        <w:ind w:left="0"/>
        <w:jc w:val="both"/>
        <w:rPr>
          <w:rFonts w:ascii="Palatino Linotype" w:hAnsi="Palatino Linotype" w:cstheme="minorHAnsi"/>
        </w:rPr>
      </w:pPr>
    </w:p>
    <w:p w14:paraId="01E3233D" w14:textId="612F2F67" w:rsidR="00924175" w:rsidRPr="00597E56" w:rsidRDefault="00924175" w:rsidP="00F1501F">
      <w:pPr>
        <w:pStyle w:val="ListParagraph"/>
        <w:spacing w:after="0" w:line="240" w:lineRule="auto"/>
        <w:ind w:left="0"/>
        <w:jc w:val="both"/>
        <w:rPr>
          <w:rFonts w:ascii="Palatino Linotype" w:hAnsi="Palatino Linotype" w:cstheme="minorHAnsi"/>
        </w:rPr>
      </w:pPr>
      <w:r w:rsidRPr="00597E56">
        <w:rPr>
          <w:rFonts w:ascii="Palatino Linotype" w:hAnsi="Palatino Linotype" w:cstheme="minorHAnsi"/>
        </w:rPr>
        <w:t>Taken together, these analyses confirm that statutory Aboriginal land rights in NSW occupy a unique and necessary position between native title and conventional property law. They generate practical and conceptual challenges for valuers and lawyers alike, but they also offer a pathway for reconciling market-based assessment with recognition of Indigenous connection to land. The task for future policy and practice is to continue refining that reconciliation—to ensure that the processes of valuation and compensation fully reflect both the legal integrity of Aboriginal land rights and the cultural integrity of the lands themselves.</w:t>
      </w:r>
    </w:p>
    <w:p w14:paraId="7A0C0ACC" w14:textId="77777777" w:rsidR="00924175" w:rsidRPr="00597E56" w:rsidRDefault="00924175" w:rsidP="00F1501F">
      <w:pPr>
        <w:pStyle w:val="ListParagraph"/>
        <w:spacing w:after="0" w:line="240" w:lineRule="auto"/>
        <w:rPr>
          <w:rFonts w:ascii="Palatino Linotype" w:hAnsi="Palatino Linotype" w:cstheme="minorHAnsi"/>
        </w:rPr>
      </w:pPr>
    </w:p>
    <w:p w14:paraId="07B5FF86" w14:textId="77777777" w:rsidR="00903582" w:rsidRPr="00597E56" w:rsidRDefault="00903582" w:rsidP="00F1501F">
      <w:pPr>
        <w:spacing w:after="0" w:line="240" w:lineRule="auto"/>
        <w:jc w:val="both"/>
        <w:rPr>
          <w:rFonts w:ascii="Palatino Linotype" w:hAnsi="Palatino Linotype" w:cstheme="minorHAnsi"/>
        </w:rPr>
      </w:pPr>
      <w:r w:rsidRPr="00597E56">
        <w:rPr>
          <w:rFonts w:ascii="Palatino Linotype" w:hAnsi="Palatino Linotype" w:cstheme="minorHAnsi"/>
        </w:rPr>
        <w:t>In conclusion, all that can be said is that the task given to the compensation assessor when encountering Indigenous laws and customs, especially spiritual and cultural attachment, requires:</w:t>
      </w:r>
    </w:p>
    <w:p w14:paraId="6C185FC4" w14:textId="77777777" w:rsidR="00903582" w:rsidRPr="00597E56" w:rsidRDefault="00903582" w:rsidP="00F1501F">
      <w:pPr>
        <w:spacing w:after="0" w:line="240" w:lineRule="auto"/>
        <w:jc w:val="both"/>
        <w:rPr>
          <w:rFonts w:ascii="Palatino Linotype" w:hAnsi="Palatino Linotype" w:cstheme="minorHAnsi"/>
        </w:rPr>
      </w:pPr>
    </w:p>
    <w:p w14:paraId="7E1EC2DB" w14:textId="77777777" w:rsidR="00903582" w:rsidRPr="00597E56" w:rsidRDefault="00903582" w:rsidP="00F1501F">
      <w:pPr>
        <w:spacing w:after="0" w:line="240" w:lineRule="auto"/>
        <w:ind w:left="567"/>
        <w:jc w:val="both"/>
        <w:rPr>
          <w:rFonts w:ascii="Palatino Linotype" w:hAnsi="Palatino Linotype" w:cstheme="minorHAnsi"/>
        </w:rPr>
      </w:pPr>
      <w:proofErr w:type="gramStart"/>
      <w:r w:rsidRPr="00597E56">
        <w:rPr>
          <w:rFonts w:ascii="Palatino Linotype" w:hAnsi="Palatino Linotype" w:cstheme="minorHAnsi"/>
        </w:rPr>
        <w:t>..</w:t>
      </w:r>
      <w:proofErr w:type="gramEnd"/>
      <w:r w:rsidRPr="00597E56">
        <w:rPr>
          <w:rFonts w:ascii="Palatino Linotype" w:hAnsi="Palatino Linotype" w:cstheme="minorHAnsi"/>
          <w:i/>
        </w:rPr>
        <w:t>deductive argument resting on social, anthropological historical and ethical premises</w:t>
      </w:r>
      <w:r w:rsidRPr="00597E56">
        <w:rPr>
          <w:rFonts w:ascii="Palatino Linotype" w:hAnsi="Palatino Linotype" w:cstheme="minorHAnsi"/>
        </w:rPr>
        <w:t>. (Small, 2006, p.363)</w:t>
      </w:r>
    </w:p>
    <w:p w14:paraId="1FA2170B" w14:textId="77777777" w:rsidR="00924175" w:rsidRPr="00597E56" w:rsidRDefault="00924175" w:rsidP="00F1501F">
      <w:pPr>
        <w:pStyle w:val="ListParagraph"/>
        <w:spacing w:after="0" w:line="240" w:lineRule="auto"/>
        <w:rPr>
          <w:rFonts w:ascii="Palatino Linotype" w:hAnsi="Palatino Linotype" w:cstheme="minorHAnsi"/>
        </w:rPr>
      </w:pPr>
    </w:p>
    <w:p w14:paraId="3CB021C6" w14:textId="77777777" w:rsidR="00924175" w:rsidRPr="00597E56" w:rsidRDefault="00924175" w:rsidP="00F1501F">
      <w:pPr>
        <w:pStyle w:val="ListParagraph"/>
        <w:spacing w:after="0" w:line="240" w:lineRule="auto"/>
        <w:rPr>
          <w:rFonts w:ascii="Palatino Linotype" w:hAnsi="Palatino Linotype" w:cstheme="minorHAnsi"/>
        </w:rPr>
      </w:pPr>
    </w:p>
    <w:p w14:paraId="160D3C3C" w14:textId="77777777" w:rsidR="00924175" w:rsidRPr="00597E56" w:rsidRDefault="00924175" w:rsidP="00F1501F">
      <w:pPr>
        <w:pStyle w:val="ListParagraph"/>
        <w:spacing w:after="0" w:line="240" w:lineRule="auto"/>
        <w:rPr>
          <w:rFonts w:ascii="Palatino Linotype" w:hAnsi="Palatino Linotype" w:cstheme="minorHAnsi"/>
        </w:rPr>
      </w:pPr>
    </w:p>
    <w:p w14:paraId="1CE848C1" w14:textId="77777777" w:rsidR="00163C5E" w:rsidRPr="00597E56" w:rsidRDefault="00163C5E" w:rsidP="00F1501F">
      <w:pPr>
        <w:spacing w:after="0" w:line="240" w:lineRule="auto"/>
        <w:jc w:val="both"/>
        <w:rPr>
          <w:rFonts w:ascii="Palatino Linotype" w:hAnsi="Palatino Linotype" w:cstheme="minorHAnsi"/>
        </w:rPr>
      </w:pPr>
    </w:p>
    <w:p w14:paraId="3A6CA56A" w14:textId="77777777" w:rsidR="00C95434" w:rsidRPr="00597E56" w:rsidRDefault="00C95434" w:rsidP="00F1501F">
      <w:pPr>
        <w:spacing w:after="0" w:line="240" w:lineRule="auto"/>
        <w:jc w:val="both"/>
        <w:rPr>
          <w:rStyle w:val="Emphasis"/>
          <w:rFonts w:ascii="Palatino Linotype" w:hAnsi="Palatino Linotype" w:cstheme="minorHAnsi"/>
          <w:i/>
          <w:sz w:val="22"/>
        </w:rPr>
      </w:pPr>
      <w:r w:rsidRPr="00597E56">
        <w:rPr>
          <w:rStyle w:val="Emphasis"/>
          <w:rFonts w:ascii="Palatino Linotype" w:hAnsi="Palatino Linotype" w:cstheme="minorHAnsi"/>
          <w:sz w:val="22"/>
        </w:rPr>
        <w:br w:type="page"/>
      </w:r>
    </w:p>
    <w:p w14:paraId="46051BD3" w14:textId="7A664717" w:rsidR="00572F90" w:rsidRPr="00597E56" w:rsidRDefault="00572F90" w:rsidP="00F1501F">
      <w:pPr>
        <w:pStyle w:val="Heading2"/>
        <w:spacing w:before="0" w:after="0"/>
        <w:jc w:val="center"/>
        <w:rPr>
          <w:rFonts w:ascii="Palatino Linotype" w:hAnsi="Palatino Linotype" w:cstheme="minorHAnsi"/>
          <w:sz w:val="28"/>
        </w:rPr>
      </w:pPr>
    </w:p>
    <w:p w14:paraId="71C007B8" w14:textId="77777777" w:rsidR="00181170" w:rsidRPr="00597E56" w:rsidRDefault="00572F90" w:rsidP="00F1501F">
      <w:pPr>
        <w:spacing w:after="0" w:line="240" w:lineRule="auto"/>
        <w:jc w:val="both"/>
        <w:rPr>
          <w:rFonts w:ascii="Palatino Linotype" w:hAnsi="Palatino Linotype" w:cstheme="minorHAnsi"/>
          <w:b/>
          <w:sz w:val="24"/>
          <w:szCs w:val="24"/>
        </w:rPr>
      </w:pPr>
      <w:r w:rsidRPr="00597E56">
        <w:rPr>
          <w:rFonts w:ascii="Palatino Linotype" w:hAnsi="Palatino Linotype" w:cstheme="minorHAnsi"/>
          <w:b/>
          <w:sz w:val="24"/>
          <w:szCs w:val="24"/>
        </w:rPr>
        <w:t>Statutes cited</w:t>
      </w:r>
    </w:p>
    <w:p w14:paraId="4D913877" w14:textId="77777777" w:rsidR="00181170" w:rsidRPr="00597E56" w:rsidRDefault="00181170" w:rsidP="00F1501F">
      <w:pPr>
        <w:pStyle w:val="ListParagraph"/>
        <w:spacing w:after="0" w:line="240" w:lineRule="auto"/>
        <w:ind w:left="1919"/>
        <w:jc w:val="both"/>
        <w:rPr>
          <w:rFonts w:ascii="Palatino Linotype" w:hAnsi="Palatino Linotype" w:cstheme="minorHAnsi"/>
          <w:b/>
        </w:rPr>
      </w:pPr>
    </w:p>
    <w:p w14:paraId="286BE297" w14:textId="09EDF625" w:rsidR="00D1714C" w:rsidRPr="00597E56" w:rsidRDefault="00D1714C" w:rsidP="00F1501F">
      <w:pPr>
        <w:spacing w:after="0" w:line="240" w:lineRule="auto"/>
        <w:jc w:val="both"/>
        <w:rPr>
          <w:rStyle w:val="Emphasis"/>
          <w:rFonts w:ascii="Palatino Linotype" w:hAnsi="Palatino Linotype" w:cstheme="minorHAnsi"/>
          <w:i/>
          <w:iCs/>
          <w:sz w:val="22"/>
        </w:rPr>
      </w:pPr>
      <w:r w:rsidRPr="00597E56">
        <w:rPr>
          <w:rStyle w:val="Emphasis"/>
          <w:rFonts w:ascii="Palatino Linotype" w:hAnsi="Palatino Linotype" w:cstheme="minorHAnsi"/>
          <w:i/>
          <w:iCs/>
          <w:sz w:val="22"/>
        </w:rPr>
        <w:t xml:space="preserve">Aboriginal Affairs Planning Authority Act 1972 </w:t>
      </w:r>
      <w:r w:rsidRPr="00597E56">
        <w:rPr>
          <w:rStyle w:val="Emphasis"/>
          <w:rFonts w:ascii="Palatino Linotype" w:hAnsi="Palatino Linotype" w:cstheme="minorHAnsi"/>
          <w:sz w:val="22"/>
        </w:rPr>
        <w:t>(WA)</w:t>
      </w:r>
    </w:p>
    <w:p w14:paraId="28A14A41" w14:textId="3D9C0CAB" w:rsidR="00D1714C" w:rsidRPr="00597E56" w:rsidRDefault="00D1714C" w:rsidP="00F1501F">
      <w:pPr>
        <w:spacing w:after="0" w:line="240" w:lineRule="auto"/>
        <w:jc w:val="both"/>
        <w:rPr>
          <w:rStyle w:val="Emphasis"/>
          <w:rFonts w:ascii="Palatino Linotype" w:hAnsi="Palatino Linotype" w:cstheme="minorHAnsi"/>
          <w:sz w:val="22"/>
        </w:rPr>
      </w:pPr>
      <w:r w:rsidRPr="00597E56">
        <w:rPr>
          <w:rStyle w:val="Emphasis"/>
          <w:rFonts w:ascii="Palatino Linotype" w:hAnsi="Palatino Linotype" w:cstheme="minorHAnsi"/>
          <w:i/>
          <w:iCs/>
          <w:sz w:val="22"/>
        </w:rPr>
        <w:t xml:space="preserve">Aboriginal Communities Act 1979 </w:t>
      </w:r>
      <w:r w:rsidRPr="00597E56">
        <w:rPr>
          <w:rStyle w:val="Emphasis"/>
          <w:rFonts w:ascii="Palatino Linotype" w:hAnsi="Palatino Linotype" w:cstheme="minorHAnsi"/>
          <w:sz w:val="22"/>
        </w:rPr>
        <w:t>(WA)</w:t>
      </w:r>
    </w:p>
    <w:p w14:paraId="345B28DF" w14:textId="1A79A0FF" w:rsidR="00D1714C" w:rsidRPr="00597E56" w:rsidRDefault="00D1714C" w:rsidP="00F1501F">
      <w:pPr>
        <w:spacing w:after="0" w:line="240" w:lineRule="auto"/>
        <w:jc w:val="both"/>
        <w:rPr>
          <w:rStyle w:val="Emphasis"/>
          <w:rFonts w:ascii="Palatino Linotype" w:hAnsi="Palatino Linotype" w:cstheme="minorHAnsi"/>
          <w:i/>
          <w:iCs/>
          <w:sz w:val="22"/>
        </w:rPr>
      </w:pPr>
      <w:r w:rsidRPr="00597E56">
        <w:rPr>
          <w:rStyle w:val="Emphasis"/>
          <w:rFonts w:ascii="Palatino Linotype" w:hAnsi="Palatino Linotype" w:cstheme="minorHAnsi"/>
          <w:i/>
          <w:iCs/>
          <w:sz w:val="22"/>
        </w:rPr>
        <w:t>Aboriginal Cultural Heritage Act 2021</w:t>
      </w:r>
      <w:r w:rsidRPr="00597E56">
        <w:rPr>
          <w:rStyle w:val="Emphasis"/>
          <w:rFonts w:ascii="Palatino Linotype" w:hAnsi="Palatino Linotype" w:cstheme="minorHAnsi"/>
          <w:sz w:val="22"/>
        </w:rPr>
        <w:t xml:space="preserve"> (WA)</w:t>
      </w:r>
    </w:p>
    <w:p w14:paraId="7598AEF9" w14:textId="48B37A69" w:rsidR="00181170" w:rsidRPr="00597E56" w:rsidRDefault="00181170" w:rsidP="00F1501F">
      <w:pPr>
        <w:spacing w:after="0" w:line="240" w:lineRule="auto"/>
        <w:jc w:val="both"/>
        <w:rPr>
          <w:rFonts w:ascii="Palatino Linotype" w:hAnsi="Palatino Linotype" w:cstheme="minorHAnsi"/>
          <w:b/>
        </w:rPr>
      </w:pPr>
      <w:r w:rsidRPr="00597E56">
        <w:rPr>
          <w:rStyle w:val="Emphasis"/>
          <w:rFonts w:ascii="Palatino Linotype" w:hAnsi="Palatino Linotype" w:cstheme="minorHAnsi"/>
          <w:i/>
          <w:iCs/>
          <w:sz w:val="22"/>
        </w:rPr>
        <w:t>Aboriginal Heritage Act 1972</w:t>
      </w:r>
      <w:r w:rsidRPr="00597E56">
        <w:rPr>
          <w:rStyle w:val="Emphasis"/>
          <w:rFonts w:ascii="Palatino Linotype" w:hAnsi="Palatino Linotype" w:cstheme="minorHAnsi"/>
          <w:sz w:val="22"/>
        </w:rPr>
        <w:t xml:space="preserve"> (WA)</w:t>
      </w:r>
    </w:p>
    <w:p w14:paraId="494F6AB8" w14:textId="06BDE745" w:rsidR="00D91F4C" w:rsidRPr="00597E56" w:rsidRDefault="00D91F4C" w:rsidP="00F1501F">
      <w:pPr>
        <w:spacing w:after="0" w:line="240" w:lineRule="auto"/>
        <w:jc w:val="both"/>
        <w:rPr>
          <w:rFonts w:ascii="Palatino Linotype" w:hAnsi="Palatino Linotype" w:cstheme="minorHAnsi"/>
          <w:i/>
        </w:rPr>
      </w:pPr>
      <w:r w:rsidRPr="00597E56">
        <w:rPr>
          <w:rStyle w:val="Emphasis"/>
          <w:rFonts w:ascii="Palatino Linotype" w:hAnsi="Palatino Linotype" w:cstheme="minorHAnsi"/>
          <w:i/>
          <w:iCs/>
          <w:sz w:val="22"/>
        </w:rPr>
        <w:t>Aboriginal Land Rights (Northern Territory) Act 1976</w:t>
      </w:r>
      <w:r w:rsidRPr="00597E56">
        <w:rPr>
          <w:rStyle w:val="Emphasis"/>
          <w:rFonts w:ascii="Palatino Linotype" w:hAnsi="Palatino Linotype" w:cstheme="minorHAnsi"/>
          <w:sz w:val="22"/>
        </w:rPr>
        <w:t xml:space="preserve"> (</w:t>
      </w:r>
      <w:proofErr w:type="spellStart"/>
      <w:r w:rsidRPr="00597E56">
        <w:rPr>
          <w:rStyle w:val="Emphasis"/>
          <w:rFonts w:ascii="Palatino Linotype" w:hAnsi="Palatino Linotype" w:cstheme="minorHAnsi"/>
          <w:sz w:val="22"/>
        </w:rPr>
        <w:t>Cth</w:t>
      </w:r>
      <w:proofErr w:type="spellEnd"/>
      <w:r w:rsidRPr="00597E56">
        <w:rPr>
          <w:rStyle w:val="Emphasis"/>
          <w:rFonts w:ascii="Palatino Linotype" w:hAnsi="Palatino Linotype" w:cstheme="minorHAnsi"/>
          <w:sz w:val="22"/>
        </w:rPr>
        <w:t>.)</w:t>
      </w:r>
    </w:p>
    <w:p w14:paraId="1A113B50" w14:textId="77777777" w:rsidR="00572F90" w:rsidRPr="00597E56" w:rsidRDefault="00572F90" w:rsidP="00F1501F">
      <w:pPr>
        <w:spacing w:after="0" w:line="240" w:lineRule="auto"/>
        <w:jc w:val="both"/>
        <w:rPr>
          <w:rFonts w:ascii="Palatino Linotype" w:hAnsi="Palatino Linotype" w:cstheme="minorHAnsi"/>
        </w:rPr>
      </w:pPr>
      <w:r w:rsidRPr="00597E56">
        <w:rPr>
          <w:rFonts w:ascii="Palatino Linotype" w:hAnsi="Palatino Linotype" w:cstheme="minorHAnsi"/>
          <w:i/>
        </w:rPr>
        <w:t xml:space="preserve">Aboriginal Land Rights Act 1983 </w:t>
      </w:r>
      <w:r w:rsidRPr="00597E56">
        <w:rPr>
          <w:rFonts w:ascii="Palatino Linotype" w:hAnsi="Palatino Linotype" w:cstheme="minorHAnsi"/>
        </w:rPr>
        <w:t>(NSW)</w:t>
      </w:r>
    </w:p>
    <w:p w14:paraId="021598F3" w14:textId="11994B0B" w:rsidR="00D91F4C" w:rsidRPr="00597E56" w:rsidRDefault="00D91F4C" w:rsidP="00F1501F">
      <w:pPr>
        <w:spacing w:after="0" w:line="240" w:lineRule="auto"/>
        <w:jc w:val="both"/>
        <w:rPr>
          <w:rFonts w:ascii="Palatino Linotype" w:hAnsi="Palatino Linotype" w:cstheme="minorHAnsi"/>
        </w:rPr>
      </w:pPr>
      <w:r w:rsidRPr="00597E56">
        <w:rPr>
          <w:rStyle w:val="Emphasis"/>
          <w:rFonts w:ascii="Palatino Linotype" w:hAnsi="Palatino Linotype" w:cstheme="minorHAnsi"/>
          <w:i/>
          <w:iCs/>
          <w:sz w:val="22"/>
        </w:rPr>
        <w:t>Aboriginal Land Trusts Act 1966</w:t>
      </w:r>
      <w:r w:rsidRPr="00597E56">
        <w:rPr>
          <w:rStyle w:val="Emphasis"/>
          <w:rFonts w:ascii="Palatino Linotype" w:hAnsi="Palatino Linotype" w:cstheme="minorHAnsi"/>
          <w:sz w:val="22"/>
        </w:rPr>
        <w:t xml:space="preserve"> (SA)</w:t>
      </w:r>
    </w:p>
    <w:p w14:paraId="56747315" w14:textId="77777777" w:rsidR="00572F90" w:rsidRPr="00597E56" w:rsidRDefault="00572F90" w:rsidP="00F1501F">
      <w:pPr>
        <w:spacing w:after="0" w:line="240" w:lineRule="auto"/>
        <w:jc w:val="both"/>
        <w:rPr>
          <w:rStyle w:val="Emphasis"/>
          <w:rFonts w:ascii="Palatino Linotype" w:hAnsi="Palatino Linotype" w:cstheme="minorHAnsi"/>
          <w:i/>
          <w:sz w:val="22"/>
        </w:rPr>
      </w:pPr>
      <w:r w:rsidRPr="00597E56">
        <w:rPr>
          <w:rFonts w:ascii="Palatino Linotype" w:hAnsi="Palatino Linotype" w:cstheme="minorHAnsi"/>
          <w:i/>
        </w:rPr>
        <w:t xml:space="preserve">Crown Lands Act 1989 </w:t>
      </w:r>
      <w:r w:rsidRPr="00597E56">
        <w:rPr>
          <w:rStyle w:val="Emphasis"/>
          <w:rFonts w:ascii="Palatino Linotype" w:hAnsi="Palatino Linotype" w:cstheme="minorHAnsi"/>
          <w:sz w:val="22"/>
        </w:rPr>
        <w:t>(NSW)</w:t>
      </w:r>
    </w:p>
    <w:p w14:paraId="2AADF03E" w14:textId="77777777" w:rsidR="00572F90" w:rsidRPr="00597E56" w:rsidRDefault="00572F90" w:rsidP="00F1501F">
      <w:pPr>
        <w:spacing w:after="0" w:line="240" w:lineRule="auto"/>
        <w:jc w:val="both"/>
        <w:rPr>
          <w:rFonts w:ascii="Palatino Linotype" w:hAnsi="Palatino Linotype" w:cstheme="minorHAnsi"/>
        </w:rPr>
      </w:pPr>
      <w:r w:rsidRPr="00597E56">
        <w:rPr>
          <w:rStyle w:val="Emphasis"/>
          <w:rFonts w:ascii="Palatino Linotype" w:hAnsi="Palatino Linotype" w:cstheme="minorHAnsi"/>
          <w:i/>
          <w:sz w:val="22"/>
        </w:rPr>
        <w:t>Environmental Planning and Assessment Act 1979</w:t>
      </w:r>
      <w:r w:rsidRPr="00597E56">
        <w:rPr>
          <w:rStyle w:val="Emphasis"/>
          <w:rFonts w:ascii="Palatino Linotype" w:hAnsi="Palatino Linotype" w:cstheme="minorHAnsi"/>
          <w:sz w:val="22"/>
        </w:rPr>
        <w:t xml:space="preserve"> (NSW)</w:t>
      </w:r>
    </w:p>
    <w:p w14:paraId="33A79A5A" w14:textId="77777777" w:rsidR="00572F90" w:rsidRPr="00597E56" w:rsidRDefault="00572F90" w:rsidP="00F1501F">
      <w:pPr>
        <w:spacing w:after="0" w:line="240" w:lineRule="auto"/>
        <w:jc w:val="both"/>
        <w:rPr>
          <w:rFonts w:ascii="Palatino Linotype" w:hAnsi="Palatino Linotype" w:cstheme="minorHAnsi"/>
          <w:i/>
        </w:rPr>
      </w:pPr>
      <w:r w:rsidRPr="00597E56">
        <w:rPr>
          <w:rFonts w:ascii="Palatino Linotype" w:hAnsi="Palatino Linotype" w:cstheme="minorHAnsi"/>
          <w:i/>
        </w:rPr>
        <w:t xml:space="preserve">Land Acquisition (Just Terms Compensation) Act 1991 </w:t>
      </w:r>
      <w:r w:rsidRPr="00597E56">
        <w:rPr>
          <w:rFonts w:ascii="Palatino Linotype" w:hAnsi="Palatino Linotype" w:cstheme="minorHAnsi"/>
        </w:rPr>
        <w:t>(NSW)</w:t>
      </w:r>
    </w:p>
    <w:p w14:paraId="0DADC693" w14:textId="3CD602D9" w:rsidR="00572F90" w:rsidRPr="00597E56" w:rsidRDefault="00572F90" w:rsidP="00F1501F">
      <w:pPr>
        <w:spacing w:after="0" w:line="240" w:lineRule="auto"/>
        <w:jc w:val="both"/>
        <w:rPr>
          <w:rStyle w:val="Emphasis"/>
          <w:rFonts w:ascii="Palatino Linotype" w:hAnsi="Palatino Linotype" w:cstheme="minorHAnsi"/>
          <w:sz w:val="22"/>
        </w:rPr>
      </w:pPr>
      <w:r w:rsidRPr="00597E56">
        <w:rPr>
          <w:rFonts w:ascii="Palatino Linotype" w:hAnsi="Palatino Linotype" w:cstheme="minorHAnsi"/>
          <w:i/>
        </w:rPr>
        <w:t xml:space="preserve">Native Title Act 1993 </w:t>
      </w:r>
      <w:r w:rsidRPr="00597E56">
        <w:rPr>
          <w:rFonts w:ascii="Palatino Linotype" w:hAnsi="Palatino Linotype" w:cstheme="minorHAnsi"/>
        </w:rPr>
        <w:t>(</w:t>
      </w:r>
      <w:proofErr w:type="spellStart"/>
      <w:r w:rsidRPr="00597E56">
        <w:rPr>
          <w:rFonts w:ascii="Palatino Linotype" w:hAnsi="Palatino Linotype" w:cstheme="minorHAnsi"/>
        </w:rPr>
        <w:t>Cth</w:t>
      </w:r>
      <w:proofErr w:type="spellEnd"/>
      <w:r w:rsidRPr="00597E56">
        <w:rPr>
          <w:rFonts w:ascii="Palatino Linotype" w:hAnsi="Palatino Linotype" w:cstheme="minorHAnsi"/>
        </w:rPr>
        <w:t>.)</w:t>
      </w:r>
    </w:p>
    <w:p w14:paraId="3551BC91" w14:textId="5B7CE3AB" w:rsidR="00572F90" w:rsidRPr="00597E56" w:rsidRDefault="00572F90" w:rsidP="00F1501F">
      <w:pPr>
        <w:spacing w:after="0" w:line="240" w:lineRule="auto"/>
        <w:jc w:val="both"/>
        <w:rPr>
          <w:rStyle w:val="Emphasis"/>
          <w:rFonts w:ascii="Palatino Linotype" w:hAnsi="Palatino Linotype" w:cstheme="minorHAnsi"/>
          <w:i/>
          <w:sz w:val="22"/>
        </w:rPr>
      </w:pPr>
      <w:r w:rsidRPr="00597E56">
        <w:rPr>
          <w:rStyle w:val="Emphasis"/>
          <w:rFonts w:ascii="Palatino Linotype" w:hAnsi="Palatino Linotype" w:cstheme="minorHAnsi"/>
          <w:i/>
          <w:sz w:val="22"/>
        </w:rPr>
        <w:t>National Parks and Wildlife Act 1974</w:t>
      </w:r>
      <w:r w:rsidRPr="00597E56">
        <w:rPr>
          <w:rStyle w:val="Emphasis"/>
          <w:rFonts w:ascii="Palatino Linotype" w:hAnsi="Palatino Linotype" w:cstheme="minorHAnsi"/>
          <w:sz w:val="22"/>
        </w:rPr>
        <w:t xml:space="preserve"> (NSW)</w:t>
      </w:r>
    </w:p>
    <w:p w14:paraId="114ABD82" w14:textId="77777777" w:rsidR="00572F90" w:rsidRPr="00597E56" w:rsidRDefault="00572F90" w:rsidP="00F1501F">
      <w:pPr>
        <w:spacing w:after="0" w:line="240" w:lineRule="auto"/>
        <w:jc w:val="both"/>
        <w:rPr>
          <w:rStyle w:val="Emphasis"/>
          <w:rFonts w:ascii="Palatino Linotype" w:hAnsi="Palatino Linotype" w:cstheme="minorHAnsi"/>
          <w:sz w:val="22"/>
        </w:rPr>
      </w:pPr>
      <w:r w:rsidRPr="00597E56">
        <w:rPr>
          <w:rStyle w:val="Emphasis"/>
          <w:rFonts w:ascii="Palatino Linotype" w:hAnsi="Palatino Linotype" w:cstheme="minorHAnsi"/>
          <w:i/>
          <w:sz w:val="22"/>
        </w:rPr>
        <w:t>Real Property Act 1900</w:t>
      </w:r>
      <w:r w:rsidRPr="00597E56">
        <w:rPr>
          <w:rStyle w:val="Emphasis"/>
          <w:rFonts w:ascii="Palatino Linotype" w:hAnsi="Palatino Linotype" w:cstheme="minorHAnsi"/>
          <w:sz w:val="22"/>
        </w:rPr>
        <w:t xml:space="preserve"> (NSW)</w:t>
      </w:r>
    </w:p>
    <w:p w14:paraId="40E09148" w14:textId="6FB63545" w:rsidR="00D91F4C" w:rsidRPr="00597E56" w:rsidRDefault="00D91F4C" w:rsidP="00F1501F">
      <w:pPr>
        <w:spacing w:after="0" w:line="240" w:lineRule="auto"/>
        <w:jc w:val="both"/>
        <w:rPr>
          <w:rFonts w:ascii="Palatino Linotype" w:hAnsi="Palatino Linotype" w:cstheme="minorHAnsi"/>
        </w:rPr>
      </w:pPr>
      <w:r w:rsidRPr="00597E56">
        <w:rPr>
          <w:rStyle w:val="Emphasis"/>
          <w:rFonts w:ascii="Palatino Linotype" w:hAnsi="Palatino Linotype" w:cstheme="minorHAnsi"/>
          <w:i/>
          <w:sz w:val="22"/>
        </w:rPr>
        <w:t>Western Lands Act 1901</w:t>
      </w:r>
      <w:r w:rsidRPr="00597E56">
        <w:rPr>
          <w:rStyle w:val="Emphasis"/>
          <w:rFonts w:ascii="Palatino Linotype" w:hAnsi="Palatino Linotype" w:cstheme="minorHAnsi"/>
          <w:sz w:val="22"/>
        </w:rPr>
        <w:t xml:space="preserve"> (NSW)</w:t>
      </w:r>
    </w:p>
    <w:p w14:paraId="24E7E805" w14:textId="77777777" w:rsidR="00572F90" w:rsidRPr="00597E56" w:rsidRDefault="00572F90" w:rsidP="00F1501F">
      <w:pPr>
        <w:spacing w:after="0" w:line="240" w:lineRule="auto"/>
        <w:jc w:val="both"/>
        <w:rPr>
          <w:rStyle w:val="Emphasis"/>
          <w:rFonts w:ascii="Palatino Linotype" w:hAnsi="Palatino Linotype" w:cstheme="minorHAnsi"/>
          <w:i/>
          <w:sz w:val="22"/>
        </w:rPr>
      </w:pPr>
    </w:p>
    <w:p w14:paraId="6FBCC781" w14:textId="77777777" w:rsidR="00572F90" w:rsidRPr="00597E56" w:rsidRDefault="00572F90" w:rsidP="00F1501F">
      <w:pPr>
        <w:spacing w:after="0" w:line="240" w:lineRule="auto"/>
        <w:jc w:val="both"/>
        <w:rPr>
          <w:rFonts w:ascii="Palatino Linotype" w:hAnsi="Palatino Linotype" w:cstheme="minorHAnsi"/>
          <w:i/>
        </w:rPr>
      </w:pPr>
    </w:p>
    <w:p w14:paraId="52146603" w14:textId="7C67D8CA" w:rsidR="00572F90" w:rsidRPr="00597E56" w:rsidRDefault="00572F90" w:rsidP="00F1501F">
      <w:pPr>
        <w:spacing w:after="0" w:line="240" w:lineRule="auto"/>
        <w:jc w:val="both"/>
        <w:rPr>
          <w:rFonts w:ascii="Palatino Linotype" w:hAnsi="Palatino Linotype" w:cstheme="minorHAnsi"/>
          <w:i/>
          <w:sz w:val="24"/>
          <w:szCs w:val="24"/>
        </w:rPr>
      </w:pPr>
      <w:r w:rsidRPr="00597E56">
        <w:rPr>
          <w:rFonts w:ascii="Palatino Linotype" w:hAnsi="Palatino Linotype" w:cstheme="minorHAnsi"/>
          <w:i/>
          <w:sz w:val="28"/>
          <w:szCs w:val="28"/>
        </w:rPr>
        <w:br w:type="page"/>
      </w:r>
      <w:r w:rsidR="00010071" w:rsidRPr="00597E56">
        <w:rPr>
          <w:rFonts w:ascii="Palatino Linotype" w:hAnsi="Palatino Linotype" w:cstheme="minorHAnsi"/>
          <w:b/>
          <w:sz w:val="24"/>
          <w:szCs w:val="24"/>
        </w:rPr>
        <w:lastRenderedPageBreak/>
        <w:t>C</w:t>
      </w:r>
      <w:r w:rsidRPr="00597E56">
        <w:rPr>
          <w:rFonts w:ascii="Palatino Linotype" w:hAnsi="Palatino Linotype" w:cstheme="minorHAnsi"/>
          <w:b/>
          <w:sz w:val="24"/>
          <w:szCs w:val="24"/>
        </w:rPr>
        <w:t xml:space="preserve">ases cited </w:t>
      </w:r>
    </w:p>
    <w:p w14:paraId="739A6CFC" w14:textId="77777777" w:rsidR="00572F90" w:rsidRPr="00597E56" w:rsidRDefault="00572F90" w:rsidP="00F1501F">
      <w:pPr>
        <w:spacing w:after="0" w:line="240" w:lineRule="auto"/>
        <w:jc w:val="both"/>
        <w:rPr>
          <w:rFonts w:ascii="Palatino Linotype" w:hAnsi="Palatino Linotype" w:cstheme="minorHAnsi"/>
          <w:sz w:val="28"/>
          <w:szCs w:val="28"/>
        </w:rPr>
      </w:pPr>
    </w:p>
    <w:p w14:paraId="5D035777" w14:textId="77777777" w:rsidR="00572F90" w:rsidRPr="00597E56" w:rsidRDefault="00572F90" w:rsidP="00F1501F">
      <w:pPr>
        <w:pStyle w:val="NoSpacing"/>
        <w:jc w:val="both"/>
        <w:rPr>
          <w:rFonts w:ascii="Palatino Linotype" w:hAnsi="Palatino Linotype" w:cstheme="minorHAnsi"/>
          <w:spacing w:val="-9"/>
          <w:w w:val="103"/>
        </w:rPr>
      </w:pPr>
      <w:r w:rsidRPr="00597E56">
        <w:rPr>
          <w:rFonts w:ascii="Palatino Linotype" w:hAnsi="Palatino Linotype" w:cstheme="minorHAnsi"/>
          <w:i/>
          <w:spacing w:val="-9"/>
          <w:w w:val="103"/>
        </w:rPr>
        <w:t xml:space="preserve">Cedar Rapids Manufacturing &amp; Power Co v Lacoste </w:t>
      </w:r>
      <w:r w:rsidRPr="00597E56">
        <w:rPr>
          <w:rFonts w:ascii="Palatino Linotype" w:hAnsi="Palatino Linotype" w:cstheme="minorHAnsi"/>
          <w:spacing w:val="-9"/>
          <w:w w:val="103"/>
        </w:rPr>
        <w:t>[1914] AC 569; [1914-15] All ER Rep 571; 16 DLR 168.</w:t>
      </w:r>
    </w:p>
    <w:p w14:paraId="643F52FC" w14:textId="77777777" w:rsidR="00572F90" w:rsidRPr="00597E56" w:rsidRDefault="00572F90" w:rsidP="00F1501F">
      <w:pPr>
        <w:pStyle w:val="NoSpacing"/>
        <w:jc w:val="both"/>
        <w:rPr>
          <w:rFonts w:ascii="Palatino Linotype" w:hAnsi="Palatino Linotype" w:cstheme="minorHAnsi"/>
          <w:spacing w:val="-9"/>
          <w:w w:val="103"/>
        </w:rPr>
      </w:pPr>
    </w:p>
    <w:p w14:paraId="6C5F76D2" w14:textId="77777777" w:rsidR="00572F90" w:rsidRPr="00597E56" w:rsidRDefault="00572F90" w:rsidP="00F1501F">
      <w:pPr>
        <w:pStyle w:val="NoSpacing"/>
        <w:jc w:val="both"/>
        <w:rPr>
          <w:rFonts w:ascii="Palatino Linotype" w:hAnsi="Palatino Linotype" w:cstheme="minorHAnsi"/>
          <w:spacing w:val="-9"/>
          <w:w w:val="103"/>
        </w:rPr>
      </w:pPr>
      <w:r w:rsidRPr="00597E56">
        <w:rPr>
          <w:rFonts w:ascii="Palatino Linotype" w:hAnsi="Palatino Linotype" w:cstheme="minorHAnsi"/>
          <w:i/>
          <w:spacing w:val="-9"/>
          <w:w w:val="103"/>
        </w:rPr>
        <w:t xml:space="preserve">Coffs Harbour and District Local Aboriginal Land Council v Minister Administering the Crown Lands Act </w:t>
      </w:r>
      <w:r w:rsidRPr="00597E56">
        <w:rPr>
          <w:rFonts w:ascii="Palatino Linotype" w:hAnsi="Palatino Linotype" w:cstheme="minorHAnsi"/>
          <w:spacing w:val="-9"/>
          <w:w w:val="103"/>
        </w:rPr>
        <w:t>[2013] NSWLEC 216 (24 December 2013)</w:t>
      </w:r>
    </w:p>
    <w:p w14:paraId="3A9606E9" w14:textId="77777777" w:rsidR="00213A60" w:rsidRPr="00597E56" w:rsidRDefault="00213A60" w:rsidP="00F1501F">
      <w:pPr>
        <w:pStyle w:val="NoSpacing"/>
        <w:jc w:val="both"/>
        <w:rPr>
          <w:rFonts w:ascii="Palatino Linotype" w:hAnsi="Palatino Linotype" w:cstheme="minorHAnsi"/>
          <w:spacing w:val="-9"/>
          <w:w w:val="103"/>
        </w:rPr>
      </w:pPr>
    </w:p>
    <w:p w14:paraId="4C6BCC02" w14:textId="3152A637" w:rsidR="00213A60" w:rsidRPr="00597E56" w:rsidRDefault="00213A60" w:rsidP="00F1501F">
      <w:pPr>
        <w:pStyle w:val="NoSpacing"/>
        <w:jc w:val="both"/>
        <w:rPr>
          <w:rFonts w:ascii="Palatino Linotype" w:hAnsi="Palatino Linotype" w:cstheme="minorHAnsi"/>
          <w:spacing w:val="-9"/>
          <w:w w:val="103"/>
        </w:rPr>
      </w:pPr>
      <w:r w:rsidRPr="00597E56">
        <w:rPr>
          <w:rFonts w:ascii="Palatino Linotype" w:hAnsi="Palatino Linotype" w:cstheme="minorHAnsi"/>
          <w:i/>
          <w:iCs/>
        </w:rPr>
        <w:t>Commonwealth of Australia v Yunupingu</w:t>
      </w:r>
      <w:r w:rsidRPr="00597E56">
        <w:rPr>
          <w:rFonts w:ascii="Palatino Linotype" w:hAnsi="Palatino Linotype" w:cstheme="minorHAnsi"/>
        </w:rPr>
        <w:t xml:space="preserve"> [2025] HCA 6</w:t>
      </w:r>
      <w:r w:rsidR="00D5195F" w:rsidRPr="00597E56">
        <w:rPr>
          <w:rFonts w:ascii="Palatino Linotype" w:hAnsi="Palatino Linotype" w:cstheme="minorHAnsi"/>
        </w:rPr>
        <w:t xml:space="preserve"> (12 March 2025)</w:t>
      </w:r>
    </w:p>
    <w:p w14:paraId="16FC7561" w14:textId="77777777" w:rsidR="0076621B" w:rsidRPr="00597E56" w:rsidRDefault="0076621B" w:rsidP="00F1501F">
      <w:pPr>
        <w:pStyle w:val="NoSpacing"/>
        <w:jc w:val="both"/>
        <w:rPr>
          <w:rFonts w:ascii="Palatino Linotype" w:hAnsi="Palatino Linotype" w:cstheme="minorHAnsi"/>
          <w:spacing w:val="-9"/>
          <w:w w:val="103"/>
        </w:rPr>
      </w:pPr>
    </w:p>
    <w:p w14:paraId="39B319F6" w14:textId="26F7CD68" w:rsidR="0076621B" w:rsidRPr="00597E56" w:rsidRDefault="0076621B" w:rsidP="00F1501F">
      <w:pPr>
        <w:pStyle w:val="NoSpacing"/>
        <w:jc w:val="both"/>
        <w:rPr>
          <w:rFonts w:ascii="Palatino Linotype" w:hAnsi="Palatino Linotype" w:cstheme="minorHAnsi"/>
          <w:i/>
          <w:spacing w:val="-9"/>
          <w:w w:val="103"/>
        </w:rPr>
      </w:pPr>
      <w:r w:rsidRPr="00597E56">
        <w:rPr>
          <w:rStyle w:val="Emphasis"/>
          <w:rFonts w:ascii="Palatino Linotype" w:hAnsi="Palatino Linotype" w:cstheme="minorHAnsi"/>
          <w:i/>
          <w:sz w:val="22"/>
        </w:rPr>
        <w:t>Desane Properties Pty Limited v State of New South Wales</w:t>
      </w:r>
      <w:r w:rsidRPr="00597E56">
        <w:rPr>
          <w:rStyle w:val="Emphasis"/>
          <w:rFonts w:ascii="Palatino Linotype" w:hAnsi="Palatino Linotype" w:cstheme="minorHAnsi"/>
          <w:iCs/>
          <w:sz w:val="22"/>
        </w:rPr>
        <w:t xml:space="preserve"> [2018] NSWSC 553</w:t>
      </w:r>
    </w:p>
    <w:p w14:paraId="255E37FF" w14:textId="77777777" w:rsidR="00572F90" w:rsidRPr="00597E56" w:rsidRDefault="00572F90" w:rsidP="00F1501F">
      <w:pPr>
        <w:pStyle w:val="NoSpacing"/>
        <w:jc w:val="both"/>
        <w:rPr>
          <w:rFonts w:ascii="Palatino Linotype" w:hAnsi="Palatino Linotype" w:cstheme="minorHAnsi"/>
          <w:spacing w:val="-9"/>
          <w:w w:val="103"/>
        </w:rPr>
      </w:pPr>
    </w:p>
    <w:p w14:paraId="2A970615" w14:textId="77777777" w:rsidR="00572F90" w:rsidRPr="00597E56" w:rsidRDefault="00572F90" w:rsidP="00F1501F">
      <w:pPr>
        <w:pStyle w:val="NoSpacing"/>
        <w:jc w:val="both"/>
        <w:rPr>
          <w:rFonts w:ascii="Palatino Linotype" w:hAnsi="Palatino Linotype" w:cstheme="minorHAnsi"/>
        </w:rPr>
      </w:pPr>
      <w:r w:rsidRPr="00597E56">
        <w:rPr>
          <w:rFonts w:ascii="Palatino Linotype" w:hAnsi="Palatino Linotype" w:cstheme="minorHAnsi"/>
          <w:i/>
          <w:spacing w:val="-9"/>
          <w:w w:val="103"/>
        </w:rPr>
        <w:t>El Boustani v The Minister Administering the Environmental Planning and Assessment Act 1979</w:t>
      </w:r>
      <w:r w:rsidRPr="00597E56">
        <w:rPr>
          <w:rFonts w:ascii="Palatino Linotype" w:hAnsi="Palatino Linotype" w:cstheme="minorHAnsi"/>
          <w:spacing w:val="-9"/>
          <w:w w:val="103"/>
        </w:rPr>
        <w:t xml:space="preserve"> [2014] NSWCA 323.</w:t>
      </w:r>
    </w:p>
    <w:p w14:paraId="7ED1224D" w14:textId="77777777" w:rsidR="00572F90" w:rsidRPr="00597E56" w:rsidRDefault="00572F90" w:rsidP="00F1501F">
      <w:pPr>
        <w:pStyle w:val="NoSpacing"/>
        <w:jc w:val="both"/>
        <w:rPr>
          <w:rFonts w:ascii="Palatino Linotype" w:hAnsi="Palatino Linotype" w:cstheme="minorHAnsi"/>
        </w:rPr>
      </w:pPr>
    </w:p>
    <w:p w14:paraId="381DD989" w14:textId="77777777" w:rsidR="00572F90" w:rsidRPr="00597E56" w:rsidRDefault="00572F90" w:rsidP="00F1501F">
      <w:pPr>
        <w:pStyle w:val="NoSpacing"/>
        <w:jc w:val="both"/>
        <w:rPr>
          <w:rFonts w:ascii="Palatino Linotype" w:hAnsi="Palatino Linotype" w:cstheme="minorHAnsi"/>
          <w:spacing w:val="-10"/>
          <w:w w:val="103"/>
        </w:rPr>
      </w:pPr>
      <w:proofErr w:type="spellStart"/>
      <w:r w:rsidRPr="00597E56">
        <w:rPr>
          <w:rFonts w:ascii="Palatino Linotype" w:hAnsi="Palatino Linotype" w:cstheme="minorHAnsi"/>
          <w:i/>
          <w:spacing w:val="-10"/>
        </w:rPr>
        <w:t>Ge</w:t>
      </w:r>
      <w:r w:rsidRPr="00597E56">
        <w:rPr>
          <w:rFonts w:ascii="Palatino Linotype" w:hAnsi="Palatino Linotype" w:cstheme="minorHAnsi"/>
          <w:i/>
          <w:spacing w:val="-8"/>
        </w:rPr>
        <w:t>i</w:t>
      </w:r>
      <w:r w:rsidRPr="00597E56">
        <w:rPr>
          <w:rFonts w:ascii="Palatino Linotype" w:hAnsi="Palatino Linotype" w:cstheme="minorHAnsi"/>
          <w:i/>
          <w:spacing w:val="-9"/>
        </w:rPr>
        <w:t>t</w:t>
      </w:r>
      <w:r w:rsidRPr="00597E56">
        <w:rPr>
          <w:rFonts w:ascii="Palatino Linotype" w:hAnsi="Palatino Linotype" w:cstheme="minorHAnsi"/>
          <w:i/>
        </w:rPr>
        <w:t>a</w:t>
      </w:r>
      <w:proofErr w:type="spellEnd"/>
      <w:r w:rsidRPr="00597E56">
        <w:rPr>
          <w:rFonts w:ascii="Palatino Linotype" w:hAnsi="Palatino Linotype" w:cstheme="minorHAnsi"/>
          <w:i/>
          <w:spacing w:val="-3"/>
        </w:rPr>
        <w:t xml:space="preserve"> </w:t>
      </w:r>
      <w:proofErr w:type="spellStart"/>
      <w:r w:rsidRPr="00597E56">
        <w:rPr>
          <w:rFonts w:ascii="Palatino Linotype" w:hAnsi="Palatino Linotype" w:cstheme="minorHAnsi"/>
          <w:i/>
          <w:spacing w:val="-10"/>
        </w:rPr>
        <w:t>Sebe</w:t>
      </w:r>
      <w:r w:rsidRPr="00597E56">
        <w:rPr>
          <w:rFonts w:ascii="Palatino Linotype" w:hAnsi="Palatino Linotype" w:cstheme="minorHAnsi"/>
          <w:i/>
        </w:rPr>
        <w:t>a</w:t>
      </w:r>
      <w:proofErr w:type="spellEnd"/>
      <w:r w:rsidRPr="00597E56">
        <w:rPr>
          <w:rFonts w:ascii="Palatino Linotype" w:hAnsi="Palatino Linotype" w:cstheme="minorHAnsi"/>
          <w:i/>
          <w:spacing w:val="-2"/>
        </w:rPr>
        <w:t xml:space="preserve"> </w:t>
      </w:r>
      <w:r w:rsidRPr="00597E56">
        <w:rPr>
          <w:rFonts w:ascii="Palatino Linotype" w:hAnsi="Palatino Linotype" w:cstheme="minorHAnsi"/>
          <w:i/>
        </w:rPr>
        <w:t>v</w:t>
      </w:r>
      <w:r w:rsidRPr="00597E56">
        <w:rPr>
          <w:rFonts w:ascii="Palatino Linotype" w:hAnsi="Palatino Linotype" w:cstheme="minorHAnsi"/>
          <w:i/>
          <w:spacing w:val="-15"/>
        </w:rPr>
        <w:t xml:space="preserve"> </w:t>
      </w:r>
      <w:r w:rsidRPr="00597E56">
        <w:rPr>
          <w:rFonts w:ascii="Palatino Linotype" w:hAnsi="Palatino Linotype" w:cstheme="minorHAnsi"/>
          <w:i/>
          <w:spacing w:val="-8"/>
        </w:rPr>
        <w:t>T</w:t>
      </w:r>
      <w:r w:rsidRPr="00597E56">
        <w:rPr>
          <w:rFonts w:ascii="Palatino Linotype" w:hAnsi="Palatino Linotype" w:cstheme="minorHAnsi"/>
          <w:i/>
          <w:spacing w:val="-10"/>
        </w:rPr>
        <w:t>er</w:t>
      </w:r>
      <w:r w:rsidRPr="00597E56">
        <w:rPr>
          <w:rFonts w:ascii="Palatino Linotype" w:hAnsi="Palatino Linotype" w:cstheme="minorHAnsi"/>
          <w:i/>
          <w:spacing w:val="-8"/>
        </w:rPr>
        <w:t>r</w:t>
      </w:r>
      <w:r w:rsidRPr="00597E56">
        <w:rPr>
          <w:rFonts w:ascii="Palatino Linotype" w:hAnsi="Palatino Linotype" w:cstheme="minorHAnsi"/>
          <w:i/>
          <w:spacing w:val="-10"/>
        </w:rPr>
        <w:t>i</w:t>
      </w:r>
      <w:r w:rsidRPr="00597E56">
        <w:rPr>
          <w:rFonts w:ascii="Palatino Linotype" w:hAnsi="Palatino Linotype" w:cstheme="minorHAnsi"/>
          <w:i/>
          <w:spacing w:val="-8"/>
        </w:rPr>
        <w:t>t</w:t>
      </w:r>
      <w:r w:rsidRPr="00597E56">
        <w:rPr>
          <w:rFonts w:ascii="Palatino Linotype" w:hAnsi="Palatino Linotype" w:cstheme="minorHAnsi"/>
          <w:i/>
          <w:spacing w:val="-10"/>
        </w:rPr>
        <w:t>or</w:t>
      </w:r>
      <w:r w:rsidRPr="00597E56">
        <w:rPr>
          <w:rFonts w:ascii="Palatino Linotype" w:hAnsi="Palatino Linotype" w:cstheme="minorHAnsi"/>
          <w:i/>
        </w:rPr>
        <w:t>y</w:t>
      </w:r>
      <w:r w:rsidRPr="00597E56">
        <w:rPr>
          <w:rFonts w:ascii="Palatino Linotype" w:hAnsi="Palatino Linotype" w:cstheme="minorHAnsi"/>
          <w:i/>
          <w:spacing w:val="4"/>
        </w:rPr>
        <w:t xml:space="preserve"> </w:t>
      </w:r>
      <w:r w:rsidRPr="00597E56">
        <w:rPr>
          <w:rFonts w:ascii="Palatino Linotype" w:hAnsi="Palatino Linotype" w:cstheme="minorHAnsi"/>
          <w:i/>
          <w:spacing w:val="-9"/>
        </w:rPr>
        <w:t>o</w:t>
      </w:r>
      <w:r w:rsidRPr="00597E56">
        <w:rPr>
          <w:rFonts w:ascii="Palatino Linotype" w:hAnsi="Palatino Linotype" w:cstheme="minorHAnsi"/>
          <w:i/>
        </w:rPr>
        <w:t>f</w:t>
      </w:r>
      <w:r w:rsidRPr="00597E56">
        <w:rPr>
          <w:rFonts w:ascii="Palatino Linotype" w:hAnsi="Palatino Linotype" w:cstheme="minorHAnsi"/>
          <w:i/>
          <w:spacing w:val="-12"/>
        </w:rPr>
        <w:t xml:space="preserve"> </w:t>
      </w:r>
      <w:r w:rsidRPr="00597E56">
        <w:rPr>
          <w:rFonts w:ascii="Palatino Linotype" w:hAnsi="Palatino Linotype" w:cstheme="minorHAnsi"/>
          <w:i/>
          <w:spacing w:val="-9"/>
        </w:rPr>
        <w:t>P</w:t>
      </w:r>
      <w:r w:rsidRPr="00597E56">
        <w:rPr>
          <w:rFonts w:ascii="Palatino Linotype" w:hAnsi="Palatino Linotype" w:cstheme="minorHAnsi"/>
          <w:i/>
          <w:spacing w:val="-11"/>
        </w:rPr>
        <w:t>a</w:t>
      </w:r>
      <w:r w:rsidRPr="00597E56">
        <w:rPr>
          <w:rFonts w:ascii="Palatino Linotype" w:hAnsi="Palatino Linotype" w:cstheme="minorHAnsi"/>
          <w:i/>
          <w:spacing w:val="-10"/>
        </w:rPr>
        <w:t>pu</w:t>
      </w:r>
      <w:r w:rsidRPr="00597E56">
        <w:rPr>
          <w:rFonts w:ascii="Palatino Linotype" w:hAnsi="Palatino Linotype" w:cstheme="minorHAnsi"/>
          <w:i/>
        </w:rPr>
        <w:t xml:space="preserve">a </w:t>
      </w:r>
      <w:r w:rsidRPr="00597E56">
        <w:rPr>
          <w:rFonts w:ascii="Palatino Linotype" w:hAnsi="Palatino Linotype" w:cstheme="minorHAnsi"/>
          <w:i/>
          <w:spacing w:val="-10"/>
        </w:rPr>
        <w:t>Ne</w:t>
      </w:r>
      <w:r w:rsidRPr="00597E56">
        <w:rPr>
          <w:rFonts w:ascii="Palatino Linotype" w:hAnsi="Palatino Linotype" w:cstheme="minorHAnsi"/>
          <w:i/>
        </w:rPr>
        <w:t>w</w:t>
      </w:r>
      <w:r w:rsidRPr="00597E56">
        <w:rPr>
          <w:rFonts w:ascii="Palatino Linotype" w:hAnsi="Palatino Linotype" w:cstheme="minorHAnsi"/>
          <w:i/>
          <w:spacing w:val="-5"/>
        </w:rPr>
        <w:t xml:space="preserve"> </w:t>
      </w:r>
      <w:r w:rsidRPr="00597E56">
        <w:rPr>
          <w:rFonts w:ascii="Palatino Linotype" w:hAnsi="Palatino Linotype" w:cstheme="minorHAnsi"/>
          <w:i/>
          <w:spacing w:val="-10"/>
        </w:rPr>
        <w:t>Gu</w:t>
      </w:r>
      <w:r w:rsidRPr="00597E56">
        <w:rPr>
          <w:rFonts w:ascii="Palatino Linotype" w:hAnsi="Palatino Linotype" w:cstheme="minorHAnsi"/>
          <w:i/>
          <w:spacing w:val="-8"/>
        </w:rPr>
        <w:t>i</w:t>
      </w:r>
      <w:r w:rsidRPr="00597E56">
        <w:rPr>
          <w:rFonts w:ascii="Palatino Linotype" w:hAnsi="Palatino Linotype" w:cstheme="minorHAnsi"/>
          <w:i/>
          <w:spacing w:val="-10"/>
        </w:rPr>
        <w:t>ne</w:t>
      </w:r>
      <w:r w:rsidRPr="00597E56">
        <w:rPr>
          <w:rFonts w:ascii="Palatino Linotype" w:hAnsi="Palatino Linotype" w:cstheme="minorHAnsi"/>
          <w:i/>
        </w:rPr>
        <w:t>a</w:t>
      </w:r>
      <w:r w:rsidRPr="00597E56">
        <w:rPr>
          <w:rFonts w:ascii="Palatino Linotype" w:hAnsi="Palatino Linotype" w:cstheme="minorHAnsi"/>
          <w:spacing w:val="2"/>
        </w:rPr>
        <w:t xml:space="preserve"> </w:t>
      </w:r>
      <w:r w:rsidRPr="00597E56">
        <w:rPr>
          <w:rFonts w:ascii="Palatino Linotype" w:hAnsi="Palatino Linotype" w:cstheme="minorHAnsi"/>
          <w:spacing w:val="-10"/>
        </w:rPr>
        <w:t>(</w:t>
      </w:r>
      <w:r w:rsidRPr="00597E56">
        <w:rPr>
          <w:rFonts w:ascii="Palatino Linotype" w:hAnsi="Palatino Linotype" w:cstheme="minorHAnsi"/>
          <w:spacing w:val="-9"/>
        </w:rPr>
        <w:t>1</w:t>
      </w:r>
      <w:r w:rsidRPr="00597E56">
        <w:rPr>
          <w:rFonts w:ascii="Palatino Linotype" w:hAnsi="Palatino Linotype" w:cstheme="minorHAnsi"/>
          <w:spacing w:val="-10"/>
        </w:rPr>
        <w:t>941</w:t>
      </w:r>
      <w:r w:rsidRPr="00597E56">
        <w:rPr>
          <w:rFonts w:ascii="Palatino Linotype" w:hAnsi="Palatino Linotype" w:cstheme="minorHAnsi"/>
        </w:rPr>
        <w:t>)</w:t>
      </w:r>
      <w:r w:rsidRPr="00597E56">
        <w:rPr>
          <w:rFonts w:ascii="Palatino Linotype" w:hAnsi="Palatino Linotype" w:cstheme="minorHAnsi"/>
          <w:spacing w:val="-2"/>
        </w:rPr>
        <w:t xml:space="preserve"> </w:t>
      </w:r>
      <w:r w:rsidRPr="00597E56">
        <w:rPr>
          <w:rFonts w:ascii="Palatino Linotype" w:hAnsi="Palatino Linotype" w:cstheme="minorHAnsi"/>
          <w:spacing w:val="-9"/>
        </w:rPr>
        <w:t>6</w:t>
      </w:r>
      <w:r w:rsidRPr="00597E56">
        <w:rPr>
          <w:rFonts w:ascii="Palatino Linotype" w:hAnsi="Palatino Linotype" w:cstheme="minorHAnsi"/>
        </w:rPr>
        <w:t>7</w:t>
      </w:r>
      <w:r w:rsidRPr="00597E56">
        <w:rPr>
          <w:rFonts w:ascii="Palatino Linotype" w:hAnsi="Palatino Linotype" w:cstheme="minorHAnsi"/>
          <w:spacing w:val="-12"/>
        </w:rPr>
        <w:t xml:space="preserve"> </w:t>
      </w:r>
      <w:r w:rsidRPr="00597E56">
        <w:rPr>
          <w:rFonts w:ascii="Palatino Linotype" w:hAnsi="Palatino Linotype" w:cstheme="minorHAnsi"/>
          <w:spacing w:val="-8"/>
        </w:rPr>
        <w:t>C</w:t>
      </w:r>
      <w:r w:rsidRPr="00597E56">
        <w:rPr>
          <w:rFonts w:ascii="Palatino Linotype" w:hAnsi="Palatino Linotype" w:cstheme="minorHAnsi"/>
          <w:spacing w:val="-10"/>
        </w:rPr>
        <w:t>L</w:t>
      </w:r>
      <w:r w:rsidRPr="00597E56">
        <w:rPr>
          <w:rFonts w:ascii="Palatino Linotype" w:hAnsi="Palatino Linotype" w:cstheme="minorHAnsi"/>
        </w:rPr>
        <w:t>R</w:t>
      </w:r>
      <w:r w:rsidRPr="00597E56">
        <w:rPr>
          <w:rFonts w:ascii="Palatino Linotype" w:hAnsi="Palatino Linotype" w:cstheme="minorHAnsi"/>
          <w:spacing w:val="-4"/>
        </w:rPr>
        <w:t xml:space="preserve"> </w:t>
      </w:r>
      <w:r w:rsidRPr="00597E56">
        <w:rPr>
          <w:rFonts w:ascii="Palatino Linotype" w:hAnsi="Palatino Linotype" w:cstheme="minorHAnsi"/>
          <w:spacing w:val="-9"/>
          <w:w w:val="103"/>
        </w:rPr>
        <w:t>5</w:t>
      </w:r>
      <w:r w:rsidRPr="00597E56">
        <w:rPr>
          <w:rFonts w:ascii="Palatino Linotype" w:hAnsi="Palatino Linotype" w:cstheme="minorHAnsi"/>
          <w:spacing w:val="-10"/>
          <w:w w:val="103"/>
        </w:rPr>
        <w:t>44.</w:t>
      </w:r>
    </w:p>
    <w:p w14:paraId="36641650" w14:textId="77777777" w:rsidR="0076621B" w:rsidRPr="00597E56" w:rsidRDefault="0076621B" w:rsidP="00F1501F">
      <w:pPr>
        <w:pStyle w:val="NoSpacing"/>
        <w:jc w:val="both"/>
        <w:rPr>
          <w:rFonts w:ascii="Palatino Linotype" w:hAnsi="Palatino Linotype" w:cstheme="minorHAnsi"/>
          <w:spacing w:val="-10"/>
          <w:w w:val="103"/>
        </w:rPr>
      </w:pPr>
    </w:p>
    <w:p w14:paraId="25061C84" w14:textId="7680B6C9" w:rsidR="0076621B" w:rsidRPr="00597E56" w:rsidRDefault="0076621B" w:rsidP="00F1501F">
      <w:pPr>
        <w:pStyle w:val="NoSpacing"/>
        <w:jc w:val="both"/>
        <w:rPr>
          <w:rFonts w:ascii="Palatino Linotype" w:hAnsi="Palatino Linotype" w:cstheme="minorHAnsi"/>
          <w:spacing w:val="-10"/>
          <w:w w:val="103"/>
        </w:rPr>
      </w:pPr>
      <w:proofErr w:type="spellStart"/>
      <w:r w:rsidRPr="00597E56">
        <w:rPr>
          <w:rFonts w:ascii="Palatino Linotype" w:hAnsi="Palatino Linotype" w:cstheme="minorHAnsi"/>
          <w:i/>
        </w:rPr>
        <w:t>Goldmate</w:t>
      </w:r>
      <w:proofErr w:type="spellEnd"/>
      <w:r w:rsidRPr="00597E56">
        <w:rPr>
          <w:rFonts w:ascii="Palatino Linotype" w:hAnsi="Palatino Linotype" w:cstheme="minorHAnsi"/>
          <w:i/>
        </w:rPr>
        <w:t xml:space="preserve"> Property Luddenham No.1 Pty Ltd v Transport for New South Wales [2024] NSWCA 292</w:t>
      </w:r>
    </w:p>
    <w:p w14:paraId="7ADD9F59" w14:textId="77777777" w:rsidR="00690081" w:rsidRPr="00597E56" w:rsidRDefault="00690081" w:rsidP="00F1501F">
      <w:pPr>
        <w:pStyle w:val="NoSpacing"/>
        <w:jc w:val="both"/>
        <w:rPr>
          <w:rFonts w:ascii="Palatino Linotype" w:hAnsi="Palatino Linotype" w:cstheme="minorHAnsi"/>
          <w:spacing w:val="-10"/>
          <w:w w:val="103"/>
        </w:rPr>
      </w:pPr>
    </w:p>
    <w:p w14:paraId="23371A36" w14:textId="13F54D48" w:rsidR="00690081" w:rsidRPr="00597E56" w:rsidRDefault="00690081" w:rsidP="00F1501F">
      <w:pPr>
        <w:pStyle w:val="NoSpacing"/>
        <w:jc w:val="both"/>
        <w:rPr>
          <w:rFonts w:ascii="Palatino Linotype" w:hAnsi="Palatino Linotype" w:cstheme="minorHAnsi"/>
          <w:spacing w:val="-10"/>
          <w:w w:val="103"/>
        </w:rPr>
      </w:pPr>
      <w:r w:rsidRPr="00597E56">
        <w:rPr>
          <w:rFonts w:ascii="Palatino Linotype" w:hAnsi="Palatino Linotype" w:cstheme="minorHAnsi"/>
          <w:i/>
        </w:rPr>
        <w:t>Northern Territory of Australia v Griffiths</w:t>
      </w:r>
      <w:r w:rsidRPr="00597E56">
        <w:rPr>
          <w:rFonts w:ascii="Palatino Linotype" w:hAnsi="Palatino Linotype" w:cstheme="minorHAnsi"/>
        </w:rPr>
        <w:t xml:space="preserve"> (2017) 256 FCR 478</w:t>
      </w:r>
    </w:p>
    <w:p w14:paraId="100EC595" w14:textId="77777777" w:rsidR="00572F90" w:rsidRPr="00597E56" w:rsidRDefault="00572F90" w:rsidP="00F1501F">
      <w:pPr>
        <w:pStyle w:val="NoSpacing"/>
        <w:jc w:val="both"/>
        <w:rPr>
          <w:rFonts w:ascii="Palatino Linotype" w:hAnsi="Palatino Linotype" w:cstheme="minorHAnsi"/>
          <w:spacing w:val="-10"/>
          <w:w w:val="103"/>
        </w:rPr>
      </w:pPr>
    </w:p>
    <w:p w14:paraId="21BE8C3E" w14:textId="77777777" w:rsidR="00572F90" w:rsidRPr="00597E56" w:rsidRDefault="00572F90" w:rsidP="00F1501F">
      <w:pPr>
        <w:pStyle w:val="NoSpacing"/>
        <w:jc w:val="both"/>
        <w:rPr>
          <w:rFonts w:ascii="Palatino Linotype" w:hAnsi="Palatino Linotype" w:cstheme="minorHAnsi"/>
          <w:i/>
          <w:spacing w:val="-9"/>
          <w:w w:val="103"/>
        </w:rPr>
      </w:pPr>
      <w:r w:rsidRPr="00597E56">
        <w:rPr>
          <w:rFonts w:ascii="Palatino Linotype" w:hAnsi="Palatino Linotype" w:cstheme="minorHAnsi"/>
          <w:i/>
          <w:spacing w:val="-9"/>
          <w:w w:val="103"/>
        </w:rPr>
        <w:t xml:space="preserve">Minister Administering the Crown Lands Act v </w:t>
      </w:r>
      <w:proofErr w:type="spellStart"/>
      <w:r w:rsidRPr="00597E56">
        <w:rPr>
          <w:rFonts w:ascii="Palatino Linotype" w:hAnsi="Palatino Linotype" w:cstheme="minorHAnsi"/>
          <w:i/>
          <w:spacing w:val="-9"/>
          <w:w w:val="103"/>
        </w:rPr>
        <w:t>Deerrubbin</w:t>
      </w:r>
      <w:proofErr w:type="spellEnd"/>
      <w:r w:rsidRPr="00597E56">
        <w:rPr>
          <w:rFonts w:ascii="Palatino Linotype" w:hAnsi="Palatino Linotype" w:cstheme="minorHAnsi"/>
          <w:i/>
          <w:spacing w:val="-9"/>
          <w:w w:val="103"/>
        </w:rPr>
        <w:t xml:space="preserve"> Local Aboriginal Land Council (No.2</w:t>
      </w:r>
      <w:proofErr w:type="gramStart"/>
      <w:r w:rsidRPr="00597E56">
        <w:rPr>
          <w:rFonts w:ascii="Palatino Linotype" w:hAnsi="Palatino Linotype" w:cstheme="minorHAnsi"/>
          <w:i/>
          <w:spacing w:val="-9"/>
          <w:w w:val="103"/>
        </w:rPr>
        <w:t xml:space="preserve">)  </w:t>
      </w:r>
      <w:r w:rsidRPr="00597E56">
        <w:rPr>
          <w:rFonts w:ascii="Palatino Linotype" w:hAnsi="Palatino Linotype" w:cstheme="minorHAnsi"/>
          <w:spacing w:val="-9"/>
          <w:w w:val="103"/>
        </w:rPr>
        <w:t>[</w:t>
      </w:r>
      <w:proofErr w:type="gramEnd"/>
      <w:r w:rsidRPr="00597E56">
        <w:rPr>
          <w:rFonts w:ascii="Palatino Linotype" w:hAnsi="Palatino Linotype" w:cstheme="minorHAnsi"/>
          <w:spacing w:val="-9"/>
          <w:w w:val="103"/>
        </w:rPr>
        <w:t>2001] NSWCA 28.</w:t>
      </w:r>
    </w:p>
    <w:p w14:paraId="2616F952" w14:textId="77777777" w:rsidR="00572F90" w:rsidRPr="00597E56" w:rsidRDefault="00572F90" w:rsidP="00F1501F">
      <w:pPr>
        <w:pStyle w:val="NoSpacing"/>
        <w:jc w:val="both"/>
        <w:rPr>
          <w:rFonts w:ascii="Palatino Linotype" w:hAnsi="Palatino Linotype" w:cstheme="minorHAnsi"/>
        </w:rPr>
      </w:pPr>
    </w:p>
    <w:p w14:paraId="5A678D9D" w14:textId="77777777" w:rsidR="00572F90" w:rsidRPr="00597E56" w:rsidRDefault="00572F90" w:rsidP="00F1501F">
      <w:pPr>
        <w:pStyle w:val="NoSpacing"/>
        <w:jc w:val="both"/>
        <w:rPr>
          <w:rFonts w:ascii="Palatino Linotype" w:hAnsi="Palatino Linotype" w:cstheme="minorHAnsi"/>
          <w:w w:val="103"/>
        </w:rPr>
      </w:pPr>
      <w:r w:rsidRPr="00597E56">
        <w:rPr>
          <w:rFonts w:ascii="Palatino Linotype" w:hAnsi="Palatino Linotype" w:cstheme="minorHAnsi"/>
          <w:i/>
        </w:rPr>
        <w:t>(R</w:t>
      </w:r>
      <w:r w:rsidRPr="00597E56">
        <w:rPr>
          <w:rFonts w:ascii="Palatino Linotype" w:hAnsi="Palatino Linotype" w:cstheme="minorHAnsi"/>
          <w:i/>
          <w:spacing w:val="-1"/>
        </w:rPr>
        <w:t>a</w:t>
      </w:r>
      <w:r w:rsidRPr="00597E56">
        <w:rPr>
          <w:rFonts w:ascii="Palatino Linotype" w:hAnsi="Palatino Linotype" w:cstheme="minorHAnsi"/>
          <w:i/>
        </w:rPr>
        <w:t>ja’s</w:t>
      </w:r>
      <w:r w:rsidRPr="00597E56">
        <w:rPr>
          <w:rFonts w:ascii="Palatino Linotype" w:hAnsi="Palatino Linotype" w:cstheme="minorHAnsi"/>
          <w:i/>
          <w:spacing w:val="20"/>
        </w:rPr>
        <w:t xml:space="preserve"> </w:t>
      </w:r>
      <w:r w:rsidRPr="00597E56">
        <w:rPr>
          <w:rFonts w:ascii="Palatino Linotype" w:hAnsi="Palatino Linotype" w:cstheme="minorHAnsi"/>
          <w:i/>
          <w:spacing w:val="2"/>
        </w:rPr>
        <w:t>c</w:t>
      </w:r>
      <w:r w:rsidRPr="00597E56">
        <w:rPr>
          <w:rFonts w:ascii="Palatino Linotype" w:hAnsi="Palatino Linotype" w:cstheme="minorHAnsi"/>
          <w:i/>
          <w:spacing w:val="-1"/>
        </w:rPr>
        <w:t>a</w:t>
      </w:r>
      <w:r w:rsidRPr="00597E56">
        <w:rPr>
          <w:rFonts w:ascii="Palatino Linotype" w:hAnsi="Palatino Linotype" w:cstheme="minorHAnsi"/>
          <w:i/>
        </w:rPr>
        <w:t>se)</w:t>
      </w:r>
      <w:r w:rsidRPr="00597E56">
        <w:rPr>
          <w:rFonts w:ascii="Palatino Linotype" w:hAnsi="Palatino Linotype" w:cstheme="minorHAnsi"/>
          <w:i/>
          <w:spacing w:val="16"/>
        </w:rPr>
        <w:t xml:space="preserve"> </w:t>
      </w:r>
      <w:r w:rsidRPr="00597E56">
        <w:rPr>
          <w:rFonts w:ascii="Palatino Linotype" w:hAnsi="Palatino Linotype" w:cstheme="minorHAnsi"/>
          <w:i/>
        </w:rPr>
        <w:t>Raja</w:t>
      </w:r>
      <w:r w:rsidRPr="00597E56">
        <w:rPr>
          <w:rFonts w:ascii="Palatino Linotype" w:hAnsi="Palatino Linotype" w:cstheme="minorHAnsi"/>
          <w:i/>
          <w:spacing w:val="13"/>
        </w:rPr>
        <w:t xml:space="preserve"> </w:t>
      </w:r>
      <w:proofErr w:type="spellStart"/>
      <w:r w:rsidRPr="00597E56">
        <w:rPr>
          <w:rFonts w:ascii="Palatino Linotype" w:hAnsi="Palatino Linotype" w:cstheme="minorHAnsi"/>
          <w:i/>
        </w:rPr>
        <w:t>Vyricherla</w:t>
      </w:r>
      <w:proofErr w:type="spellEnd"/>
      <w:r w:rsidRPr="00597E56">
        <w:rPr>
          <w:rFonts w:ascii="Palatino Linotype" w:hAnsi="Palatino Linotype" w:cstheme="minorHAnsi"/>
          <w:i/>
          <w:spacing w:val="28"/>
        </w:rPr>
        <w:t xml:space="preserve"> </w:t>
      </w:r>
      <w:r w:rsidRPr="00597E56">
        <w:rPr>
          <w:rFonts w:ascii="Palatino Linotype" w:hAnsi="Palatino Linotype" w:cstheme="minorHAnsi"/>
          <w:i/>
        </w:rPr>
        <w:t>Nar</w:t>
      </w:r>
      <w:r w:rsidRPr="00597E56">
        <w:rPr>
          <w:rFonts w:ascii="Palatino Linotype" w:hAnsi="Palatino Linotype" w:cstheme="minorHAnsi"/>
          <w:i/>
          <w:spacing w:val="-1"/>
        </w:rPr>
        <w:t>a</w:t>
      </w:r>
      <w:r w:rsidRPr="00597E56">
        <w:rPr>
          <w:rFonts w:ascii="Palatino Linotype" w:hAnsi="Palatino Linotype" w:cstheme="minorHAnsi"/>
          <w:i/>
        </w:rPr>
        <w:t>yana</w:t>
      </w:r>
      <w:r w:rsidRPr="00597E56">
        <w:rPr>
          <w:rFonts w:ascii="Palatino Linotype" w:hAnsi="Palatino Linotype" w:cstheme="minorHAnsi"/>
          <w:i/>
          <w:spacing w:val="26"/>
        </w:rPr>
        <w:t xml:space="preserve"> </w:t>
      </w:r>
      <w:proofErr w:type="spellStart"/>
      <w:r w:rsidRPr="00597E56">
        <w:rPr>
          <w:rFonts w:ascii="Palatino Linotype" w:hAnsi="Palatino Linotype" w:cstheme="minorHAnsi"/>
          <w:i/>
        </w:rPr>
        <w:t>G</w:t>
      </w:r>
      <w:r w:rsidRPr="00597E56">
        <w:rPr>
          <w:rFonts w:ascii="Palatino Linotype" w:hAnsi="Palatino Linotype" w:cstheme="minorHAnsi"/>
          <w:i/>
          <w:spacing w:val="-1"/>
        </w:rPr>
        <w:t>a</w:t>
      </w:r>
      <w:r w:rsidRPr="00597E56">
        <w:rPr>
          <w:rFonts w:ascii="Palatino Linotype" w:hAnsi="Palatino Linotype" w:cstheme="minorHAnsi"/>
          <w:i/>
        </w:rPr>
        <w:t>jap</w:t>
      </w:r>
      <w:r w:rsidRPr="00597E56">
        <w:rPr>
          <w:rFonts w:ascii="Palatino Linotype" w:hAnsi="Palatino Linotype" w:cstheme="minorHAnsi"/>
          <w:i/>
          <w:spacing w:val="-3"/>
        </w:rPr>
        <w:t>a</w:t>
      </w:r>
      <w:r w:rsidRPr="00597E56">
        <w:rPr>
          <w:rFonts w:ascii="Palatino Linotype" w:hAnsi="Palatino Linotype" w:cstheme="minorHAnsi"/>
          <w:i/>
        </w:rPr>
        <w:t>tir</w:t>
      </w:r>
      <w:r w:rsidRPr="00597E56">
        <w:rPr>
          <w:rFonts w:ascii="Palatino Linotype" w:hAnsi="Palatino Linotype" w:cstheme="minorHAnsi"/>
          <w:i/>
          <w:spacing w:val="-1"/>
        </w:rPr>
        <w:t>a</w:t>
      </w:r>
      <w:r w:rsidRPr="00597E56">
        <w:rPr>
          <w:rFonts w:ascii="Palatino Linotype" w:hAnsi="Palatino Linotype" w:cstheme="minorHAnsi"/>
          <w:i/>
        </w:rPr>
        <w:t>ju</w:t>
      </w:r>
      <w:proofErr w:type="spellEnd"/>
      <w:r w:rsidRPr="00597E56">
        <w:rPr>
          <w:rFonts w:ascii="Palatino Linotype" w:hAnsi="Palatino Linotype" w:cstheme="minorHAnsi"/>
          <w:i/>
          <w:spacing w:val="33"/>
        </w:rPr>
        <w:t xml:space="preserve"> </w:t>
      </w:r>
      <w:r w:rsidRPr="00597E56">
        <w:rPr>
          <w:rFonts w:ascii="Palatino Linotype" w:hAnsi="Palatino Linotype" w:cstheme="minorHAnsi"/>
          <w:i/>
        </w:rPr>
        <w:t>v</w:t>
      </w:r>
      <w:r w:rsidRPr="00597E56">
        <w:rPr>
          <w:rFonts w:ascii="Palatino Linotype" w:hAnsi="Palatino Linotype" w:cstheme="minorHAnsi"/>
          <w:i/>
          <w:spacing w:val="6"/>
        </w:rPr>
        <w:t xml:space="preserve"> </w:t>
      </w:r>
      <w:r w:rsidRPr="00597E56">
        <w:rPr>
          <w:rFonts w:ascii="Palatino Linotype" w:hAnsi="Palatino Linotype" w:cstheme="minorHAnsi"/>
          <w:i/>
        </w:rPr>
        <w:t>Rev</w:t>
      </w:r>
      <w:r w:rsidRPr="00597E56">
        <w:rPr>
          <w:rFonts w:ascii="Palatino Linotype" w:hAnsi="Palatino Linotype" w:cstheme="minorHAnsi"/>
          <w:i/>
          <w:spacing w:val="2"/>
        </w:rPr>
        <w:t>e</w:t>
      </w:r>
      <w:r w:rsidRPr="00597E56">
        <w:rPr>
          <w:rFonts w:ascii="Palatino Linotype" w:hAnsi="Palatino Linotype" w:cstheme="minorHAnsi"/>
          <w:i/>
          <w:spacing w:val="-1"/>
        </w:rPr>
        <w:t>n</w:t>
      </w:r>
      <w:r w:rsidRPr="00597E56">
        <w:rPr>
          <w:rFonts w:ascii="Palatino Linotype" w:hAnsi="Palatino Linotype" w:cstheme="minorHAnsi"/>
          <w:i/>
          <w:spacing w:val="1"/>
        </w:rPr>
        <w:t>u</w:t>
      </w:r>
      <w:r w:rsidRPr="00597E56">
        <w:rPr>
          <w:rFonts w:ascii="Palatino Linotype" w:hAnsi="Palatino Linotype" w:cstheme="minorHAnsi"/>
          <w:i/>
        </w:rPr>
        <w:t>e</w:t>
      </w:r>
      <w:r w:rsidRPr="00597E56">
        <w:rPr>
          <w:rFonts w:ascii="Palatino Linotype" w:hAnsi="Palatino Linotype" w:cstheme="minorHAnsi"/>
          <w:i/>
          <w:spacing w:val="22"/>
        </w:rPr>
        <w:t xml:space="preserve"> </w:t>
      </w:r>
      <w:r w:rsidRPr="00597E56">
        <w:rPr>
          <w:rFonts w:ascii="Palatino Linotype" w:hAnsi="Palatino Linotype" w:cstheme="minorHAnsi"/>
          <w:i/>
        </w:rPr>
        <w:t>D</w:t>
      </w:r>
      <w:r w:rsidRPr="00597E56">
        <w:rPr>
          <w:rFonts w:ascii="Palatino Linotype" w:hAnsi="Palatino Linotype" w:cstheme="minorHAnsi"/>
          <w:i/>
          <w:spacing w:val="1"/>
        </w:rPr>
        <w:t>i</w:t>
      </w:r>
      <w:r w:rsidRPr="00597E56">
        <w:rPr>
          <w:rFonts w:ascii="Palatino Linotype" w:hAnsi="Palatino Linotype" w:cstheme="minorHAnsi"/>
          <w:i/>
        </w:rPr>
        <w:t>vi</w:t>
      </w:r>
      <w:r w:rsidRPr="00597E56">
        <w:rPr>
          <w:rFonts w:ascii="Palatino Linotype" w:hAnsi="Palatino Linotype" w:cstheme="minorHAnsi"/>
          <w:i/>
          <w:spacing w:val="-1"/>
        </w:rPr>
        <w:t>s</w:t>
      </w:r>
      <w:r w:rsidRPr="00597E56">
        <w:rPr>
          <w:rFonts w:ascii="Palatino Linotype" w:hAnsi="Palatino Linotype" w:cstheme="minorHAnsi"/>
          <w:i/>
        </w:rPr>
        <w:t>i</w:t>
      </w:r>
      <w:r w:rsidRPr="00597E56">
        <w:rPr>
          <w:rFonts w:ascii="Palatino Linotype" w:hAnsi="Palatino Linotype" w:cstheme="minorHAnsi"/>
          <w:i/>
          <w:spacing w:val="1"/>
        </w:rPr>
        <w:t>o</w:t>
      </w:r>
      <w:r w:rsidRPr="00597E56">
        <w:rPr>
          <w:rFonts w:ascii="Palatino Linotype" w:hAnsi="Palatino Linotype" w:cstheme="minorHAnsi"/>
          <w:i/>
        </w:rPr>
        <w:t>nal</w:t>
      </w:r>
      <w:r w:rsidRPr="00597E56">
        <w:rPr>
          <w:rFonts w:ascii="Palatino Linotype" w:hAnsi="Palatino Linotype" w:cstheme="minorHAnsi"/>
          <w:i/>
          <w:spacing w:val="27"/>
        </w:rPr>
        <w:t xml:space="preserve"> </w:t>
      </w:r>
      <w:r w:rsidRPr="00597E56">
        <w:rPr>
          <w:rFonts w:ascii="Palatino Linotype" w:hAnsi="Palatino Linotype" w:cstheme="minorHAnsi"/>
          <w:i/>
        </w:rPr>
        <w:t>Offi</w:t>
      </w:r>
      <w:r w:rsidRPr="00597E56">
        <w:rPr>
          <w:rFonts w:ascii="Palatino Linotype" w:hAnsi="Palatino Linotype" w:cstheme="minorHAnsi"/>
          <w:i/>
          <w:spacing w:val="2"/>
        </w:rPr>
        <w:t>c</w:t>
      </w:r>
      <w:r w:rsidRPr="00597E56">
        <w:rPr>
          <w:rFonts w:ascii="Palatino Linotype" w:hAnsi="Palatino Linotype" w:cstheme="minorHAnsi"/>
          <w:i/>
        </w:rPr>
        <w:t>er,</w:t>
      </w:r>
      <w:r w:rsidRPr="00597E56">
        <w:rPr>
          <w:rFonts w:ascii="Palatino Linotype" w:hAnsi="Palatino Linotype" w:cstheme="minorHAnsi"/>
          <w:i/>
          <w:spacing w:val="20"/>
        </w:rPr>
        <w:t xml:space="preserve"> </w:t>
      </w:r>
      <w:r w:rsidRPr="00597E56">
        <w:rPr>
          <w:rFonts w:ascii="Palatino Linotype" w:hAnsi="Palatino Linotype" w:cstheme="minorHAnsi"/>
          <w:i/>
        </w:rPr>
        <w:t>V</w:t>
      </w:r>
      <w:r w:rsidRPr="00597E56">
        <w:rPr>
          <w:rFonts w:ascii="Palatino Linotype" w:hAnsi="Palatino Linotype" w:cstheme="minorHAnsi"/>
          <w:i/>
          <w:spacing w:val="-1"/>
        </w:rPr>
        <w:t>i</w:t>
      </w:r>
      <w:r w:rsidRPr="00597E56">
        <w:rPr>
          <w:rFonts w:ascii="Palatino Linotype" w:hAnsi="Palatino Linotype" w:cstheme="minorHAnsi"/>
          <w:i/>
        </w:rPr>
        <w:t>zagap</w:t>
      </w:r>
      <w:r w:rsidRPr="00597E56">
        <w:rPr>
          <w:rFonts w:ascii="Palatino Linotype" w:hAnsi="Palatino Linotype" w:cstheme="minorHAnsi"/>
          <w:i/>
          <w:spacing w:val="-1"/>
        </w:rPr>
        <w:t>a</w:t>
      </w:r>
      <w:r w:rsidRPr="00597E56">
        <w:rPr>
          <w:rFonts w:ascii="Palatino Linotype" w:hAnsi="Palatino Linotype" w:cstheme="minorHAnsi"/>
          <w:i/>
          <w:spacing w:val="1"/>
        </w:rPr>
        <w:t>t</w:t>
      </w:r>
      <w:r w:rsidRPr="00597E56">
        <w:rPr>
          <w:rFonts w:ascii="Palatino Linotype" w:hAnsi="Palatino Linotype" w:cstheme="minorHAnsi"/>
          <w:i/>
        </w:rPr>
        <w:t>am</w:t>
      </w:r>
      <w:r w:rsidRPr="00597E56">
        <w:rPr>
          <w:rFonts w:ascii="Palatino Linotype" w:hAnsi="Palatino Linotype" w:cstheme="minorHAnsi"/>
        </w:rPr>
        <w:t xml:space="preserve"> </w:t>
      </w:r>
      <w:r w:rsidRPr="00597E56">
        <w:rPr>
          <w:rFonts w:ascii="Palatino Linotype" w:hAnsi="Palatino Linotype" w:cstheme="minorHAnsi"/>
          <w:spacing w:val="2"/>
          <w:w w:val="103"/>
        </w:rPr>
        <w:t>[</w:t>
      </w:r>
      <w:r w:rsidRPr="00597E56">
        <w:rPr>
          <w:rFonts w:ascii="Palatino Linotype" w:hAnsi="Palatino Linotype" w:cstheme="minorHAnsi"/>
          <w:spacing w:val="-1"/>
          <w:w w:val="103"/>
        </w:rPr>
        <w:t>1</w:t>
      </w:r>
      <w:r w:rsidRPr="00597E56">
        <w:rPr>
          <w:rFonts w:ascii="Palatino Linotype" w:hAnsi="Palatino Linotype" w:cstheme="minorHAnsi"/>
          <w:spacing w:val="1"/>
          <w:w w:val="103"/>
        </w:rPr>
        <w:t>9</w:t>
      </w:r>
      <w:r w:rsidRPr="00597E56">
        <w:rPr>
          <w:rFonts w:ascii="Palatino Linotype" w:hAnsi="Palatino Linotype" w:cstheme="minorHAnsi"/>
          <w:w w:val="103"/>
        </w:rPr>
        <w:t xml:space="preserve">39] </w:t>
      </w:r>
      <w:r w:rsidRPr="00597E56">
        <w:rPr>
          <w:rFonts w:ascii="Palatino Linotype" w:hAnsi="Palatino Linotype" w:cstheme="minorHAnsi"/>
        </w:rPr>
        <w:t>AC</w:t>
      </w:r>
      <w:r w:rsidRPr="00597E56">
        <w:rPr>
          <w:rFonts w:ascii="Palatino Linotype" w:hAnsi="Palatino Linotype" w:cstheme="minorHAnsi"/>
          <w:spacing w:val="10"/>
        </w:rPr>
        <w:t xml:space="preserve"> </w:t>
      </w:r>
      <w:r w:rsidRPr="00597E56">
        <w:rPr>
          <w:rFonts w:ascii="Palatino Linotype" w:hAnsi="Palatino Linotype" w:cstheme="minorHAnsi"/>
          <w:spacing w:val="1"/>
          <w:w w:val="103"/>
        </w:rPr>
        <w:t>3</w:t>
      </w:r>
      <w:r w:rsidRPr="00597E56">
        <w:rPr>
          <w:rFonts w:ascii="Palatino Linotype" w:hAnsi="Palatino Linotype" w:cstheme="minorHAnsi"/>
          <w:w w:val="103"/>
        </w:rPr>
        <w:t>02.</w:t>
      </w:r>
    </w:p>
    <w:p w14:paraId="51B09D2C" w14:textId="77777777" w:rsidR="00572F90" w:rsidRPr="00597E56" w:rsidRDefault="00572F90" w:rsidP="00F1501F">
      <w:pPr>
        <w:pStyle w:val="NoSpacing"/>
        <w:jc w:val="both"/>
        <w:rPr>
          <w:rFonts w:ascii="Palatino Linotype" w:hAnsi="Palatino Linotype" w:cstheme="minorHAnsi"/>
        </w:rPr>
      </w:pPr>
      <w:r w:rsidRPr="00597E56">
        <w:rPr>
          <w:rFonts w:ascii="Palatino Linotype" w:hAnsi="Palatino Linotype" w:cstheme="minorHAnsi"/>
        </w:rPr>
        <w:t xml:space="preserve"> </w:t>
      </w:r>
    </w:p>
    <w:p w14:paraId="7F8A725A" w14:textId="77777777" w:rsidR="00572F90" w:rsidRPr="00597E56" w:rsidRDefault="00572F90" w:rsidP="00F1501F">
      <w:pPr>
        <w:pStyle w:val="NoSpacing"/>
        <w:jc w:val="both"/>
        <w:rPr>
          <w:rFonts w:ascii="Palatino Linotype" w:hAnsi="Palatino Linotype" w:cstheme="minorHAnsi"/>
          <w:spacing w:val="-10"/>
          <w:w w:val="103"/>
        </w:rPr>
      </w:pPr>
      <w:r w:rsidRPr="00597E56">
        <w:rPr>
          <w:rFonts w:ascii="Palatino Linotype" w:hAnsi="Palatino Linotype" w:cstheme="minorHAnsi"/>
          <w:i/>
          <w:spacing w:val="-9"/>
        </w:rPr>
        <w:t>Spence</w:t>
      </w:r>
      <w:r w:rsidRPr="00597E56">
        <w:rPr>
          <w:rFonts w:ascii="Palatino Linotype" w:hAnsi="Palatino Linotype" w:cstheme="minorHAnsi"/>
          <w:i/>
        </w:rPr>
        <w:t>r</w:t>
      </w:r>
      <w:r w:rsidRPr="00597E56">
        <w:rPr>
          <w:rFonts w:ascii="Palatino Linotype" w:hAnsi="Palatino Linotype" w:cstheme="minorHAnsi"/>
          <w:i/>
          <w:spacing w:val="3"/>
        </w:rPr>
        <w:t xml:space="preserve"> </w:t>
      </w:r>
      <w:r w:rsidRPr="00597E56">
        <w:rPr>
          <w:rFonts w:ascii="Palatino Linotype" w:hAnsi="Palatino Linotype" w:cstheme="minorHAnsi"/>
          <w:i/>
        </w:rPr>
        <w:t>v</w:t>
      </w:r>
      <w:r w:rsidRPr="00597E56">
        <w:rPr>
          <w:rFonts w:ascii="Palatino Linotype" w:hAnsi="Palatino Linotype" w:cstheme="minorHAnsi"/>
          <w:i/>
          <w:spacing w:val="-13"/>
        </w:rPr>
        <w:t xml:space="preserve"> </w:t>
      </w:r>
      <w:r w:rsidRPr="00597E56">
        <w:rPr>
          <w:rFonts w:ascii="Palatino Linotype" w:hAnsi="Palatino Linotype" w:cstheme="minorHAnsi"/>
          <w:i/>
          <w:spacing w:val="-9"/>
        </w:rPr>
        <w:t>Th</w:t>
      </w:r>
      <w:r w:rsidRPr="00597E56">
        <w:rPr>
          <w:rFonts w:ascii="Palatino Linotype" w:hAnsi="Palatino Linotype" w:cstheme="minorHAnsi"/>
          <w:i/>
        </w:rPr>
        <w:t>e</w:t>
      </w:r>
      <w:r w:rsidRPr="00597E56">
        <w:rPr>
          <w:rFonts w:ascii="Palatino Linotype" w:hAnsi="Palatino Linotype" w:cstheme="minorHAnsi"/>
          <w:i/>
          <w:spacing w:val="-7"/>
        </w:rPr>
        <w:t xml:space="preserve"> </w:t>
      </w:r>
      <w:r w:rsidRPr="00597E56">
        <w:rPr>
          <w:rFonts w:ascii="Palatino Linotype" w:hAnsi="Palatino Linotype" w:cstheme="minorHAnsi"/>
          <w:i/>
          <w:spacing w:val="-9"/>
        </w:rPr>
        <w:t>Commonweal</w:t>
      </w:r>
      <w:r w:rsidRPr="00597E56">
        <w:rPr>
          <w:rFonts w:ascii="Palatino Linotype" w:hAnsi="Palatino Linotype" w:cstheme="minorHAnsi"/>
          <w:i/>
          <w:spacing w:val="-7"/>
        </w:rPr>
        <w:t>t</w:t>
      </w:r>
      <w:r w:rsidRPr="00597E56">
        <w:rPr>
          <w:rFonts w:ascii="Palatino Linotype" w:hAnsi="Palatino Linotype" w:cstheme="minorHAnsi"/>
          <w:i/>
        </w:rPr>
        <w:t>h</w:t>
      </w:r>
      <w:r w:rsidRPr="00597E56">
        <w:rPr>
          <w:rFonts w:ascii="Palatino Linotype" w:hAnsi="Palatino Linotype" w:cstheme="minorHAnsi"/>
        </w:rPr>
        <w:t xml:space="preserve"> </w:t>
      </w:r>
      <w:r w:rsidRPr="00597E56">
        <w:rPr>
          <w:rFonts w:ascii="Palatino Linotype" w:hAnsi="Palatino Linotype" w:cstheme="minorHAnsi"/>
          <w:spacing w:val="14"/>
        </w:rPr>
        <w:t>(</w:t>
      </w:r>
      <w:r w:rsidRPr="00597E56">
        <w:rPr>
          <w:rFonts w:ascii="Palatino Linotype" w:hAnsi="Palatino Linotype" w:cstheme="minorHAnsi"/>
          <w:spacing w:val="-10"/>
        </w:rPr>
        <w:t>1907</w:t>
      </w:r>
      <w:r w:rsidRPr="00597E56">
        <w:rPr>
          <w:rFonts w:ascii="Palatino Linotype" w:hAnsi="Palatino Linotype" w:cstheme="minorHAnsi"/>
        </w:rPr>
        <w:t>) 5</w:t>
      </w:r>
      <w:r w:rsidRPr="00597E56">
        <w:rPr>
          <w:rFonts w:ascii="Palatino Linotype" w:hAnsi="Palatino Linotype" w:cstheme="minorHAnsi"/>
          <w:spacing w:val="-13"/>
        </w:rPr>
        <w:t xml:space="preserve"> </w:t>
      </w:r>
      <w:r w:rsidRPr="00597E56">
        <w:rPr>
          <w:rFonts w:ascii="Palatino Linotype" w:hAnsi="Palatino Linotype" w:cstheme="minorHAnsi"/>
          <w:spacing w:val="-10"/>
        </w:rPr>
        <w:t>CL</w:t>
      </w:r>
      <w:r w:rsidRPr="00597E56">
        <w:rPr>
          <w:rFonts w:ascii="Palatino Linotype" w:hAnsi="Palatino Linotype" w:cstheme="minorHAnsi"/>
        </w:rPr>
        <w:t>R</w:t>
      </w:r>
      <w:r w:rsidRPr="00597E56">
        <w:rPr>
          <w:rFonts w:ascii="Palatino Linotype" w:hAnsi="Palatino Linotype" w:cstheme="minorHAnsi"/>
          <w:spacing w:val="-4"/>
        </w:rPr>
        <w:t xml:space="preserve"> </w:t>
      </w:r>
      <w:r w:rsidRPr="00597E56">
        <w:rPr>
          <w:rFonts w:ascii="Palatino Linotype" w:hAnsi="Palatino Linotype" w:cstheme="minorHAnsi"/>
          <w:spacing w:val="-10"/>
          <w:w w:val="103"/>
        </w:rPr>
        <w:t>418.</w:t>
      </w:r>
    </w:p>
    <w:p w14:paraId="4EBA797A" w14:textId="77777777" w:rsidR="00010071" w:rsidRPr="00597E56" w:rsidRDefault="00010071" w:rsidP="00F1501F">
      <w:pPr>
        <w:pStyle w:val="NoSpacing"/>
        <w:jc w:val="both"/>
        <w:rPr>
          <w:rFonts w:ascii="Palatino Linotype" w:hAnsi="Palatino Linotype" w:cstheme="minorHAnsi"/>
          <w:spacing w:val="-10"/>
          <w:w w:val="103"/>
        </w:rPr>
      </w:pPr>
    </w:p>
    <w:p w14:paraId="704EAA7F" w14:textId="2AB247AD" w:rsidR="00010071" w:rsidRPr="00597E56" w:rsidRDefault="000A0DBF" w:rsidP="00F1501F">
      <w:pPr>
        <w:pStyle w:val="NoSpacing"/>
        <w:jc w:val="both"/>
        <w:rPr>
          <w:rFonts w:ascii="Palatino Linotype" w:hAnsi="Palatino Linotype" w:cstheme="minorHAnsi"/>
          <w:spacing w:val="-10"/>
          <w:w w:val="103"/>
        </w:rPr>
      </w:pPr>
      <w:r w:rsidRPr="00597E56">
        <w:rPr>
          <w:rFonts w:ascii="Palatino Linotype" w:hAnsi="Palatino Linotype" w:cstheme="minorHAnsi"/>
          <w:spacing w:val="-10"/>
          <w:w w:val="103"/>
        </w:rPr>
        <w:br w:type="column"/>
      </w:r>
      <w:r w:rsidR="00010071" w:rsidRPr="00597E56">
        <w:rPr>
          <w:rFonts w:ascii="Palatino Linotype" w:hAnsi="Palatino Linotype" w:cstheme="minorHAnsi"/>
          <w:b/>
          <w:sz w:val="24"/>
          <w:szCs w:val="24"/>
        </w:rPr>
        <w:lastRenderedPageBreak/>
        <w:t>References</w:t>
      </w:r>
    </w:p>
    <w:p w14:paraId="62793330" w14:textId="77777777" w:rsidR="00FA6894" w:rsidRPr="00597E56" w:rsidRDefault="00FA6894" w:rsidP="00F1501F">
      <w:pPr>
        <w:pStyle w:val="NoSpacing"/>
        <w:jc w:val="both"/>
        <w:rPr>
          <w:rFonts w:ascii="Palatino Linotype" w:hAnsi="Palatino Linotype" w:cstheme="minorHAnsi"/>
          <w:bCs/>
        </w:rPr>
      </w:pPr>
    </w:p>
    <w:p w14:paraId="17FDCC59" w14:textId="571A6B9E" w:rsidR="000014CD" w:rsidRPr="00597E56" w:rsidRDefault="000014CD" w:rsidP="00F1501F">
      <w:pPr>
        <w:pStyle w:val="NoSpacing"/>
        <w:jc w:val="both"/>
        <w:rPr>
          <w:rFonts w:ascii="Palatino Linotype" w:hAnsi="Palatino Linotype" w:cstheme="minorHAnsi"/>
          <w:bCs/>
        </w:rPr>
      </w:pPr>
      <w:r w:rsidRPr="00597E56">
        <w:rPr>
          <w:rFonts w:ascii="Palatino Linotype" w:hAnsi="Palatino Linotype" w:cstheme="minorHAnsi"/>
          <w:bCs/>
        </w:rPr>
        <w:t xml:space="preserve">AIATSIS, </w:t>
      </w:r>
      <w:r w:rsidRPr="00597E56">
        <w:rPr>
          <w:rFonts w:ascii="Palatino Linotype" w:hAnsi="Palatino Linotype" w:cstheme="minorHAnsi"/>
          <w:bCs/>
          <w:i/>
          <w:iCs/>
        </w:rPr>
        <w:t xml:space="preserve">Submission to A Way </w:t>
      </w:r>
      <w:proofErr w:type="gramStart"/>
      <w:r w:rsidRPr="00597E56">
        <w:rPr>
          <w:rFonts w:ascii="Palatino Linotype" w:hAnsi="Palatino Linotype" w:cstheme="minorHAnsi"/>
          <w:bCs/>
          <w:i/>
          <w:iCs/>
        </w:rPr>
        <w:t>Forward :</w:t>
      </w:r>
      <w:proofErr w:type="gramEnd"/>
      <w:r w:rsidRPr="00597E56">
        <w:rPr>
          <w:rFonts w:ascii="Palatino Linotype" w:hAnsi="Palatino Linotype" w:cstheme="minorHAnsi"/>
          <w:bCs/>
          <w:i/>
          <w:iCs/>
        </w:rPr>
        <w:t xml:space="preserve"> Inquiry into the destruction of </w:t>
      </w:r>
      <w:proofErr w:type="gramStart"/>
      <w:r w:rsidRPr="00597E56">
        <w:rPr>
          <w:rFonts w:ascii="Palatino Linotype" w:hAnsi="Palatino Linotype" w:cstheme="minorHAnsi"/>
          <w:bCs/>
          <w:i/>
          <w:iCs/>
        </w:rPr>
        <w:t>46,000 year old</w:t>
      </w:r>
      <w:proofErr w:type="gramEnd"/>
      <w:r w:rsidRPr="00597E56">
        <w:rPr>
          <w:rFonts w:ascii="Palatino Linotype" w:hAnsi="Palatino Linotype" w:cstheme="minorHAnsi"/>
          <w:bCs/>
          <w:i/>
          <w:iCs/>
        </w:rPr>
        <w:t xml:space="preserve"> caves at the </w:t>
      </w:r>
      <w:proofErr w:type="spellStart"/>
      <w:r w:rsidRPr="00597E56">
        <w:rPr>
          <w:rFonts w:ascii="Palatino Linotype" w:hAnsi="Palatino Linotype" w:cstheme="minorHAnsi"/>
          <w:bCs/>
          <w:i/>
          <w:iCs/>
        </w:rPr>
        <w:t>Juukan</w:t>
      </w:r>
      <w:proofErr w:type="spellEnd"/>
      <w:r w:rsidRPr="00597E56">
        <w:rPr>
          <w:rFonts w:ascii="Palatino Linotype" w:hAnsi="Palatino Linotype" w:cstheme="minorHAnsi"/>
          <w:bCs/>
          <w:i/>
          <w:iCs/>
        </w:rPr>
        <w:t xml:space="preserve"> Gorge in the Pilbara region of Western Australia 57.1A</w:t>
      </w:r>
      <w:r w:rsidRPr="00597E56">
        <w:rPr>
          <w:rFonts w:ascii="Palatino Linotype" w:hAnsi="Palatino Linotype" w:cstheme="minorHAnsi"/>
          <w:bCs/>
        </w:rPr>
        <w:t>, p. 259</w:t>
      </w:r>
    </w:p>
    <w:p w14:paraId="3AAA49F1" w14:textId="77777777" w:rsidR="000014CD" w:rsidRPr="00597E56" w:rsidRDefault="000014CD" w:rsidP="00F1501F">
      <w:pPr>
        <w:pStyle w:val="NoSpacing"/>
        <w:jc w:val="both"/>
        <w:rPr>
          <w:rFonts w:ascii="Palatino Linotype" w:hAnsi="Palatino Linotype" w:cstheme="minorHAnsi"/>
          <w:bCs/>
        </w:rPr>
      </w:pPr>
    </w:p>
    <w:p w14:paraId="71FD8E0B" w14:textId="32B25813" w:rsidR="002377AD" w:rsidRPr="00597E56" w:rsidRDefault="002377AD" w:rsidP="00F1501F">
      <w:pPr>
        <w:pStyle w:val="NoSpacing"/>
        <w:jc w:val="both"/>
        <w:rPr>
          <w:rFonts w:ascii="Palatino Linotype" w:hAnsi="Palatino Linotype" w:cstheme="minorHAnsi"/>
          <w:bCs/>
        </w:rPr>
      </w:pPr>
      <w:r w:rsidRPr="00597E56">
        <w:rPr>
          <w:rFonts w:ascii="Palatino Linotype" w:hAnsi="Palatino Linotype" w:cstheme="minorHAnsi"/>
          <w:bCs/>
        </w:rPr>
        <w:t xml:space="preserve">Altman, J. (1996) Aboriginal Economic Development and Land Rights in the Northern Territory: Past Performance, Current Issues and Strategic Options. In </w:t>
      </w:r>
      <w:r w:rsidRPr="00597E56">
        <w:rPr>
          <w:rFonts w:ascii="Palatino Linotype" w:hAnsi="Palatino Linotype" w:cstheme="minorHAnsi"/>
          <w:bCs/>
          <w:i/>
        </w:rPr>
        <w:t xml:space="preserve">Land Rights-Past, Present and Future: Conference Papers. </w:t>
      </w:r>
      <w:r w:rsidRPr="00597E56">
        <w:rPr>
          <w:rFonts w:ascii="Palatino Linotype" w:hAnsi="Palatino Linotype" w:cstheme="minorHAnsi"/>
          <w:bCs/>
        </w:rPr>
        <w:t>16-17 August. Canberra: Northern and Central Land Councils, 54-62.</w:t>
      </w:r>
    </w:p>
    <w:p w14:paraId="5E5A5D66" w14:textId="77777777" w:rsidR="002377AD" w:rsidRPr="00597E56" w:rsidRDefault="002377AD" w:rsidP="00F1501F">
      <w:pPr>
        <w:pStyle w:val="NoSpacing"/>
        <w:jc w:val="both"/>
        <w:rPr>
          <w:rFonts w:ascii="Palatino Linotype" w:hAnsi="Palatino Linotype" w:cstheme="minorHAnsi"/>
          <w:b/>
        </w:rPr>
      </w:pPr>
    </w:p>
    <w:p w14:paraId="36A7A5D5" w14:textId="26233CA9" w:rsidR="0012573E" w:rsidRPr="00597E56" w:rsidRDefault="0012573E" w:rsidP="00F1501F">
      <w:pPr>
        <w:pStyle w:val="NoSpacing"/>
        <w:jc w:val="both"/>
        <w:rPr>
          <w:rFonts w:ascii="Palatino Linotype" w:hAnsi="Palatino Linotype" w:cstheme="minorHAnsi"/>
        </w:rPr>
      </w:pPr>
      <w:r w:rsidRPr="00597E56">
        <w:rPr>
          <w:rFonts w:ascii="Palatino Linotype" w:hAnsi="Palatino Linotype" w:cstheme="minorHAnsi"/>
        </w:rPr>
        <w:t>Australian Law Reform Commission (2014)</w:t>
      </w:r>
      <w:r w:rsidR="002377AD" w:rsidRPr="00597E56">
        <w:rPr>
          <w:rFonts w:ascii="Palatino Linotype" w:hAnsi="Palatino Linotype" w:cstheme="minorHAnsi"/>
        </w:rPr>
        <w:t>,</w:t>
      </w:r>
      <w:r w:rsidRPr="00597E56">
        <w:rPr>
          <w:rFonts w:ascii="Palatino Linotype" w:hAnsi="Palatino Linotype" w:cstheme="minorHAnsi"/>
        </w:rPr>
        <w:t xml:space="preserve"> </w:t>
      </w:r>
      <w:r w:rsidRPr="00597E56">
        <w:rPr>
          <w:rFonts w:ascii="Palatino Linotype" w:hAnsi="Palatino Linotype" w:cstheme="minorHAnsi"/>
          <w:i/>
        </w:rPr>
        <w:t>Review of the Native Title Act 1993: Discussion Paper</w:t>
      </w:r>
      <w:r w:rsidRPr="00597E56">
        <w:rPr>
          <w:rFonts w:ascii="Palatino Linotype" w:hAnsi="Palatino Linotype" w:cstheme="minorHAnsi"/>
        </w:rPr>
        <w:t>, DP82</w:t>
      </w:r>
      <w:r w:rsidR="002377AD" w:rsidRPr="00597E56">
        <w:rPr>
          <w:rFonts w:ascii="Palatino Linotype" w:hAnsi="Palatino Linotype" w:cstheme="minorHAnsi"/>
        </w:rPr>
        <w:t xml:space="preserve">. </w:t>
      </w:r>
      <w:r w:rsidRPr="00597E56">
        <w:rPr>
          <w:rFonts w:ascii="Palatino Linotype" w:hAnsi="Palatino Linotype" w:cstheme="minorHAnsi"/>
        </w:rPr>
        <w:t>Sydney</w:t>
      </w:r>
      <w:r w:rsidR="002377AD" w:rsidRPr="00597E56">
        <w:rPr>
          <w:rFonts w:ascii="Palatino Linotype" w:hAnsi="Palatino Linotype" w:cstheme="minorHAnsi"/>
        </w:rPr>
        <w:t>,</w:t>
      </w:r>
      <w:r w:rsidRPr="00597E56">
        <w:rPr>
          <w:rFonts w:ascii="Palatino Linotype" w:hAnsi="Palatino Linotype" w:cstheme="minorHAnsi"/>
        </w:rPr>
        <w:t xml:space="preserve"> October.</w:t>
      </w:r>
    </w:p>
    <w:p w14:paraId="4B5085BB" w14:textId="77777777" w:rsidR="008171CE" w:rsidRPr="00597E56" w:rsidRDefault="008171CE" w:rsidP="00F1501F">
      <w:pPr>
        <w:pStyle w:val="NoSpacing"/>
        <w:jc w:val="both"/>
        <w:rPr>
          <w:rFonts w:ascii="Palatino Linotype" w:hAnsi="Palatino Linotype" w:cstheme="minorHAnsi"/>
        </w:rPr>
      </w:pPr>
    </w:p>
    <w:p w14:paraId="5B21FB1B" w14:textId="352127B5" w:rsidR="008171CE" w:rsidRPr="00597E56" w:rsidRDefault="008171CE" w:rsidP="00F1501F">
      <w:pPr>
        <w:pStyle w:val="NoSpacing"/>
        <w:jc w:val="both"/>
        <w:rPr>
          <w:rFonts w:ascii="Palatino Linotype" w:hAnsi="Palatino Linotype" w:cstheme="minorHAnsi"/>
        </w:rPr>
      </w:pPr>
      <w:r w:rsidRPr="00597E56">
        <w:rPr>
          <w:rFonts w:ascii="Palatino Linotype" w:hAnsi="Palatino Linotype" w:cstheme="minorHAnsi"/>
        </w:rPr>
        <w:t>Cardaci, R. (2025)” Is the Future Bright? Green Hydrogen Developments on First Nations Land in Western Australia.”</w:t>
      </w:r>
      <w:r w:rsidRPr="00597E56">
        <w:rPr>
          <w:rFonts w:ascii="Palatino Linotype" w:hAnsi="Palatino Linotype" w:cstheme="minorHAnsi"/>
          <w:bCs/>
          <w:i/>
        </w:rPr>
        <w:t xml:space="preserve"> Environmental and Planning Law Journal, (</w:t>
      </w:r>
      <w:r w:rsidRPr="00597E56">
        <w:rPr>
          <w:rFonts w:ascii="Palatino Linotype" w:hAnsi="Palatino Linotype" w:cstheme="minorHAnsi"/>
          <w:bCs/>
        </w:rPr>
        <w:t>41) 181-204.</w:t>
      </w:r>
    </w:p>
    <w:p w14:paraId="6875BA9C" w14:textId="77777777" w:rsidR="0012573E" w:rsidRPr="00597E56" w:rsidRDefault="0012573E" w:rsidP="00F1501F">
      <w:pPr>
        <w:pStyle w:val="NoSpacing"/>
        <w:jc w:val="both"/>
        <w:rPr>
          <w:rFonts w:ascii="Palatino Linotype" w:hAnsi="Palatino Linotype" w:cstheme="minorHAnsi"/>
          <w:bCs/>
        </w:rPr>
      </w:pPr>
    </w:p>
    <w:p w14:paraId="627AA43D" w14:textId="34744F13" w:rsidR="000014CD" w:rsidRPr="00597E56" w:rsidRDefault="000014CD" w:rsidP="00F1501F">
      <w:pPr>
        <w:pStyle w:val="NoSpacing"/>
        <w:jc w:val="both"/>
        <w:rPr>
          <w:rFonts w:ascii="Palatino Linotype" w:hAnsi="Palatino Linotype" w:cstheme="minorHAnsi"/>
          <w:bCs/>
        </w:rPr>
      </w:pPr>
      <w:r w:rsidRPr="00597E56">
        <w:rPr>
          <w:rFonts w:ascii="Palatino Linotype" w:hAnsi="Palatino Linotype" w:cstheme="minorHAnsi"/>
          <w:bCs/>
        </w:rPr>
        <w:t xml:space="preserve">Chamber of Minerals and Energy of Western Australia (CME), </w:t>
      </w:r>
      <w:r w:rsidRPr="00597E56">
        <w:rPr>
          <w:rFonts w:ascii="Palatino Linotype" w:hAnsi="Palatino Linotype" w:cstheme="minorHAnsi"/>
          <w:bCs/>
          <w:i/>
          <w:iCs/>
        </w:rPr>
        <w:t>Submission to A Way Forwar</w:t>
      </w:r>
      <w:r w:rsidR="000E6267" w:rsidRPr="00597E56">
        <w:rPr>
          <w:rFonts w:ascii="Palatino Linotype" w:hAnsi="Palatino Linotype" w:cstheme="minorHAnsi"/>
          <w:bCs/>
          <w:i/>
          <w:iCs/>
        </w:rPr>
        <w:t>d</w:t>
      </w:r>
      <w:r w:rsidRPr="00597E56">
        <w:rPr>
          <w:rFonts w:ascii="Palatino Linotype" w:hAnsi="Palatino Linotype" w:cstheme="minorHAnsi"/>
          <w:bCs/>
          <w:i/>
          <w:iCs/>
        </w:rPr>
        <w:t xml:space="preserve">: Inquiry into the destruction of </w:t>
      </w:r>
      <w:proofErr w:type="gramStart"/>
      <w:r w:rsidRPr="00597E56">
        <w:rPr>
          <w:rFonts w:ascii="Palatino Linotype" w:hAnsi="Palatino Linotype" w:cstheme="minorHAnsi"/>
          <w:bCs/>
          <w:i/>
          <w:iCs/>
        </w:rPr>
        <w:t>46,000 year old</w:t>
      </w:r>
      <w:proofErr w:type="gramEnd"/>
      <w:r w:rsidRPr="00597E56">
        <w:rPr>
          <w:rFonts w:ascii="Palatino Linotype" w:hAnsi="Palatino Linotype" w:cstheme="minorHAnsi"/>
          <w:bCs/>
          <w:i/>
          <w:iCs/>
        </w:rPr>
        <w:t xml:space="preserve"> caves at the </w:t>
      </w:r>
      <w:proofErr w:type="spellStart"/>
      <w:r w:rsidRPr="00597E56">
        <w:rPr>
          <w:rFonts w:ascii="Palatino Linotype" w:hAnsi="Palatino Linotype" w:cstheme="minorHAnsi"/>
          <w:bCs/>
          <w:i/>
          <w:iCs/>
        </w:rPr>
        <w:t>Juukan</w:t>
      </w:r>
      <w:proofErr w:type="spellEnd"/>
      <w:r w:rsidRPr="00597E56">
        <w:rPr>
          <w:rFonts w:ascii="Palatino Linotype" w:hAnsi="Palatino Linotype" w:cstheme="minorHAnsi"/>
          <w:bCs/>
          <w:i/>
          <w:iCs/>
        </w:rPr>
        <w:t xml:space="preserve"> Gorge in the Pilbara region of Western </w:t>
      </w:r>
      <w:r w:rsidR="000A0DBF" w:rsidRPr="00597E56">
        <w:rPr>
          <w:rFonts w:ascii="Palatino Linotype" w:hAnsi="Palatino Linotype" w:cstheme="minorHAnsi"/>
          <w:bCs/>
          <w:i/>
          <w:iCs/>
        </w:rPr>
        <w:t>Australia</w:t>
      </w:r>
      <w:r w:rsidR="000A0DBF" w:rsidRPr="00597E56">
        <w:rPr>
          <w:rFonts w:ascii="Palatino Linotype" w:hAnsi="Palatino Linotype" w:cstheme="minorHAnsi"/>
          <w:bCs/>
        </w:rPr>
        <w:t xml:space="preserve"> 83.1</w:t>
      </w:r>
      <w:r w:rsidRPr="00597E56">
        <w:rPr>
          <w:rFonts w:ascii="Palatino Linotype" w:hAnsi="Palatino Linotype" w:cstheme="minorHAnsi"/>
          <w:bCs/>
        </w:rPr>
        <w:t>, p. 2.</w:t>
      </w:r>
    </w:p>
    <w:p w14:paraId="3264DCE2" w14:textId="77777777" w:rsidR="000014CD" w:rsidRPr="00597E56" w:rsidRDefault="000014CD" w:rsidP="00F1501F">
      <w:pPr>
        <w:pStyle w:val="NoSpacing"/>
        <w:jc w:val="both"/>
        <w:rPr>
          <w:rFonts w:ascii="Palatino Linotype" w:hAnsi="Palatino Linotype" w:cstheme="minorHAnsi"/>
          <w:bCs/>
        </w:rPr>
      </w:pPr>
    </w:p>
    <w:p w14:paraId="7BE486D2" w14:textId="6E4E9F56" w:rsidR="000014CD" w:rsidRPr="00597E56" w:rsidRDefault="000014CD" w:rsidP="00F1501F">
      <w:pPr>
        <w:pStyle w:val="NoSpacing"/>
        <w:jc w:val="both"/>
        <w:rPr>
          <w:rFonts w:ascii="Palatino Linotype" w:hAnsi="Palatino Linotype" w:cstheme="minorHAnsi"/>
          <w:bCs/>
        </w:rPr>
      </w:pPr>
      <w:r w:rsidRPr="00597E56">
        <w:rPr>
          <w:rFonts w:ascii="Palatino Linotype" w:hAnsi="Palatino Linotype" w:cstheme="minorHAnsi"/>
          <w:bCs/>
        </w:rPr>
        <w:t>Connell, J &amp; Howitt, R 1991, </w:t>
      </w:r>
      <w:r w:rsidRPr="00597E56">
        <w:rPr>
          <w:rFonts w:ascii="Palatino Linotype" w:hAnsi="Palatino Linotype" w:cstheme="minorHAnsi"/>
          <w:bCs/>
          <w:i/>
          <w:iCs/>
        </w:rPr>
        <w:t>Mining and indigenous peoples in Australasia</w:t>
      </w:r>
      <w:r w:rsidRPr="00597E56">
        <w:rPr>
          <w:rFonts w:ascii="Palatino Linotype" w:hAnsi="Palatino Linotype" w:cstheme="minorHAnsi"/>
          <w:bCs/>
        </w:rPr>
        <w:t xml:space="preserve">, 1st </w:t>
      </w:r>
      <w:proofErr w:type="spellStart"/>
      <w:r w:rsidRPr="00597E56">
        <w:rPr>
          <w:rFonts w:ascii="Palatino Linotype" w:hAnsi="Palatino Linotype" w:cstheme="minorHAnsi"/>
          <w:bCs/>
        </w:rPr>
        <w:t>edn</w:t>
      </w:r>
      <w:proofErr w:type="spellEnd"/>
      <w:r w:rsidRPr="00597E56">
        <w:rPr>
          <w:rFonts w:ascii="Palatino Linotype" w:hAnsi="Palatino Linotype" w:cstheme="minorHAnsi"/>
          <w:bCs/>
        </w:rPr>
        <w:t>, Sydney University Press, Sydney, Australia.</w:t>
      </w:r>
    </w:p>
    <w:p w14:paraId="0ADA2874" w14:textId="77777777" w:rsidR="000014CD" w:rsidRPr="00597E56" w:rsidRDefault="000014CD" w:rsidP="00F1501F">
      <w:pPr>
        <w:pStyle w:val="NoSpacing"/>
        <w:jc w:val="both"/>
        <w:rPr>
          <w:rFonts w:ascii="Palatino Linotype" w:hAnsi="Palatino Linotype" w:cstheme="minorHAnsi"/>
          <w:b/>
        </w:rPr>
      </w:pPr>
    </w:p>
    <w:p w14:paraId="52571BD9" w14:textId="218F88F3" w:rsidR="008625E8" w:rsidRPr="00597E56" w:rsidRDefault="008625E8" w:rsidP="00F1501F">
      <w:pPr>
        <w:pStyle w:val="NoSpacing"/>
        <w:jc w:val="both"/>
        <w:rPr>
          <w:rFonts w:ascii="Palatino Linotype" w:hAnsi="Palatino Linotype" w:cstheme="minorHAnsi"/>
          <w:bCs/>
        </w:rPr>
      </w:pPr>
      <w:r w:rsidRPr="00597E56">
        <w:rPr>
          <w:rFonts w:ascii="Palatino Linotype" w:hAnsi="Palatino Linotype" w:cstheme="minorHAnsi"/>
          <w:bCs/>
        </w:rPr>
        <w:t xml:space="preserve">Department of Environment, Climate Change and Water (2010), </w:t>
      </w:r>
      <w:r w:rsidRPr="00597E56">
        <w:rPr>
          <w:rFonts w:ascii="Palatino Linotype" w:hAnsi="Palatino Linotype" w:cstheme="minorHAnsi"/>
          <w:bCs/>
          <w:i/>
        </w:rPr>
        <w:t xml:space="preserve">Due Diligence Code of Practice for the Protection of Aboriginal Objects in New South Wales </w:t>
      </w:r>
      <w:r w:rsidRPr="00597E56">
        <w:rPr>
          <w:rFonts w:ascii="Palatino Linotype" w:hAnsi="Palatino Linotype" w:cstheme="minorHAnsi"/>
          <w:bCs/>
        </w:rPr>
        <w:t>Document DECCW 2010/798. Sydney, 13 September.</w:t>
      </w:r>
    </w:p>
    <w:p w14:paraId="33487FA8" w14:textId="77777777" w:rsidR="00C83948" w:rsidRPr="00597E56" w:rsidRDefault="00C83948" w:rsidP="00F1501F">
      <w:pPr>
        <w:pStyle w:val="NoSpacing"/>
        <w:jc w:val="both"/>
        <w:rPr>
          <w:rFonts w:ascii="Palatino Linotype" w:hAnsi="Palatino Linotype" w:cstheme="minorHAnsi"/>
          <w:bCs/>
        </w:rPr>
      </w:pPr>
    </w:p>
    <w:p w14:paraId="69E2CD6E" w14:textId="746EFD5D" w:rsidR="00C83948" w:rsidRPr="00597E56" w:rsidRDefault="00C83948" w:rsidP="00F1501F">
      <w:pPr>
        <w:pStyle w:val="NoSpacing"/>
        <w:jc w:val="both"/>
        <w:rPr>
          <w:rFonts w:ascii="Palatino Linotype" w:hAnsi="Palatino Linotype" w:cstheme="minorHAnsi"/>
          <w:bCs/>
        </w:rPr>
      </w:pPr>
      <w:r w:rsidRPr="00597E56">
        <w:rPr>
          <w:rFonts w:ascii="Palatino Linotype" w:hAnsi="Palatino Linotype" w:cstheme="minorHAnsi"/>
          <w:bCs/>
        </w:rPr>
        <w:t xml:space="preserve">Etheridge, R. (1919), </w:t>
      </w:r>
      <w:r w:rsidRPr="00597E56">
        <w:rPr>
          <w:rFonts w:ascii="Palatino Linotype" w:hAnsi="Palatino Linotype" w:cstheme="minorHAnsi"/>
          <w:bCs/>
          <w:i/>
        </w:rPr>
        <w:t>The Dendroglyphs or “Carved Trees” of New South Wales.</w:t>
      </w:r>
      <w:r w:rsidRPr="00597E56">
        <w:rPr>
          <w:rFonts w:ascii="Palatino Linotype" w:hAnsi="Palatino Linotype" w:cstheme="minorHAnsi"/>
          <w:bCs/>
        </w:rPr>
        <w:t xml:space="preserve"> 2011 reprint, Sydney: Sydney University Press.</w:t>
      </w:r>
    </w:p>
    <w:p w14:paraId="6CE84DD3" w14:textId="77777777" w:rsidR="007438AF" w:rsidRPr="00597E56" w:rsidRDefault="007438AF" w:rsidP="00F1501F">
      <w:pPr>
        <w:pStyle w:val="NoSpacing"/>
        <w:jc w:val="both"/>
        <w:rPr>
          <w:rFonts w:ascii="Palatino Linotype" w:hAnsi="Palatino Linotype" w:cstheme="minorHAnsi"/>
          <w:bCs/>
        </w:rPr>
      </w:pPr>
    </w:p>
    <w:p w14:paraId="0D993AF7" w14:textId="714FE9D5" w:rsidR="007438AF" w:rsidRPr="00597E56" w:rsidRDefault="007438AF" w:rsidP="00F1501F">
      <w:pPr>
        <w:pStyle w:val="NoSpacing"/>
        <w:jc w:val="both"/>
        <w:rPr>
          <w:rFonts w:ascii="Palatino Linotype" w:hAnsi="Palatino Linotype" w:cstheme="minorHAnsi"/>
          <w:bCs/>
        </w:rPr>
      </w:pPr>
      <w:r w:rsidRPr="00597E56">
        <w:rPr>
          <w:rFonts w:ascii="Palatino Linotype" w:hAnsi="Palatino Linotype" w:cstheme="minorHAnsi"/>
          <w:bCs/>
        </w:rPr>
        <w:t xml:space="preserve">Gardner, A. (2025) “When Ideas Float Across the Nullarbor, Some of Them Evaporate’’. </w:t>
      </w:r>
      <w:r w:rsidR="0042501C" w:rsidRPr="00597E56">
        <w:rPr>
          <w:rFonts w:ascii="Palatino Linotype" w:hAnsi="Palatino Linotype" w:cstheme="minorHAnsi"/>
          <w:bCs/>
          <w:i/>
        </w:rPr>
        <w:t>Environmental and Planning Law Journal, (</w:t>
      </w:r>
      <w:r w:rsidR="0042501C" w:rsidRPr="00597E56">
        <w:rPr>
          <w:rFonts w:ascii="Palatino Linotype" w:hAnsi="Palatino Linotype" w:cstheme="minorHAnsi"/>
          <w:bCs/>
        </w:rPr>
        <w:t>41) 305-317.</w:t>
      </w:r>
    </w:p>
    <w:p w14:paraId="20C4802D" w14:textId="77777777" w:rsidR="008625E8" w:rsidRPr="00597E56" w:rsidRDefault="008625E8" w:rsidP="00F1501F">
      <w:pPr>
        <w:pStyle w:val="NoSpacing"/>
        <w:jc w:val="both"/>
        <w:rPr>
          <w:rFonts w:ascii="Palatino Linotype" w:hAnsi="Palatino Linotype" w:cstheme="minorHAnsi"/>
          <w:bCs/>
        </w:rPr>
      </w:pPr>
    </w:p>
    <w:p w14:paraId="747DDBE0" w14:textId="207CCE49" w:rsidR="00714C65" w:rsidRPr="00597E56" w:rsidRDefault="00714C65" w:rsidP="00F1501F">
      <w:pPr>
        <w:pStyle w:val="NoSpacing"/>
        <w:jc w:val="both"/>
        <w:rPr>
          <w:rFonts w:ascii="Palatino Linotype" w:hAnsi="Palatino Linotype" w:cstheme="minorHAnsi"/>
          <w:bCs/>
        </w:rPr>
      </w:pPr>
      <w:r w:rsidRPr="00597E56">
        <w:rPr>
          <w:rFonts w:ascii="Palatino Linotype" w:hAnsi="Palatino Linotype" w:cstheme="minorHAnsi"/>
          <w:bCs/>
        </w:rPr>
        <w:t xml:space="preserve">Godwin, L. (2001) </w:t>
      </w:r>
      <w:r w:rsidRPr="00597E56">
        <w:rPr>
          <w:rFonts w:ascii="Palatino Linotype" w:hAnsi="Palatino Linotype" w:cstheme="minorHAnsi"/>
          <w:bCs/>
          <w:i/>
          <w:iCs/>
        </w:rPr>
        <w:t>The Bureaucracy, the Law and Blacks Palace: A History of Management of One Site in the Central Queensland Highlands</w:t>
      </w:r>
      <w:r w:rsidR="000E37B9" w:rsidRPr="00597E56">
        <w:rPr>
          <w:rFonts w:ascii="Palatino Linotype" w:hAnsi="Palatino Linotype" w:cstheme="minorHAnsi"/>
          <w:bCs/>
        </w:rPr>
        <w:t>.</w:t>
      </w:r>
      <w:r w:rsidRPr="00597E56">
        <w:rPr>
          <w:rFonts w:ascii="Palatino Linotype" w:hAnsi="Palatino Linotype" w:cstheme="minorHAnsi"/>
          <w:bCs/>
        </w:rPr>
        <w:t xml:space="preserve"> </w:t>
      </w:r>
      <w:proofErr w:type="spellStart"/>
      <w:r w:rsidRPr="00597E56">
        <w:rPr>
          <w:rFonts w:ascii="Palatino Linotype" w:hAnsi="Palatino Linotype" w:cstheme="minorHAnsi"/>
          <w:bCs/>
          <w:i/>
        </w:rPr>
        <w:t>Ngulaig</w:t>
      </w:r>
      <w:proofErr w:type="spellEnd"/>
      <w:r w:rsidRPr="00597E56">
        <w:rPr>
          <w:rFonts w:ascii="Palatino Linotype" w:hAnsi="Palatino Linotype" w:cstheme="minorHAnsi"/>
          <w:bCs/>
        </w:rPr>
        <w:t xml:space="preserve"> Monograph No. 18</w:t>
      </w:r>
      <w:r w:rsidR="000E37B9" w:rsidRPr="00597E56">
        <w:rPr>
          <w:rFonts w:ascii="Palatino Linotype" w:hAnsi="Palatino Linotype" w:cstheme="minorHAnsi"/>
          <w:bCs/>
        </w:rPr>
        <w:t xml:space="preserve">, </w:t>
      </w:r>
      <w:r w:rsidRPr="00597E56">
        <w:rPr>
          <w:rFonts w:ascii="Palatino Linotype" w:hAnsi="Palatino Linotype" w:cstheme="minorHAnsi"/>
          <w:bCs/>
        </w:rPr>
        <w:t>Brisbane: Aboriginal and Torres Strait Islander Studies Unit, University of Queensland</w:t>
      </w:r>
      <w:r w:rsidR="000E37B9" w:rsidRPr="00597E56">
        <w:rPr>
          <w:rFonts w:ascii="Palatino Linotype" w:hAnsi="Palatino Linotype" w:cstheme="minorHAnsi"/>
          <w:bCs/>
        </w:rPr>
        <w:t>.</w:t>
      </w:r>
    </w:p>
    <w:p w14:paraId="4073F41F" w14:textId="77777777" w:rsidR="00714C65" w:rsidRPr="00597E56" w:rsidRDefault="00714C65" w:rsidP="00F1501F">
      <w:pPr>
        <w:pStyle w:val="NoSpacing"/>
        <w:jc w:val="both"/>
        <w:rPr>
          <w:rFonts w:ascii="Palatino Linotype" w:hAnsi="Palatino Linotype" w:cstheme="minorHAnsi"/>
          <w:bCs/>
        </w:rPr>
      </w:pPr>
    </w:p>
    <w:p w14:paraId="7763341D" w14:textId="07AA8D1C" w:rsidR="007F195E" w:rsidRPr="00597E56" w:rsidRDefault="007F195E" w:rsidP="00F1501F">
      <w:pPr>
        <w:pStyle w:val="NoSpacing"/>
        <w:jc w:val="both"/>
        <w:rPr>
          <w:rFonts w:ascii="Palatino Linotype" w:hAnsi="Palatino Linotype" w:cstheme="minorHAnsi"/>
          <w:bCs/>
        </w:rPr>
      </w:pPr>
      <w:r w:rsidRPr="00597E56">
        <w:rPr>
          <w:rFonts w:ascii="Palatino Linotype" w:hAnsi="Palatino Linotype" w:cstheme="minorHAnsi"/>
          <w:bCs/>
        </w:rPr>
        <w:t>Hunt, M., 1984. Aboriginal Land Rights in Western Australia. </w:t>
      </w:r>
      <w:r w:rsidRPr="00597E56">
        <w:rPr>
          <w:rFonts w:ascii="Palatino Linotype" w:hAnsi="Palatino Linotype" w:cstheme="minorHAnsi"/>
          <w:bCs/>
          <w:i/>
          <w:iCs/>
        </w:rPr>
        <w:t>AMPLA Bull.</w:t>
      </w:r>
      <w:r w:rsidRPr="00597E56">
        <w:rPr>
          <w:rFonts w:ascii="Palatino Linotype" w:hAnsi="Palatino Linotype" w:cstheme="minorHAnsi"/>
          <w:bCs/>
        </w:rPr>
        <w:t>, </w:t>
      </w:r>
      <w:r w:rsidRPr="00597E56">
        <w:rPr>
          <w:rFonts w:ascii="Palatino Linotype" w:hAnsi="Palatino Linotype" w:cstheme="minorHAnsi"/>
          <w:bCs/>
          <w:i/>
          <w:iCs/>
        </w:rPr>
        <w:t>3</w:t>
      </w:r>
      <w:r w:rsidRPr="00597E56">
        <w:rPr>
          <w:rFonts w:ascii="Palatino Linotype" w:hAnsi="Palatino Linotype" w:cstheme="minorHAnsi"/>
          <w:bCs/>
        </w:rPr>
        <w:t>, p.58</w:t>
      </w:r>
    </w:p>
    <w:p w14:paraId="48E51AF5" w14:textId="77777777" w:rsidR="007F195E" w:rsidRPr="00597E56" w:rsidRDefault="007F195E" w:rsidP="00F1501F">
      <w:pPr>
        <w:pStyle w:val="NoSpacing"/>
        <w:jc w:val="both"/>
        <w:rPr>
          <w:rFonts w:ascii="Palatino Linotype" w:hAnsi="Palatino Linotype" w:cstheme="minorHAnsi"/>
          <w:bCs/>
        </w:rPr>
      </w:pPr>
    </w:p>
    <w:p w14:paraId="692E14A5" w14:textId="3FB93D5D" w:rsidR="00714C65" w:rsidRPr="00597E56" w:rsidRDefault="00714C65" w:rsidP="00F1501F">
      <w:pPr>
        <w:pStyle w:val="NoSpacing"/>
        <w:jc w:val="both"/>
        <w:rPr>
          <w:rFonts w:ascii="Palatino Linotype" w:hAnsi="Palatino Linotype" w:cstheme="minorHAnsi"/>
          <w:bCs/>
        </w:rPr>
      </w:pPr>
      <w:r w:rsidRPr="00597E56">
        <w:rPr>
          <w:rFonts w:ascii="Palatino Linotype" w:hAnsi="Palatino Linotype" w:cstheme="minorHAnsi"/>
          <w:bCs/>
        </w:rPr>
        <w:t xml:space="preserve">Indigenous Land Corporation (1996), </w:t>
      </w:r>
      <w:r w:rsidRPr="00597E56">
        <w:rPr>
          <w:rFonts w:ascii="Palatino Linotype" w:hAnsi="Palatino Linotype" w:cstheme="minorHAnsi"/>
          <w:bCs/>
          <w:i/>
        </w:rPr>
        <w:t xml:space="preserve">Regional Indigenous Land Strategy 1996 -2001: New South Wales Regional Area. </w:t>
      </w:r>
      <w:r w:rsidRPr="00597E56">
        <w:rPr>
          <w:rFonts w:ascii="Palatino Linotype" w:hAnsi="Palatino Linotype" w:cstheme="minorHAnsi"/>
          <w:bCs/>
        </w:rPr>
        <w:t>Adelaide, June.</w:t>
      </w:r>
    </w:p>
    <w:p w14:paraId="1571B8D8" w14:textId="77777777" w:rsidR="00714C65" w:rsidRPr="00597E56" w:rsidRDefault="00714C65" w:rsidP="00F1501F">
      <w:pPr>
        <w:pStyle w:val="NoSpacing"/>
        <w:jc w:val="both"/>
        <w:rPr>
          <w:rFonts w:ascii="Palatino Linotype" w:hAnsi="Palatino Linotype" w:cstheme="minorHAnsi"/>
          <w:bCs/>
        </w:rPr>
      </w:pPr>
    </w:p>
    <w:p w14:paraId="5C64CC18" w14:textId="5B07E7C9" w:rsidR="000014CD" w:rsidRPr="00597E56" w:rsidRDefault="000014CD" w:rsidP="00F1501F">
      <w:pPr>
        <w:pStyle w:val="NoSpacing"/>
        <w:jc w:val="both"/>
        <w:rPr>
          <w:rFonts w:ascii="Palatino Linotype" w:hAnsi="Palatino Linotype" w:cstheme="minorHAnsi"/>
          <w:bCs/>
        </w:rPr>
      </w:pPr>
      <w:r w:rsidRPr="00597E56">
        <w:rPr>
          <w:rFonts w:ascii="Palatino Linotype" w:hAnsi="Palatino Linotype" w:cstheme="minorHAnsi"/>
          <w:bCs/>
        </w:rPr>
        <w:t>Joint Standing Committee on Northern Australia 2021, </w:t>
      </w:r>
      <w:r w:rsidRPr="00597E56">
        <w:rPr>
          <w:rFonts w:ascii="Palatino Linotype" w:hAnsi="Palatino Linotype" w:cstheme="minorHAnsi"/>
          <w:bCs/>
          <w:i/>
          <w:iCs/>
        </w:rPr>
        <w:t xml:space="preserve">A Way </w:t>
      </w:r>
      <w:r w:rsidR="000E6267" w:rsidRPr="00597E56">
        <w:rPr>
          <w:rFonts w:ascii="Palatino Linotype" w:hAnsi="Palatino Linotype" w:cstheme="minorHAnsi"/>
          <w:bCs/>
          <w:i/>
          <w:iCs/>
        </w:rPr>
        <w:t>Forward:</w:t>
      </w:r>
      <w:r w:rsidRPr="00597E56">
        <w:rPr>
          <w:rFonts w:ascii="Palatino Linotype" w:hAnsi="Palatino Linotype" w:cstheme="minorHAnsi"/>
          <w:bCs/>
          <w:i/>
          <w:iCs/>
        </w:rPr>
        <w:t xml:space="preserve"> Inquiry into the destruction of </w:t>
      </w:r>
      <w:proofErr w:type="gramStart"/>
      <w:r w:rsidRPr="00597E56">
        <w:rPr>
          <w:rFonts w:ascii="Palatino Linotype" w:hAnsi="Palatino Linotype" w:cstheme="minorHAnsi"/>
          <w:bCs/>
          <w:i/>
          <w:iCs/>
        </w:rPr>
        <w:t>46,000 year old</w:t>
      </w:r>
      <w:proofErr w:type="gramEnd"/>
      <w:r w:rsidRPr="00597E56">
        <w:rPr>
          <w:rFonts w:ascii="Palatino Linotype" w:hAnsi="Palatino Linotype" w:cstheme="minorHAnsi"/>
          <w:bCs/>
          <w:i/>
          <w:iCs/>
        </w:rPr>
        <w:t xml:space="preserve"> caves at the </w:t>
      </w:r>
      <w:proofErr w:type="spellStart"/>
      <w:r w:rsidRPr="00597E56">
        <w:rPr>
          <w:rFonts w:ascii="Palatino Linotype" w:hAnsi="Palatino Linotype" w:cstheme="minorHAnsi"/>
          <w:bCs/>
          <w:i/>
          <w:iCs/>
        </w:rPr>
        <w:t>Juukan</w:t>
      </w:r>
      <w:proofErr w:type="spellEnd"/>
      <w:r w:rsidRPr="00597E56">
        <w:rPr>
          <w:rFonts w:ascii="Palatino Linotype" w:hAnsi="Palatino Linotype" w:cstheme="minorHAnsi"/>
          <w:bCs/>
          <w:i/>
          <w:iCs/>
        </w:rPr>
        <w:t xml:space="preserve"> Gorge in the Pilbara region of Western Australia</w:t>
      </w:r>
      <w:r w:rsidRPr="00597E56">
        <w:rPr>
          <w:rFonts w:ascii="Palatino Linotype" w:hAnsi="Palatino Linotype" w:cstheme="minorHAnsi"/>
          <w:bCs/>
        </w:rPr>
        <w:t xml:space="preserve">, eBook, viewed 5 April 2025, </w:t>
      </w:r>
      <w:r w:rsidRPr="00597E56">
        <w:rPr>
          <w:rFonts w:ascii="Palatino Linotype" w:hAnsi="Palatino Linotype" w:cstheme="minorHAnsi"/>
          <w:bCs/>
        </w:rPr>
        <w:lastRenderedPageBreak/>
        <w:t>&lt;https://www.aph.gov.au/Parliamentary_Business/Committees/Joint/Former_Committees/Northern_Australia_46P/CavesatJuukanGorge&gt;.</w:t>
      </w:r>
    </w:p>
    <w:p w14:paraId="1CED7273" w14:textId="77777777" w:rsidR="000014CD" w:rsidRPr="00597E56" w:rsidRDefault="000014CD" w:rsidP="00F1501F">
      <w:pPr>
        <w:pStyle w:val="NoSpacing"/>
        <w:jc w:val="both"/>
        <w:rPr>
          <w:rFonts w:ascii="Palatino Linotype" w:hAnsi="Palatino Linotype" w:cstheme="minorHAnsi"/>
          <w:bCs/>
        </w:rPr>
      </w:pPr>
    </w:p>
    <w:p w14:paraId="4C69424B" w14:textId="27DAF18F" w:rsidR="001473EA" w:rsidRPr="00597E56" w:rsidRDefault="001473EA" w:rsidP="00F1501F">
      <w:pPr>
        <w:pStyle w:val="NoSpacing"/>
        <w:jc w:val="both"/>
        <w:rPr>
          <w:rFonts w:ascii="Palatino Linotype" w:hAnsi="Palatino Linotype" w:cstheme="minorHAnsi"/>
          <w:bCs/>
        </w:rPr>
      </w:pPr>
      <w:r w:rsidRPr="00597E56">
        <w:rPr>
          <w:rFonts w:ascii="Palatino Linotype" w:hAnsi="Palatino Linotype" w:cstheme="minorHAnsi"/>
          <w:bCs/>
        </w:rPr>
        <w:t xml:space="preserve">Kelly, L. &amp; Behrendt, L. (2007), Creating Conflict: Case Studies </w:t>
      </w:r>
      <w:proofErr w:type="gramStart"/>
      <w:r w:rsidRPr="00597E56">
        <w:rPr>
          <w:rFonts w:ascii="Palatino Linotype" w:hAnsi="Palatino Linotype" w:cstheme="minorHAnsi"/>
          <w:bCs/>
        </w:rPr>
        <w:t>In</w:t>
      </w:r>
      <w:proofErr w:type="gramEnd"/>
      <w:r w:rsidRPr="00597E56">
        <w:rPr>
          <w:rFonts w:ascii="Palatino Linotype" w:hAnsi="Palatino Linotype" w:cstheme="minorHAnsi"/>
          <w:bCs/>
        </w:rPr>
        <w:t xml:space="preserve"> </w:t>
      </w:r>
      <w:proofErr w:type="gramStart"/>
      <w:r w:rsidRPr="00597E56">
        <w:rPr>
          <w:rFonts w:ascii="Palatino Linotype" w:hAnsi="Palatino Linotype" w:cstheme="minorHAnsi"/>
          <w:bCs/>
        </w:rPr>
        <w:t>The</w:t>
      </w:r>
      <w:proofErr w:type="gramEnd"/>
      <w:r w:rsidRPr="00597E56">
        <w:rPr>
          <w:rFonts w:ascii="Palatino Linotype" w:hAnsi="Palatino Linotype" w:cstheme="minorHAnsi"/>
          <w:bCs/>
        </w:rPr>
        <w:t xml:space="preserve"> Tension Between Native Title Claims </w:t>
      </w:r>
      <w:proofErr w:type="gramStart"/>
      <w:r w:rsidRPr="00597E56">
        <w:rPr>
          <w:rFonts w:ascii="Palatino Linotype" w:hAnsi="Palatino Linotype" w:cstheme="minorHAnsi"/>
          <w:bCs/>
        </w:rPr>
        <w:t>And</w:t>
      </w:r>
      <w:proofErr w:type="gramEnd"/>
      <w:r w:rsidRPr="00597E56">
        <w:rPr>
          <w:rFonts w:ascii="Palatino Linotype" w:hAnsi="Palatino Linotype" w:cstheme="minorHAnsi"/>
          <w:bCs/>
        </w:rPr>
        <w:t xml:space="preserve"> Land Rights Claims.</w:t>
      </w:r>
      <w:r w:rsidRPr="00597E56">
        <w:rPr>
          <w:rFonts w:ascii="Palatino Linotype" w:hAnsi="Palatino Linotype" w:cstheme="minorHAnsi"/>
          <w:bCs/>
          <w:i/>
        </w:rPr>
        <w:t xml:space="preserve"> The Journal of Indigenous Policy</w:t>
      </w:r>
      <w:r w:rsidRPr="00597E56">
        <w:rPr>
          <w:rFonts w:ascii="Palatino Linotype" w:hAnsi="Palatino Linotype" w:cstheme="minorHAnsi"/>
          <w:bCs/>
        </w:rPr>
        <w:t xml:space="preserve"> (8), 81.</w:t>
      </w:r>
    </w:p>
    <w:p w14:paraId="7E7C9FBC" w14:textId="77777777" w:rsidR="001473EA" w:rsidRPr="00597E56" w:rsidRDefault="001473EA" w:rsidP="00F1501F">
      <w:pPr>
        <w:pStyle w:val="NoSpacing"/>
        <w:jc w:val="both"/>
        <w:rPr>
          <w:rFonts w:ascii="Palatino Linotype" w:hAnsi="Palatino Linotype" w:cstheme="minorHAnsi"/>
          <w:b/>
        </w:rPr>
      </w:pPr>
    </w:p>
    <w:p w14:paraId="64DD3C16" w14:textId="2AC0991C" w:rsidR="002079FF" w:rsidRPr="00597E56" w:rsidRDefault="002079FF" w:rsidP="00F1501F">
      <w:pPr>
        <w:widowControl w:val="0"/>
        <w:autoSpaceDE w:val="0"/>
        <w:autoSpaceDN w:val="0"/>
        <w:adjustRightInd w:val="0"/>
        <w:spacing w:after="0" w:line="240" w:lineRule="auto"/>
        <w:ind w:right="82"/>
        <w:jc w:val="both"/>
        <w:rPr>
          <w:rFonts w:ascii="Palatino Linotype" w:hAnsi="Palatino Linotype" w:cstheme="minorHAnsi"/>
        </w:rPr>
      </w:pPr>
      <w:r w:rsidRPr="00597E56">
        <w:rPr>
          <w:rFonts w:ascii="Palatino Linotype" w:hAnsi="Palatino Linotype" w:cstheme="minorHAnsi"/>
        </w:rPr>
        <w:t xml:space="preserve">Laing, N. (2007), Distinguishing Native Title </w:t>
      </w:r>
      <w:proofErr w:type="gramStart"/>
      <w:r w:rsidRPr="00597E56">
        <w:rPr>
          <w:rFonts w:ascii="Palatino Linotype" w:hAnsi="Palatino Linotype" w:cstheme="minorHAnsi"/>
        </w:rPr>
        <w:t>And</w:t>
      </w:r>
      <w:proofErr w:type="gramEnd"/>
      <w:r w:rsidRPr="00597E56">
        <w:rPr>
          <w:rFonts w:ascii="Palatino Linotype" w:hAnsi="Palatino Linotype" w:cstheme="minorHAnsi"/>
        </w:rPr>
        <w:t xml:space="preserve"> Land Rights: Not </w:t>
      </w:r>
      <w:proofErr w:type="gramStart"/>
      <w:r w:rsidRPr="00597E56">
        <w:rPr>
          <w:rFonts w:ascii="Palatino Linotype" w:hAnsi="Palatino Linotype" w:cstheme="minorHAnsi"/>
        </w:rPr>
        <w:t>An</w:t>
      </w:r>
      <w:proofErr w:type="gramEnd"/>
      <w:r w:rsidRPr="00597E56">
        <w:rPr>
          <w:rFonts w:ascii="Palatino Linotype" w:hAnsi="Palatino Linotype" w:cstheme="minorHAnsi"/>
        </w:rPr>
        <w:t xml:space="preserve"> Easy Path </w:t>
      </w:r>
      <w:proofErr w:type="gramStart"/>
      <w:r w:rsidRPr="00597E56">
        <w:rPr>
          <w:rFonts w:ascii="Palatino Linotype" w:hAnsi="Palatino Linotype" w:cstheme="minorHAnsi"/>
        </w:rPr>
        <w:t>To</w:t>
      </w:r>
      <w:proofErr w:type="gramEnd"/>
      <w:r w:rsidRPr="00597E56">
        <w:rPr>
          <w:rFonts w:ascii="Palatino Linotype" w:hAnsi="Palatino Linotype" w:cstheme="minorHAnsi"/>
        </w:rPr>
        <w:t xml:space="preserve"> Rights </w:t>
      </w:r>
      <w:proofErr w:type="gramStart"/>
      <w:r w:rsidRPr="00597E56">
        <w:rPr>
          <w:rFonts w:ascii="Palatino Linotype" w:hAnsi="Palatino Linotype" w:cstheme="minorHAnsi"/>
        </w:rPr>
        <w:t>Or</w:t>
      </w:r>
      <w:proofErr w:type="gramEnd"/>
      <w:r w:rsidRPr="00597E56">
        <w:rPr>
          <w:rFonts w:ascii="Palatino Linotype" w:hAnsi="Palatino Linotype" w:cstheme="minorHAnsi"/>
        </w:rPr>
        <w:t xml:space="preserve"> Recognition.</w:t>
      </w:r>
      <w:r w:rsidRPr="00597E56">
        <w:rPr>
          <w:rFonts w:ascii="Palatino Linotype" w:hAnsi="Palatino Linotype" w:cstheme="minorHAnsi"/>
          <w:i/>
        </w:rPr>
        <w:t xml:space="preserve"> The Journal of Indigenous Policy</w:t>
      </w:r>
      <w:r w:rsidRPr="00597E56">
        <w:rPr>
          <w:rFonts w:ascii="Palatino Linotype" w:hAnsi="Palatino Linotype" w:cstheme="minorHAnsi"/>
        </w:rPr>
        <w:t xml:space="preserve"> (8), 54.</w:t>
      </w:r>
    </w:p>
    <w:p w14:paraId="59907842" w14:textId="77777777" w:rsidR="002079FF" w:rsidRPr="00597E56" w:rsidRDefault="002079FF" w:rsidP="00F1501F">
      <w:pPr>
        <w:pStyle w:val="NoSpacing"/>
        <w:jc w:val="both"/>
        <w:rPr>
          <w:rFonts w:ascii="Palatino Linotype" w:hAnsi="Palatino Linotype" w:cstheme="minorHAnsi"/>
          <w:bCs/>
        </w:rPr>
      </w:pPr>
    </w:p>
    <w:p w14:paraId="57A80BE5" w14:textId="49570073" w:rsidR="002079FF" w:rsidRPr="00597E56" w:rsidRDefault="002377AD" w:rsidP="00F1501F">
      <w:pPr>
        <w:pStyle w:val="NoSpacing"/>
        <w:jc w:val="both"/>
        <w:rPr>
          <w:rFonts w:ascii="Palatino Linotype" w:hAnsi="Palatino Linotype" w:cstheme="minorHAnsi"/>
          <w:bCs/>
        </w:rPr>
      </w:pPr>
      <w:r w:rsidRPr="00597E56">
        <w:rPr>
          <w:rFonts w:ascii="Palatino Linotype" w:hAnsi="Palatino Linotype" w:cstheme="minorHAnsi"/>
          <w:bCs/>
        </w:rPr>
        <w:t xml:space="preserve">Mc Crae, H., </w:t>
      </w:r>
      <w:proofErr w:type="spellStart"/>
      <w:r w:rsidRPr="00597E56">
        <w:rPr>
          <w:rFonts w:ascii="Palatino Linotype" w:hAnsi="Palatino Linotype" w:cstheme="minorHAnsi"/>
          <w:bCs/>
        </w:rPr>
        <w:t>Nettheim</w:t>
      </w:r>
      <w:proofErr w:type="spellEnd"/>
      <w:r w:rsidRPr="00597E56">
        <w:rPr>
          <w:rFonts w:ascii="Palatino Linotype" w:hAnsi="Palatino Linotype" w:cstheme="minorHAnsi"/>
          <w:bCs/>
        </w:rPr>
        <w:t xml:space="preserve">, G., Beacroft, L. and McNamara, L. (2003) </w:t>
      </w:r>
      <w:r w:rsidRPr="00597E56">
        <w:rPr>
          <w:rFonts w:ascii="Palatino Linotype" w:hAnsi="Palatino Linotype" w:cstheme="minorHAnsi"/>
          <w:bCs/>
          <w:i/>
        </w:rPr>
        <w:t xml:space="preserve">Indigenous Legal Issues Commentary and Materials. </w:t>
      </w:r>
      <w:r w:rsidRPr="00597E56">
        <w:rPr>
          <w:rFonts w:ascii="Palatino Linotype" w:hAnsi="Palatino Linotype" w:cstheme="minorHAnsi"/>
          <w:bCs/>
        </w:rPr>
        <w:t xml:space="preserve">Sydney: </w:t>
      </w:r>
      <w:proofErr w:type="spellStart"/>
      <w:r w:rsidRPr="00597E56">
        <w:rPr>
          <w:rFonts w:ascii="Palatino Linotype" w:hAnsi="Palatino Linotype" w:cstheme="minorHAnsi"/>
          <w:bCs/>
        </w:rPr>
        <w:t>LawBook</w:t>
      </w:r>
      <w:proofErr w:type="spellEnd"/>
      <w:r w:rsidRPr="00597E56">
        <w:rPr>
          <w:rFonts w:ascii="Palatino Linotype" w:hAnsi="Palatino Linotype" w:cstheme="minorHAnsi"/>
          <w:bCs/>
        </w:rPr>
        <w:t xml:space="preserve"> Co.</w:t>
      </w:r>
    </w:p>
    <w:p w14:paraId="5B87053E" w14:textId="77777777" w:rsidR="002377AD" w:rsidRPr="00597E56" w:rsidRDefault="002377AD" w:rsidP="00F1501F">
      <w:pPr>
        <w:pStyle w:val="NoSpacing"/>
        <w:jc w:val="both"/>
        <w:rPr>
          <w:rFonts w:ascii="Palatino Linotype" w:hAnsi="Palatino Linotype" w:cstheme="minorHAnsi"/>
          <w:bCs/>
        </w:rPr>
      </w:pPr>
    </w:p>
    <w:p w14:paraId="4507F17F" w14:textId="16626421" w:rsidR="00FA6894" w:rsidRPr="00597E56" w:rsidRDefault="00FA6894" w:rsidP="00F1501F">
      <w:pPr>
        <w:pStyle w:val="NoSpacing"/>
        <w:jc w:val="both"/>
        <w:rPr>
          <w:rFonts w:ascii="Palatino Linotype" w:hAnsi="Palatino Linotype" w:cstheme="minorHAnsi"/>
          <w:bCs/>
        </w:rPr>
      </w:pPr>
      <w:r w:rsidRPr="00597E56">
        <w:rPr>
          <w:rFonts w:ascii="Palatino Linotype" w:hAnsi="Palatino Linotype" w:cstheme="minorHAnsi"/>
          <w:bCs/>
        </w:rPr>
        <w:t xml:space="preserve">Morphett, L. (2024) Aboriginal land and heritage in NSW. In P. Williams (Ed.), </w:t>
      </w:r>
      <w:r w:rsidRPr="00597E56">
        <w:rPr>
          <w:rFonts w:ascii="Palatino Linotype" w:hAnsi="Palatino Linotype" w:cstheme="minorHAnsi"/>
          <w:bCs/>
          <w:i/>
          <w:iCs/>
        </w:rPr>
        <w:t>The Environmental Law Handbook: Legislation, Case Law and Policy in NSW.</w:t>
      </w:r>
      <w:r w:rsidRPr="00597E56">
        <w:rPr>
          <w:rFonts w:ascii="Palatino Linotype" w:hAnsi="Palatino Linotype" w:cstheme="minorHAnsi"/>
          <w:bCs/>
        </w:rPr>
        <w:t xml:space="preserve"> 4</w:t>
      </w:r>
      <w:r w:rsidRPr="00597E56">
        <w:rPr>
          <w:rFonts w:ascii="Palatino Linotype" w:hAnsi="Palatino Linotype" w:cstheme="minorHAnsi"/>
          <w:bCs/>
          <w:vertAlign w:val="superscript"/>
        </w:rPr>
        <w:t>th</w:t>
      </w:r>
      <w:r w:rsidRPr="00597E56">
        <w:rPr>
          <w:rFonts w:ascii="Palatino Linotype" w:hAnsi="Palatino Linotype" w:cstheme="minorHAnsi"/>
          <w:bCs/>
        </w:rPr>
        <w:t xml:space="preserve"> Edition (pp.427-482) Sydney: Thomson Reuters.</w:t>
      </w:r>
    </w:p>
    <w:p w14:paraId="6602E449" w14:textId="77777777" w:rsidR="002377AD" w:rsidRPr="00597E56" w:rsidRDefault="002377AD" w:rsidP="00F1501F">
      <w:pPr>
        <w:pStyle w:val="NoSpacing"/>
        <w:jc w:val="both"/>
        <w:rPr>
          <w:rFonts w:ascii="Palatino Linotype" w:hAnsi="Palatino Linotype" w:cstheme="minorHAnsi"/>
          <w:bCs/>
        </w:rPr>
      </w:pPr>
    </w:p>
    <w:p w14:paraId="571F3E5C" w14:textId="32C233FA" w:rsidR="002377AD" w:rsidRPr="00597E56" w:rsidRDefault="002377AD" w:rsidP="00F1501F">
      <w:pPr>
        <w:pStyle w:val="NoSpacing"/>
        <w:jc w:val="both"/>
        <w:rPr>
          <w:rFonts w:ascii="Palatino Linotype" w:hAnsi="Palatino Linotype" w:cstheme="minorHAnsi"/>
          <w:bCs/>
        </w:rPr>
      </w:pPr>
      <w:r w:rsidRPr="00597E56">
        <w:rPr>
          <w:rFonts w:ascii="Palatino Linotype" w:hAnsi="Palatino Linotype" w:cstheme="minorHAnsi"/>
          <w:bCs/>
        </w:rPr>
        <w:t>New South Wales Department of Aboriginal Affairs (</w:t>
      </w:r>
      <w:r w:rsidR="00E86EBC" w:rsidRPr="00597E56">
        <w:rPr>
          <w:rFonts w:ascii="Palatino Linotype" w:hAnsi="Palatino Linotype" w:cstheme="minorHAnsi"/>
          <w:bCs/>
        </w:rPr>
        <w:t>2000</w:t>
      </w:r>
      <w:r w:rsidRPr="00597E56">
        <w:rPr>
          <w:rFonts w:ascii="Palatino Linotype" w:hAnsi="Palatino Linotype" w:cstheme="minorHAnsi"/>
          <w:bCs/>
        </w:rPr>
        <w:t xml:space="preserve">) </w:t>
      </w:r>
      <w:r w:rsidRPr="00597E56">
        <w:rPr>
          <w:rFonts w:ascii="Palatino Linotype" w:hAnsi="Palatino Linotype" w:cstheme="minorHAnsi"/>
          <w:bCs/>
          <w:i/>
          <w:iCs/>
        </w:rPr>
        <w:t>Background Paper: Review of the Aboriginal Land Rights Act 1983 (NSW).</w:t>
      </w:r>
      <w:r w:rsidRPr="00597E56">
        <w:rPr>
          <w:rFonts w:ascii="Palatino Linotype" w:hAnsi="Palatino Linotype" w:cstheme="minorHAnsi"/>
          <w:bCs/>
        </w:rPr>
        <w:t xml:space="preserve"> Sydney</w:t>
      </w:r>
      <w:r w:rsidR="00D65F21" w:rsidRPr="00597E56">
        <w:rPr>
          <w:rFonts w:ascii="Palatino Linotype" w:hAnsi="Palatino Linotype" w:cstheme="minorHAnsi"/>
          <w:bCs/>
        </w:rPr>
        <w:t>.</w:t>
      </w:r>
    </w:p>
    <w:p w14:paraId="7D91BC84" w14:textId="77777777" w:rsidR="00712F85" w:rsidRPr="00597E56" w:rsidRDefault="00712F85" w:rsidP="00F1501F">
      <w:pPr>
        <w:pStyle w:val="NoSpacing"/>
        <w:jc w:val="both"/>
        <w:rPr>
          <w:rFonts w:ascii="Palatino Linotype" w:hAnsi="Palatino Linotype" w:cstheme="minorHAnsi"/>
          <w:bCs/>
        </w:rPr>
      </w:pPr>
    </w:p>
    <w:p w14:paraId="0E8727E6" w14:textId="2E6E293D" w:rsidR="00712F85" w:rsidRPr="00597E56" w:rsidRDefault="00712F85" w:rsidP="00F1501F">
      <w:pPr>
        <w:pStyle w:val="NoSpacing"/>
        <w:jc w:val="both"/>
        <w:rPr>
          <w:rFonts w:ascii="Palatino Linotype" w:hAnsi="Palatino Linotype" w:cstheme="minorHAnsi"/>
          <w:bCs/>
        </w:rPr>
      </w:pPr>
      <w:proofErr w:type="spellStart"/>
      <w:r w:rsidRPr="00597E56">
        <w:rPr>
          <w:rFonts w:ascii="Palatino Linotype" w:hAnsi="Palatino Linotype" w:cstheme="minorHAnsi"/>
          <w:bCs/>
        </w:rPr>
        <w:t>OzArk</w:t>
      </w:r>
      <w:proofErr w:type="spellEnd"/>
      <w:r w:rsidRPr="00597E56">
        <w:rPr>
          <w:rFonts w:ascii="Palatino Linotype" w:hAnsi="Palatino Linotype" w:cstheme="minorHAnsi"/>
          <w:bCs/>
        </w:rPr>
        <w:t xml:space="preserve"> Environmental and Heritage Management P</w:t>
      </w:r>
      <w:r w:rsidR="008D45F1" w:rsidRPr="00597E56">
        <w:rPr>
          <w:rFonts w:ascii="Palatino Linotype" w:hAnsi="Palatino Linotype" w:cstheme="minorHAnsi"/>
          <w:bCs/>
        </w:rPr>
        <w:t>ty Ltd</w:t>
      </w:r>
      <w:r w:rsidRPr="00597E56">
        <w:rPr>
          <w:rFonts w:ascii="Palatino Linotype" w:hAnsi="Palatino Linotype" w:cstheme="minorHAnsi"/>
          <w:bCs/>
        </w:rPr>
        <w:t xml:space="preserve"> (2009) </w:t>
      </w:r>
      <w:r w:rsidRPr="00597E56">
        <w:rPr>
          <w:rFonts w:ascii="Palatino Linotype" w:hAnsi="Palatino Linotype" w:cstheme="minorHAnsi"/>
          <w:bCs/>
          <w:i/>
        </w:rPr>
        <w:t>Indigenous &amp; Non-Indigenous Heritage Assessment: Manildra-Parkes 132KV Electricity Transmission Line</w:t>
      </w:r>
      <w:r w:rsidRPr="00597E56">
        <w:rPr>
          <w:rFonts w:ascii="Palatino Linotype" w:hAnsi="Palatino Linotype" w:cstheme="minorHAnsi"/>
          <w:bCs/>
        </w:rPr>
        <w:t>.  Report prepared for URS Australia on behalf of TransGrid. Dubbo, July.</w:t>
      </w:r>
    </w:p>
    <w:p w14:paraId="07B00D57" w14:textId="77777777" w:rsidR="00873961" w:rsidRPr="00597E56" w:rsidRDefault="00873961" w:rsidP="00F1501F">
      <w:pPr>
        <w:pStyle w:val="NoSpacing"/>
        <w:jc w:val="both"/>
        <w:rPr>
          <w:rFonts w:ascii="Palatino Linotype" w:hAnsi="Palatino Linotype" w:cstheme="minorHAnsi"/>
          <w:bCs/>
        </w:rPr>
      </w:pPr>
    </w:p>
    <w:p w14:paraId="615EFB70" w14:textId="20701569" w:rsidR="00873961" w:rsidRPr="00597E56" w:rsidRDefault="00873961" w:rsidP="00F1501F">
      <w:pPr>
        <w:pStyle w:val="NoSpacing"/>
        <w:jc w:val="both"/>
        <w:rPr>
          <w:rFonts w:ascii="Palatino Linotype" w:hAnsi="Palatino Linotype" w:cstheme="minorHAnsi"/>
          <w:bCs/>
        </w:rPr>
      </w:pPr>
      <w:r w:rsidRPr="00597E56">
        <w:rPr>
          <w:rFonts w:ascii="Palatino Linotype" w:hAnsi="Palatino Linotype" w:cstheme="minorHAnsi"/>
          <w:bCs/>
        </w:rPr>
        <w:t>Packham, A</w:t>
      </w:r>
      <w:r w:rsidR="00014755" w:rsidRPr="00597E56">
        <w:rPr>
          <w:rFonts w:ascii="Palatino Linotype" w:hAnsi="Palatino Linotype" w:cstheme="minorHAnsi"/>
          <w:bCs/>
        </w:rPr>
        <w:t>.</w:t>
      </w:r>
      <w:r w:rsidRPr="00597E56">
        <w:rPr>
          <w:rFonts w:ascii="Palatino Linotype" w:hAnsi="Palatino Linotype" w:cstheme="minorHAnsi"/>
          <w:bCs/>
        </w:rPr>
        <w:t xml:space="preserve"> (2014</w:t>
      </w:r>
      <w:r w:rsidR="00202E35" w:rsidRPr="00597E56">
        <w:rPr>
          <w:rFonts w:ascii="Palatino Linotype" w:hAnsi="Palatino Linotype" w:cstheme="minorHAnsi"/>
          <w:bCs/>
        </w:rPr>
        <w:t>), Between</w:t>
      </w:r>
      <w:r w:rsidRPr="00597E56">
        <w:rPr>
          <w:rFonts w:ascii="Palatino Linotype" w:hAnsi="Palatino Linotype" w:cstheme="minorHAnsi"/>
          <w:bCs/>
        </w:rPr>
        <w:t xml:space="preserve"> a rock and a hard. place: Legislative shortcomings hindering Aboriginal Cultural heritage protection, </w:t>
      </w:r>
      <w:r w:rsidRPr="00597E56">
        <w:rPr>
          <w:rFonts w:ascii="Palatino Linotype" w:hAnsi="Palatino Linotype" w:cstheme="minorHAnsi"/>
          <w:bCs/>
          <w:i/>
        </w:rPr>
        <w:t>Environmental and Planning Law Journal, (</w:t>
      </w:r>
      <w:r w:rsidRPr="00597E56">
        <w:rPr>
          <w:rFonts w:ascii="Palatino Linotype" w:hAnsi="Palatino Linotype" w:cstheme="minorHAnsi"/>
          <w:bCs/>
        </w:rPr>
        <w:t>31)2, 75-91.</w:t>
      </w:r>
    </w:p>
    <w:p w14:paraId="2ADAA463" w14:textId="77777777" w:rsidR="001C6672" w:rsidRPr="00597E56" w:rsidRDefault="001C6672" w:rsidP="00F1501F">
      <w:pPr>
        <w:pStyle w:val="NoSpacing"/>
        <w:jc w:val="both"/>
        <w:rPr>
          <w:rFonts w:ascii="Palatino Linotype" w:hAnsi="Palatino Linotype" w:cstheme="minorHAnsi"/>
          <w:bCs/>
        </w:rPr>
      </w:pPr>
    </w:p>
    <w:p w14:paraId="0941BFFD" w14:textId="4CE15546" w:rsidR="001C6672" w:rsidRPr="00597E56" w:rsidRDefault="001C6672" w:rsidP="00F1501F">
      <w:pPr>
        <w:pStyle w:val="NoSpacing"/>
        <w:jc w:val="both"/>
        <w:rPr>
          <w:rFonts w:ascii="Palatino Linotype" w:hAnsi="Palatino Linotype" w:cstheme="minorHAnsi"/>
          <w:bCs/>
        </w:rPr>
      </w:pPr>
      <w:r w:rsidRPr="00597E56">
        <w:rPr>
          <w:rFonts w:ascii="Palatino Linotype" w:hAnsi="Palatino Linotype" w:cstheme="minorHAnsi"/>
          <w:bCs/>
        </w:rPr>
        <w:t xml:space="preserve">Pierluigi, C. (1991) Aboriginal Land Rights History: Western Australia </w:t>
      </w:r>
      <w:r w:rsidRPr="00597E56">
        <w:rPr>
          <w:rFonts w:ascii="Palatino Linotype" w:hAnsi="Palatino Linotype" w:cstheme="minorHAnsi"/>
          <w:bCs/>
          <w:i/>
          <w:iCs/>
        </w:rPr>
        <w:t xml:space="preserve">Aboriginal </w:t>
      </w:r>
      <w:proofErr w:type="spellStart"/>
      <w:r w:rsidRPr="00597E56">
        <w:rPr>
          <w:rFonts w:ascii="Palatino Linotype" w:hAnsi="Palatino Linotype" w:cstheme="minorHAnsi"/>
          <w:bCs/>
          <w:i/>
          <w:iCs/>
        </w:rPr>
        <w:t>LawB</w:t>
      </w:r>
      <w:proofErr w:type="spellEnd"/>
      <w:r w:rsidRPr="00597E56">
        <w:rPr>
          <w:rFonts w:ascii="Palatino Linotype" w:hAnsi="Palatino Linotype" w:cstheme="minorHAnsi"/>
          <w:bCs/>
        </w:rPr>
        <w:t xml:space="preserve"> 56; (1991) 1(52) </w:t>
      </w:r>
      <w:r w:rsidRPr="00597E56">
        <w:rPr>
          <w:rFonts w:ascii="Palatino Linotype" w:hAnsi="Palatino Linotype" w:cstheme="minorHAnsi"/>
          <w:bCs/>
          <w:i/>
          <w:iCs/>
        </w:rPr>
        <w:t>Aboriginal Law Bulletin</w:t>
      </w:r>
      <w:r w:rsidRPr="00597E56">
        <w:rPr>
          <w:rFonts w:ascii="Palatino Linotype" w:hAnsi="Palatino Linotype" w:cstheme="minorHAnsi"/>
          <w:bCs/>
        </w:rPr>
        <w:t xml:space="preserve"> 24</w:t>
      </w:r>
      <w:r w:rsidR="009E50B7" w:rsidRPr="00597E56">
        <w:rPr>
          <w:rFonts w:ascii="Palatino Linotype" w:hAnsi="Palatino Linotype" w:cstheme="minorHAnsi"/>
          <w:bCs/>
        </w:rPr>
        <w:t>.</w:t>
      </w:r>
    </w:p>
    <w:p w14:paraId="167AB689" w14:textId="77777777" w:rsidR="00E56AF0" w:rsidRPr="00597E56" w:rsidRDefault="00E56AF0" w:rsidP="00F1501F">
      <w:pPr>
        <w:pStyle w:val="NoSpacing"/>
        <w:jc w:val="both"/>
        <w:rPr>
          <w:rFonts w:ascii="Palatino Linotype" w:hAnsi="Palatino Linotype" w:cstheme="minorHAnsi"/>
          <w:bCs/>
        </w:rPr>
      </w:pPr>
    </w:p>
    <w:p w14:paraId="54B84D5E" w14:textId="5DBFD400" w:rsidR="00E56AF0" w:rsidRPr="00597E56" w:rsidRDefault="00E56AF0" w:rsidP="00F1501F">
      <w:pPr>
        <w:pStyle w:val="NoSpacing"/>
        <w:jc w:val="both"/>
        <w:rPr>
          <w:rFonts w:ascii="Palatino Linotype" w:hAnsi="Palatino Linotype" w:cstheme="minorHAnsi"/>
          <w:bCs/>
        </w:rPr>
      </w:pPr>
      <w:r w:rsidRPr="00597E56">
        <w:rPr>
          <w:rFonts w:ascii="Palatino Linotype" w:hAnsi="Palatino Linotype" w:cstheme="minorHAnsi"/>
          <w:bCs/>
        </w:rPr>
        <w:t xml:space="preserve">Productivity Commission (2013), </w:t>
      </w:r>
      <w:r w:rsidRPr="00597E56">
        <w:rPr>
          <w:rFonts w:ascii="Palatino Linotype" w:hAnsi="Palatino Linotype" w:cstheme="minorHAnsi"/>
          <w:bCs/>
          <w:i/>
        </w:rPr>
        <w:t xml:space="preserve">Mineral and Energy Resource Exploration, </w:t>
      </w:r>
      <w:r w:rsidRPr="00597E56">
        <w:rPr>
          <w:rFonts w:ascii="Palatino Linotype" w:hAnsi="Palatino Linotype" w:cstheme="minorHAnsi"/>
          <w:bCs/>
        </w:rPr>
        <w:t>Inquiry Report No. 65. Canberra: 27 September (Chapter 6 Heritage Protection).</w:t>
      </w:r>
    </w:p>
    <w:p w14:paraId="0805794B" w14:textId="77777777" w:rsidR="00C55108" w:rsidRPr="00597E56" w:rsidRDefault="00C55108" w:rsidP="00F1501F">
      <w:pPr>
        <w:pStyle w:val="NoSpacing"/>
        <w:jc w:val="both"/>
        <w:rPr>
          <w:rFonts w:ascii="Palatino Linotype" w:hAnsi="Palatino Linotype" w:cstheme="minorHAnsi"/>
          <w:bCs/>
        </w:rPr>
      </w:pPr>
    </w:p>
    <w:p w14:paraId="1F077147" w14:textId="5049C430" w:rsidR="00C55108" w:rsidRPr="00597E56" w:rsidRDefault="00C55108" w:rsidP="00F1501F">
      <w:pPr>
        <w:pStyle w:val="NoSpacing"/>
        <w:jc w:val="both"/>
        <w:rPr>
          <w:rFonts w:ascii="Palatino Linotype" w:hAnsi="Palatino Linotype" w:cstheme="minorHAnsi"/>
          <w:bCs/>
        </w:rPr>
      </w:pPr>
      <w:r w:rsidRPr="00597E56">
        <w:rPr>
          <w:rFonts w:ascii="Palatino Linotype" w:hAnsi="Palatino Linotype" w:cstheme="minorHAnsi"/>
          <w:bCs/>
        </w:rPr>
        <w:t xml:space="preserve">Sanders, H. (2015) Aboriginal land claims in New South Wales – some town planning issues. </w:t>
      </w:r>
      <w:r w:rsidRPr="00597E56">
        <w:rPr>
          <w:rFonts w:ascii="Palatino Linotype" w:hAnsi="Palatino Linotype" w:cstheme="minorHAnsi"/>
          <w:bCs/>
          <w:i/>
          <w:iCs/>
        </w:rPr>
        <w:t>New Planner</w:t>
      </w:r>
      <w:r w:rsidRPr="00597E56">
        <w:rPr>
          <w:rFonts w:ascii="Palatino Linotype" w:hAnsi="Palatino Linotype" w:cstheme="minorHAnsi"/>
          <w:bCs/>
        </w:rPr>
        <w:t xml:space="preserve"> (December), 22-23.</w:t>
      </w:r>
    </w:p>
    <w:p w14:paraId="2E601105" w14:textId="77777777" w:rsidR="000E37B9" w:rsidRPr="00597E56" w:rsidRDefault="000E37B9" w:rsidP="00F1501F">
      <w:pPr>
        <w:pStyle w:val="NoSpacing"/>
        <w:jc w:val="both"/>
        <w:rPr>
          <w:rFonts w:ascii="Palatino Linotype" w:hAnsi="Palatino Linotype" w:cstheme="minorHAnsi"/>
          <w:bCs/>
        </w:rPr>
      </w:pPr>
    </w:p>
    <w:p w14:paraId="3896EE56" w14:textId="77777777" w:rsidR="000014CD" w:rsidRPr="00597E56" w:rsidRDefault="000014CD" w:rsidP="00F1501F">
      <w:pPr>
        <w:pStyle w:val="NoSpacing"/>
        <w:jc w:val="both"/>
        <w:rPr>
          <w:rFonts w:ascii="Palatino Linotype" w:hAnsi="Palatino Linotype" w:cstheme="minorHAnsi"/>
          <w:bCs/>
        </w:rPr>
      </w:pPr>
      <w:r w:rsidRPr="00597E56">
        <w:rPr>
          <w:rFonts w:ascii="Palatino Linotype" w:hAnsi="Palatino Linotype" w:cstheme="minorHAnsi"/>
          <w:bCs/>
        </w:rPr>
        <w:t xml:space="preserve">Seaman, P., 1984. Aboriginal Land Inquiry (W.A.). 1984, The Aboriginal Land </w:t>
      </w:r>
      <w:proofErr w:type="gramStart"/>
      <w:r w:rsidRPr="00597E56">
        <w:rPr>
          <w:rFonts w:ascii="Palatino Linotype" w:hAnsi="Palatino Linotype" w:cstheme="minorHAnsi"/>
          <w:bCs/>
        </w:rPr>
        <w:t>Inquiry :</w:t>
      </w:r>
      <w:proofErr w:type="gramEnd"/>
      <w:r w:rsidRPr="00597E56">
        <w:rPr>
          <w:rFonts w:ascii="Palatino Linotype" w:hAnsi="Palatino Linotype" w:cstheme="minorHAnsi"/>
          <w:bCs/>
        </w:rPr>
        <w:t xml:space="preserve"> report The Inquiry, Perth, W.A.</w:t>
      </w:r>
    </w:p>
    <w:p w14:paraId="1FB33221" w14:textId="77777777" w:rsidR="000014CD" w:rsidRPr="00597E56" w:rsidRDefault="000014CD" w:rsidP="00F1501F">
      <w:pPr>
        <w:pStyle w:val="NoSpacing"/>
        <w:jc w:val="both"/>
        <w:rPr>
          <w:rFonts w:ascii="Palatino Linotype" w:hAnsi="Palatino Linotype" w:cstheme="minorHAnsi"/>
          <w:bCs/>
        </w:rPr>
      </w:pPr>
    </w:p>
    <w:p w14:paraId="0FCC0F05" w14:textId="77777777" w:rsidR="000E37B9" w:rsidRPr="00597E56" w:rsidRDefault="000E37B9" w:rsidP="00F1501F">
      <w:pPr>
        <w:pStyle w:val="NoSpacing"/>
        <w:jc w:val="both"/>
        <w:rPr>
          <w:rFonts w:ascii="Palatino Linotype" w:hAnsi="Palatino Linotype" w:cstheme="minorHAnsi"/>
          <w:bCs/>
        </w:rPr>
      </w:pPr>
      <w:r w:rsidRPr="00597E56">
        <w:rPr>
          <w:rFonts w:ascii="Palatino Linotype" w:hAnsi="Palatino Linotype" w:cstheme="minorHAnsi"/>
          <w:bCs/>
        </w:rPr>
        <w:t xml:space="preserve">Sheehan, J. (2010) “New ‘Old’ Property: Compensation for Indigenous Cultural Heritage.” </w:t>
      </w:r>
      <w:r w:rsidRPr="00597E56">
        <w:rPr>
          <w:rFonts w:ascii="Palatino Linotype" w:hAnsi="Palatino Linotype" w:cstheme="minorHAnsi"/>
          <w:bCs/>
          <w:i/>
          <w:iCs/>
        </w:rPr>
        <w:t>Australia and New Zealand Property Journal</w:t>
      </w:r>
      <w:r w:rsidRPr="00597E56">
        <w:rPr>
          <w:rFonts w:ascii="Palatino Linotype" w:hAnsi="Palatino Linotype" w:cstheme="minorHAnsi"/>
          <w:bCs/>
        </w:rPr>
        <w:t xml:space="preserve"> 2(6) June, 375-381.</w:t>
      </w:r>
    </w:p>
    <w:p w14:paraId="6B65409D" w14:textId="77777777" w:rsidR="009E56AE" w:rsidRPr="00597E56" w:rsidRDefault="009E56AE" w:rsidP="00F1501F">
      <w:pPr>
        <w:pStyle w:val="NoSpacing"/>
        <w:jc w:val="both"/>
        <w:rPr>
          <w:rFonts w:ascii="Palatino Linotype" w:hAnsi="Palatino Linotype" w:cstheme="minorHAnsi"/>
          <w:bCs/>
        </w:rPr>
      </w:pPr>
    </w:p>
    <w:p w14:paraId="33E55AC6" w14:textId="6B9F3471" w:rsidR="009E56AE" w:rsidRPr="00597E56" w:rsidRDefault="009E56AE" w:rsidP="00F1501F">
      <w:pPr>
        <w:pStyle w:val="NoSpacing"/>
        <w:jc w:val="both"/>
        <w:rPr>
          <w:rFonts w:ascii="Palatino Linotype" w:hAnsi="Palatino Linotype" w:cstheme="minorHAnsi"/>
          <w:bCs/>
        </w:rPr>
      </w:pPr>
      <w:r w:rsidRPr="00597E56">
        <w:rPr>
          <w:rFonts w:ascii="Palatino Linotype" w:hAnsi="Palatino Linotype" w:cstheme="minorHAnsi"/>
        </w:rPr>
        <w:t>Sheehan, J. and Turner, J. (2013</w:t>
      </w:r>
      <w:r w:rsidR="003D51CA" w:rsidRPr="00597E56">
        <w:rPr>
          <w:rFonts w:ascii="Palatino Linotype" w:hAnsi="Palatino Linotype" w:cstheme="minorHAnsi"/>
        </w:rPr>
        <w:t xml:space="preserve">) </w:t>
      </w:r>
      <w:r w:rsidR="003D51CA" w:rsidRPr="00597E56">
        <w:rPr>
          <w:rFonts w:ascii="Palatino Linotype" w:hAnsi="Palatino Linotype" w:cstheme="minorHAnsi"/>
          <w:i/>
          <w:iCs/>
        </w:rPr>
        <w:t>Marginalising</w:t>
      </w:r>
      <w:r w:rsidRPr="00597E56">
        <w:rPr>
          <w:rFonts w:ascii="Palatino Linotype" w:hAnsi="Palatino Linotype" w:cstheme="minorHAnsi"/>
          <w:i/>
          <w:iCs/>
        </w:rPr>
        <w:t xml:space="preserve"> Indigenous Peoples: </w:t>
      </w:r>
      <w:proofErr w:type="gramStart"/>
      <w:r w:rsidRPr="00597E56">
        <w:rPr>
          <w:rFonts w:ascii="Palatino Linotype" w:hAnsi="Palatino Linotype" w:cstheme="minorHAnsi"/>
          <w:i/>
          <w:iCs/>
        </w:rPr>
        <w:t>the</w:t>
      </w:r>
      <w:proofErr w:type="gramEnd"/>
      <w:r w:rsidRPr="00597E56">
        <w:rPr>
          <w:rFonts w:ascii="Palatino Linotype" w:hAnsi="Palatino Linotype" w:cstheme="minorHAnsi"/>
          <w:i/>
          <w:iCs/>
        </w:rPr>
        <w:t xml:space="preserve"> Compensation Question</w:t>
      </w:r>
      <w:r w:rsidR="003D51CA" w:rsidRPr="00597E56">
        <w:rPr>
          <w:rFonts w:ascii="Palatino Linotype" w:hAnsi="Palatino Linotype" w:cstheme="minorHAnsi"/>
        </w:rPr>
        <w:t>,</w:t>
      </w:r>
      <w:r w:rsidRPr="00597E56">
        <w:rPr>
          <w:rFonts w:ascii="Palatino Linotype" w:hAnsi="Palatino Linotype" w:cstheme="minorHAnsi"/>
          <w:i/>
          <w:iCs/>
        </w:rPr>
        <w:t xml:space="preserve"> </w:t>
      </w:r>
      <w:r w:rsidRPr="00597E56">
        <w:rPr>
          <w:rFonts w:ascii="Palatino Linotype" w:hAnsi="Palatino Linotype" w:cstheme="minorHAnsi"/>
          <w:iCs/>
        </w:rPr>
        <w:t>Unpublished paper presented at the</w:t>
      </w:r>
      <w:r w:rsidRPr="00597E56">
        <w:rPr>
          <w:rFonts w:ascii="Palatino Linotype" w:hAnsi="Palatino Linotype" w:cstheme="minorHAnsi"/>
          <w:i/>
          <w:iCs/>
        </w:rPr>
        <w:t xml:space="preserve"> </w:t>
      </w:r>
      <w:r w:rsidRPr="00597E56">
        <w:rPr>
          <w:rFonts w:ascii="Palatino Linotype" w:hAnsi="Palatino Linotype" w:cstheme="minorHAnsi"/>
        </w:rPr>
        <w:t>Institute of Australian Geographers (IAG) Conference, Crawley Campus, University of Western Australia, Perth, 1 July.</w:t>
      </w:r>
    </w:p>
    <w:p w14:paraId="34FF6765" w14:textId="77777777" w:rsidR="001168BF" w:rsidRPr="00597E56" w:rsidRDefault="001168BF" w:rsidP="00F1501F">
      <w:pPr>
        <w:pStyle w:val="NoSpacing"/>
        <w:jc w:val="both"/>
        <w:rPr>
          <w:rFonts w:ascii="Palatino Linotype" w:hAnsi="Palatino Linotype" w:cstheme="minorHAnsi"/>
          <w:bCs/>
        </w:rPr>
      </w:pPr>
    </w:p>
    <w:p w14:paraId="07DE907E" w14:textId="6864BCD6" w:rsidR="000F36F8" w:rsidRPr="00597E56" w:rsidRDefault="001168BF" w:rsidP="00F1501F">
      <w:pPr>
        <w:pStyle w:val="NoSpacing"/>
        <w:jc w:val="both"/>
        <w:rPr>
          <w:rFonts w:ascii="Palatino Linotype" w:hAnsi="Palatino Linotype" w:cstheme="minorHAnsi"/>
          <w:bCs/>
          <w:spacing w:val="-10"/>
          <w:w w:val="103"/>
        </w:rPr>
      </w:pPr>
      <w:r w:rsidRPr="00597E56">
        <w:rPr>
          <w:rFonts w:ascii="Palatino Linotype" w:hAnsi="Palatino Linotype"/>
        </w:rPr>
        <w:lastRenderedPageBreak/>
        <w:t xml:space="preserve">Small, G. (2006) Property economics and method: formalising the methodological parameters for the discipline. </w:t>
      </w:r>
      <w:r w:rsidRPr="00597E56">
        <w:rPr>
          <w:rFonts w:ascii="Palatino Linotype" w:hAnsi="Palatino Linotype"/>
          <w:i/>
        </w:rPr>
        <w:t>Pacific Rim Property Research Journal</w:t>
      </w:r>
      <w:r w:rsidRPr="00597E56">
        <w:rPr>
          <w:rFonts w:ascii="Palatino Linotype" w:hAnsi="Palatino Linotype"/>
        </w:rPr>
        <w:t xml:space="preserve"> 12 (4), 363</w:t>
      </w:r>
      <w:r w:rsidRPr="00597E56">
        <w:rPr>
          <w:rFonts w:ascii="Palatino Linotype" w:hAnsi="Palatino Linotype" w:cstheme="minorHAnsi"/>
          <w:bCs/>
          <w:spacing w:val="-10"/>
          <w:w w:val="103"/>
        </w:rPr>
        <w:t>-368.</w:t>
      </w:r>
    </w:p>
    <w:p w14:paraId="40774F25" w14:textId="77777777" w:rsidR="005072C3" w:rsidRPr="00597E56" w:rsidRDefault="005072C3" w:rsidP="00F1501F">
      <w:pPr>
        <w:pStyle w:val="NoSpacing"/>
        <w:jc w:val="both"/>
        <w:rPr>
          <w:rFonts w:ascii="Palatino Linotype" w:hAnsi="Palatino Linotype" w:cstheme="minorHAnsi"/>
          <w:bCs/>
          <w:spacing w:val="-10"/>
          <w:w w:val="103"/>
        </w:rPr>
      </w:pPr>
    </w:p>
    <w:p w14:paraId="481AA3FF" w14:textId="0C37ACD9" w:rsidR="005072C3" w:rsidRPr="00597E56" w:rsidRDefault="005072C3" w:rsidP="00F1501F">
      <w:pPr>
        <w:pStyle w:val="NoSpacing"/>
        <w:jc w:val="both"/>
        <w:rPr>
          <w:rFonts w:ascii="Palatino Linotype" w:hAnsi="Palatino Linotype" w:cstheme="minorHAnsi"/>
          <w:bCs/>
          <w:spacing w:val="-10"/>
          <w:w w:val="103"/>
        </w:rPr>
      </w:pPr>
      <w:r w:rsidRPr="00597E56">
        <w:rPr>
          <w:rFonts w:ascii="Palatino Linotype" w:hAnsi="Palatino Linotype" w:cstheme="minorHAnsi"/>
          <w:bCs/>
          <w:spacing w:val="-10"/>
          <w:w w:val="103"/>
        </w:rPr>
        <w:t xml:space="preserve">Sneddon, A. (2012) Aboriginal objections to development and mining activities on the grounds of adverse impacts to sites of spiritual significance: Australian judicial and quasi-judicial responses. </w:t>
      </w:r>
      <w:r w:rsidRPr="00597E56">
        <w:rPr>
          <w:rFonts w:ascii="Palatino Linotype" w:hAnsi="Palatino Linotype" w:cstheme="minorHAnsi"/>
          <w:bCs/>
          <w:i/>
          <w:spacing w:val="-10"/>
          <w:w w:val="103"/>
        </w:rPr>
        <w:t xml:space="preserve">Environmental and Planning Law Journal </w:t>
      </w:r>
      <w:r w:rsidRPr="00597E56">
        <w:rPr>
          <w:rFonts w:ascii="Palatino Linotype" w:hAnsi="Palatino Linotype" w:cstheme="minorHAnsi"/>
          <w:bCs/>
          <w:spacing w:val="-10"/>
          <w:w w:val="103"/>
        </w:rPr>
        <w:t>(29), 2</w:t>
      </w:r>
      <w:r w:rsidR="008F0C4B" w:rsidRPr="00597E56">
        <w:rPr>
          <w:rFonts w:ascii="Palatino Linotype" w:hAnsi="Palatino Linotype" w:cstheme="minorHAnsi"/>
          <w:bCs/>
          <w:spacing w:val="-10"/>
          <w:w w:val="103"/>
        </w:rPr>
        <w:t>17-238</w:t>
      </w:r>
      <w:r w:rsidRPr="00597E56">
        <w:rPr>
          <w:rFonts w:ascii="Palatino Linotype" w:hAnsi="Palatino Linotype" w:cstheme="minorHAnsi"/>
          <w:bCs/>
          <w:spacing w:val="-10"/>
          <w:w w:val="103"/>
        </w:rPr>
        <w:t>.</w:t>
      </w:r>
    </w:p>
    <w:p w14:paraId="5F92EBE9" w14:textId="77777777" w:rsidR="00FE46F2" w:rsidRPr="00597E56" w:rsidRDefault="00FE46F2" w:rsidP="00F1501F">
      <w:pPr>
        <w:pStyle w:val="NoSpacing"/>
        <w:jc w:val="both"/>
        <w:rPr>
          <w:rFonts w:ascii="Palatino Linotype" w:hAnsi="Palatino Linotype" w:cstheme="minorHAnsi"/>
          <w:bCs/>
          <w:spacing w:val="-10"/>
          <w:w w:val="103"/>
        </w:rPr>
      </w:pPr>
    </w:p>
    <w:p w14:paraId="2980981F" w14:textId="2EDDBECA" w:rsidR="000014CD" w:rsidRPr="00597E56" w:rsidRDefault="000014CD" w:rsidP="00F1501F">
      <w:pPr>
        <w:pStyle w:val="NoSpacing"/>
        <w:jc w:val="both"/>
        <w:rPr>
          <w:rFonts w:ascii="Palatino Linotype" w:hAnsi="Palatino Linotype" w:cstheme="minorHAnsi"/>
          <w:bCs/>
          <w:spacing w:val="-10"/>
          <w:w w:val="103"/>
        </w:rPr>
      </w:pPr>
      <w:r w:rsidRPr="00597E56">
        <w:rPr>
          <w:rFonts w:ascii="Palatino Linotype" w:hAnsi="Palatino Linotype" w:cstheme="minorHAnsi"/>
          <w:bCs/>
          <w:spacing w:val="-10"/>
          <w:w w:val="103"/>
        </w:rPr>
        <w:t>Snelling, J., 1984. The Aboriginal Land Inquiry, Western Australia. </w:t>
      </w:r>
      <w:r w:rsidRPr="00597E56">
        <w:rPr>
          <w:rFonts w:ascii="Palatino Linotype" w:hAnsi="Palatino Linotype" w:cstheme="minorHAnsi"/>
          <w:bCs/>
          <w:i/>
          <w:iCs/>
          <w:spacing w:val="-10"/>
          <w:w w:val="103"/>
        </w:rPr>
        <w:t>AMPLA Bull.</w:t>
      </w:r>
      <w:r w:rsidRPr="00597E56">
        <w:rPr>
          <w:rFonts w:ascii="Palatino Linotype" w:hAnsi="Palatino Linotype" w:cstheme="minorHAnsi"/>
          <w:bCs/>
          <w:spacing w:val="-10"/>
          <w:w w:val="103"/>
        </w:rPr>
        <w:t>, </w:t>
      </w:r>
      <w:r w:rsidRPr="00597E56">
        <w:rPr>
          <w:rFonts w:ascii="Palatino Linotype" w:hAnsi="Palatino Linotype" w:cstheme="minorHAnsi"/>
          <w:bCs/>
          <w:i/>
          <w:iCs/>
          <w:spacing w:val="-10"/>
          <w:w w:val="103"/>
        </w:rPr>
        <w:t>3</w:t>
      </w:r>
      <w:r w:rsidRPr="00597E56">
        <w:rPr>
          <w:rFonts w:ascii="Palatino Linotype" w:hAnsi="Palatino Linotype" w:cstheme="minorHAnsi"/>
          <w:bCs/>
          <w:spacing w:val="-10"/>
          <w:w w:val="103"/>
        </w:rPr>
        <w:t>, p.18.</w:t>
      </w:r>
    </w:p>
    <w:p w14:paraId="77D12DFA" w14:textId="77777777" w:rsidR="000014CD" w:rsidRPr="00597E56" w:rsidRDefault="000014CD" w:rsidP="00F1501F">
      <w:pPr>
        <w:pStyle w:val="NoSpacing"/>
        <w:jc w:val="both"/>
        <w:rPr>
          <w:rFonts w:ascii="Palatino Linotype" w:hAnsi="Palatino Linotype" w:cstheme="minorHAnsi"/>
          <w:bCs/>
          <w:spacing w:val="-10"/>
          <w:w w:val="103"/>
        </w:rPr>
      </w:pPr>
    </w:p>
    <w:p w14:paraId="6BCC824D" w14:textId="580692C5" w:rsidR="00FE46F2" w:rsidRPr="00597E56" w:rsidRDefault="00FE46F2" w:rsidP="00F1501F">
      <w:pPr>
        <w:pStyle w:val="NoSpacing"/>
        <w:jc w:val="both"/>
        <w:rPr>
          <w:rFonts w:ascii="Palatino Linotype" w:hAnsi="Palatino Linotype" w:cstheme="minorHAnsi"/>
          <w:bCs/>
          <w:spacing w:val="-10"/>
          <w:w w:val="103"/>
        </w:rPr>
      </w:pPr>
      <w:r w:rsidRPr="00597E56">
        <w:rPr>
          <w:rFonts w:ascii="Palatino Linotype" w:hAnsi="Palatino Linotype" w:cstheme="minorHAnsi"/>
          <w:bCs/>
          <w:spacing w:val="-10"/>
          <w:w w:val="103"/>
        </w:rPr>
        <w:t xml:space="preserve">Speedy, S. (1978) </w:t>
      </w:r>
      <w:r w:rsidRPr="00597E56">
        <w:rPr>
          <w:rFonts w:ascii="Palatino Linotype" w:hAnsi="Palatino Linotype" w:cstheme="minorHAnsi"/>
          <w:bCs/>
          <w:i/>
          <w:spacing w:val="-10"/>
          <w:w w:val="103"/>
        </w:rPr>
        <w:t>Compensation for Land Taken and Severed.</w:t>
      </w:r>
      <w:r w:rsidRPr="00597E56">
        <w:rPr>
          <w:rFonts w:ascii="Palatino Linotype" w:hAnsi="Palatino Linotype" w:cstheme="minorHAnsi"/>
          <w:bCs/>
          <w:spacing w:val="-10"/>
          <w:w w:val="103"/>
        </w:rPr>
        <w:t xml:space="preserve"> Occasional Pamphlet No. 13. Auckland: Legal Research Foundation Inc., School of Law, University of Auckland).</w:t>
      </w:r>
    </w:p>
    <w:p w14:paraId="74F65732" w14:textId="77777777" w:rsidR="00DB256A" w:rsidRPr="00597E56" w:rsidRDefault="00DB256A" w:rsidP="00F1501F">
      <w:pPr>
        <w:pStyle w:val="NoSpacing"/>
        <w:jc w:val="both"/>
        <w:rPr>
          <w:rFonts w:ascii="Palatino Linotype" w:hAnsi="Palatino Linotype" w:cstheme="minorHAnsi"/>
          <w:bCs/>
          <w:spacing w:val="-10"/>
          <w:w w:val="103"/>
        </w:rPr>
      </w:pPr>
    </w:p>
    <w:p w14:paraId="241F2E97" w14:textId="3E7631FD" w:rsidR="00DB256A" w:rsidRPr="00597E56" w:rsidRDefault="00DB256A" w:rsidP="00F1501F">
      <w:pPr>
        <w:pStyle w:val="FootnoteText"/>
        <w:jc w:val="both"/>
        <w:rPr>
          <w:rFonts w:ascii="Palatino Linotype" w:hAnsi="Palatino Linotype"/>
          <w:sz w:val="22"/>
          <w:szCs w:val="22"/>
        </w:rPr>
      </w:pPr>
      <w:r w:rsidRPr="00597E56">
        <w:rPr>
          <w:rFonts w:ascii="Palatino Linotype" w:hAnsi="Palatino Linotype"/>
          <w:sz w:val="22"/>
          <w:szCs w:val="22"/>
        </w:rPr>
        <w:t xml:space="preserve">State Library of New South Wales (2011) </w:t>
      </w:r>
      <w:r w:rsidRPr="00597E56">
        <w:rPr>
          <w:rFonts w:ascii="Palatino Linotype" w:hAnsi="Palatino Linotype"/>
          <w:i/>
          <w:sz w:val="22"/>
          <w:szCs w:val="22"/>
        </w:rPr>
        <w:t>Carved Trees: Aboriginal cultures of western NSW</w:t>
      </w:r>
      <w:r w:rsidRPr="00597E56">
        <w:rPr>
          <w:rFonts w:ascii="Palatino Linotype" w:hAnsi="Palatino Linotype"/>
          <w:sz w:val="22"/>
          <w:szCs w:val="22"/>
        </w:rPr>
        <w:t>. Sydney, April.</w:t>
      </w:r>
    </w:p>
    <w:p w14:paraId="6D6CBF70" w14:textId="77777777" w:rsidR="00392ABB" w:rsidRPr="00597E56" w:rsidRDefault="00392ABB" w:rsidP="00F1501F">
      <w:pPr>
        <w:pStyle w:val="FootnoteText"/>
        <w:jc w:val="both"/>
        <w:rPr>
          <w:rFonts w:ascii="Palatino Linotype" w:hAnsi="Palatino Linotype"/>
          <w:sz w:val="22"/>
          <w:szCs w:val="22"/>
        </w:rPr>
      </w:pPr>
    </w:p>
    <w:p w14:paraId="72B40508" w14:textId="333AB280" w:rsidR="00392ABB" w:rsidRPr="00597E56" w:rsidRDefault="00392ABB" w:rsidP="00F1501F">
      <w:pPr>
        <w:pStyle w:val="FootnoteText"/>
        <w:jc w:val="both"/>
        <w:rPr>
          <w:rFonts w:ascii="Palatino Linotype" w:hAnsi="Palatino Linotype"/>
          <w:sz w:val="22"/>
          <w:szCs w:val="22"/>
        </w:rPr>
      </w:pPr>
      <w:r w:rsidRPr="00597E56">
        <w:rPr>
          <w:rFonts w:ascii="Palatino Linotype" w:hAnsi="Palatino Linotype"/>
          <w:sz w:val="22"/>
          <w:szCs w:val="22"/>
        </w:rPr>
        <w:t xml:space="preserve">Sutton, P. (1999), </w:t>
      </w:r>
      <w:r w:rsidRPr="00597E56">
        <w:rPr>
          <w:rFonts w:ascii="Palatino Linotype" w:hAnsi="Palatino Linotype"/>
          <w:iCs/>
          <w:sz w:val="22"/>
          <w:szCs w:val="22"/>
        </w:rPr>
        <w:t>The Reeves Report and the idea of the ‘community’</w:t>
      </w:r>
      <w:r w:rsidRPr="00597E56">
        <w:rPr>
          <w:rFonts w:ascii="Palatino Linotype" w:hAnsi="Palatino Linotype"/>
          <w:i/>
          <w:sz w:val="22"/>
          <w:szCs w:val="22"/>
        </w:rPr>
        <w:t xml:space="preserve">. </w:t>
      </w:r>
      <w:r w:rsidRPr="00597E56">
        <w:rPr>
          <w:rFonts w:ascii="Palatino Linotype" w:hAnsi="Palatino Linotype"/>
          <w:sz w:val="22"/>
          <w:szCs w:val="22"/>
        </w:rPr>
        <w:t xml:space="preserve">In Altman, J., Morphy, F. and Rowse T. (Eds.) </w:t>
      </w:r>
      <w:r w:rsidRPr="00597E56">
        <w:rPr>
          <w:rFonts w:ascii="Palatino Linotype" w:hAnsi="Palatino Linotype"/>
          <w:i/>
          <w:sz w:val="22"/>
          <w:szCs w:val="22"/>
        </w:rPr>
        <w:t>Land Rights at Risk? Evaluations of the Reeves Report.</w:t>
      </w:r>
      <w:r w:rsidRPr="00597E56">
        <w:rPr>
          <w:rFonts w:ascii="Palatino Linotype" w:hAnsi="Palatino Linotype"/>
          <w:sz w:val="22"/>
          <w:szCs w:val="22"/>
        </w:rPr>
        <w:t xml:space="preserve"> Research Monograph No. 14</w:t>
      </w:r>
      <w:r w:rsidR="00714C65" w:rsidRPr="00597E56">
        <w:rPr>
          <w:rFonts w:ascii="Palatino Linotype" w:hAnsi="Palatino Linotype"/>
          <w:sz w:val="22"/>
          <w:szCs w:val="22"/>
        </w:rPr>
        <w:t xml:space="preserve">. </w:t>
      </w:r>
      <w:r w:rsidRPr="00597E56">
        <w:rPr>
          <w:rFonts w:ascii="Palatino Linotype" w:hAnsi="Palatino Linotype"/>
          <w:sz w:val="22"/>
          <w:szCs w:val="22"/>
        </w:rPr>
        <w:t xml:space="preserve">Canberra: Centre for Aboriginal Economic Policy Research, Australian National University, </w:t>
      </w:r>
      <w:r w:rsidR="00714C65" w:rsidRPr="00597E56">
        <w:rPr>
          <w:rFonts w:ascii="Palatino Linotype" w:hAnsi="Palatino Linotype"/>
          <w:sz w:val="22"/>
          <w:szCs w:val="22"/>
        </w:rPr>
        <w:t>39-51</w:t>
      </w:r>
      <w:r w:rsidRPr="00597E56">
        <w:rPr>
          <w:rFonts w:ascii="Palatino Linotype" w:hAnsi="Palatino Linotype"/>
          <w:sz w:val="22"/>
          <w:szCs w:val="22"/>
        </w:rPr>
        <w:t>.</w:t>
      </w:r>
    </w:p>
    <w:p w14:paraId="3E29AC7A" w14:textId="77777777" w:rsidR="00E71A2B" w:rsidRPr="00597E56" w:rsidRDefault="00E71A2B" w:rsidP="00F1501F">
      <w:pPr>
        <w:pStyle w:val="FootnoteText"/>
        <w:jc w:val="both"/>
        <w:rPr>
          <w:rFonts w:ascii="Palatino Linotype" w:hAnsi="Palatino Linotype"/>
          <w:sz w:val="22"/>
          <w:szCs w:val="22"/>
        </w:rPr>
      </w:pPr>
    </w:p>
    <w:p w14:paraId="7AD1E02F" w14:textId="14C3524B" w:rsidR="00E71A2B" w:rsidRPr="00597E56" w:rsidRDefault="00E71A2B" w:rsidP="00F1501F">
      <w:pPr>
        <w:pStyle w:val="FootnoteText"/>
        <w:jc w:val="both"/>
        <w:rPr>
          <w:rFonts w:ascii="Palatino Linotype" w:hAnsi="Palatino Linotype"/>
          <w:sz w:val="22"/>
          <w:szCs w:val="22"/>
        </w:rPr>
      </w:pPr>
      <w:r w:rsidRPr="00597E56">
        <w:rPr>
          <w:rFonts w:ascii="Palatino Linotype" w:hAnsi="Palatino Linotype"/>
          <w:sz w:val="22"/>
          <w:szCs w:val="22"/>
        </w:rPr>
        <w:t xml:space="preserve">Unger, L. (1995), </w:t>
      </w:r>
      <w:r w:rsidRPr="00597E56">
        <w:rPr>
          <w:rFonts w:ascii="Palatino Linotype" w:hAnsi="Palatino Linotype"/>
          <w:i/>
          <w:sz w:val="22"/>
          <w:szCs w:val="22"/>
        </w:rPr>
        <w:t>Aboriginal Activity in the Parkes District</w:t>
      </w:r>
      <w:r w:rsidRPr="00597E56">
        <w:rPr>
          <w:rFonts w:ascii="Palatino Linotype" w:hAnsi="Palatino Linotype"/>
          <w:sz w:val="22"/>
          <w:szCs w:val="22"/>
        </w:rPr>
        <w:t>. Reprint with additions. Parkes: Parkes &amp; District Historical Society.</w:t>
      </w:r>
    </w:p>
    <w:p w14:paraId="13CB0A60" w14:textId="77777777" w:rsidR="00392ABB" w:rsidRPr="00597E56" w:rsidRDefault="00392ABB" w:rsidP="00F1501F">
      <w:pPr>
        <w:pStyle w:val="FootnoteText"/>
        <w:jc w:val="both"/>
        <w:rPr>
          <w:rFonts w:ascii="Palatino Linotype" w:hAnsi="Palatino Linotype"/>
          <w:sz w:val="22"/>
          <w:szCs w:val="22"/>
        </w:rPr>
      </w:pPr>
    </w:p>
    <w:p w14:paraId="0505FF50" w14:textId="443F6EEB" w:rsidR="000014CD" w:rsidRPr="00597E56" w:rsidRDefault="000014CD" w:rsidP="00F1501F">
      <w:pPr>
        <w:pStyle w:val="FootnoteText"/>
        <w:jc w:val="both"/>
        <w:rPr>
          <w:rFonts w:ascii="Palatino Linotype" w:hAnsi="Palatino Linotype"/>
          <w:sz w:val="22"/>
          <w:szCs w:val="22"/>
        </w:rPr>
      </w:pPr>
      <w:r w:rsidRPr="00597E56">
        <w:rPr>
          <w:rFonts w:ascii="Palatino Linotype" w:hAnsi="Palatino Linotype"/>
          <w:sz w:val="22"/>
          <w:szCs w:val="22"/>
        </w:rPr>
        <w:t>Western Australian Department of Planning, Lands and Heritage (DPLH), ‘A Brief History of the Aboriginal Heritage Act 1972’, p. 1, https://www.dplh.wa.gov.au/getmedia/54f16de4-b7d9-4f0c-8416-1e9ff2da617e/AH-History-of-the-AHA</w:t>
      </w:r>
    </w:p>
    <w:p w14:paraId="3DDE1F0C" w14:textId="77777777" w:rsidR="000014CD" w:rsidRPr="00597E56" w:rsidRDefault="000014CD" w:rsidP="00F1501F">
      <w:pPr>
        <w:pStyle w:val="FootnoteText"/>
        <w:jc w:val="both"/>
        <w:rPr>
          <w:rFonts w:ascii="Palatino Linotype" w:hAnsi="Palatino Linotype"/>
          <w:sz w:val="22"/>
          <w:szCs w:val="22"/>
        </w:rPr>
      </w:pPr>
    </w:p>
    <w:p w14:paraId="5F19B38A" w14:textId="77777777" w:rsidR="00FF3518" w:rsidRPr="00597E56" w:rsidRDefault="00FF3518" w:rsidP="00F1501F">
      <w:pPr>
        <w:pStyle w:val="NoSpacing"/>
        <w:jc w:val="both"/>
        <w:rPr>
          <w:rFonts w:ascii="Palatino Linotype" w:hAnsi="Palatino Linotype"/>
        </w:rPr>
      </w:pPr>
      <w:r w:rsidRPr="00597E56">
        <w:rPr>
          <w:rFonts w:ascii="Palatino Linotype" w:hAnsi="Palatino Linotype"/>
        </w:rPr>
        <w:t>Western Australia 2025, </w:t>
      </w:r>
      <w:r w:rsidRPr="00597E56">
        <w:rPr>
          <w:rFonts w:ascii="Palatino Linotype" w:hAnsi="Palatino Linotype"/>
          <w:i/>
          <w:iCs/>
        </w:rPr>
        <w:t>Economic Indicators</w:t>
      </w:r>
      <w:r w:rsidRPr="00597E56">
        <w:rPr>
          <w:rFonts w:ascii="Palatino Linotype" w:hAnsi="Palatino Linotype"/>
        </w:rPr>
        <w:t>, wa.gov.au, viewed 19 May 2025, &lt;https://www.wa.gov.au/organisation/resource-and-environmental-regulation/economic-indicators&gt;</w:t>
      </w:r>
    </w:p>
    <w:p w14:paraId="3B585313" w14:textId="77777777" w:rsidR="009E50B7" w:rsidRPr="00597E56" w:rsidRDefault="009E50B7" w:rsidP="00F1501F">
      <w:pPr>
        <w:pStyle w:val="NoSpacing"/>
        <w:rPr>
          <w:rFonts w:ascii="Palatino Linotype" w:hAnsi="Palatino Linotype"/>
          <w:b/>
          <w:bCs/>
        </w:rPr>
      </w:pPr>
    </w:p>
    <w:sectPr w:rsidR="009E50B7" w:rsidRPr="00597E56" w:rsidSect="00AF4B6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7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9BAF6" w14:textId="77777777" w:rsidR="00075FD1" w:rsidRDefault="00075FD1" w:rsidP="001E5055">
      <w:pPr>
        <w:spacing w:after="0" w:line="240" w:lineRule="auto"/>
      </w:pPr>
      <w:r>
        <w:separator/>
      </w:r>
    </w:p>
  </w:endnote>
  <w:endnote w:type="continuationSeparator" w:id="0">
    <w:p w14:paraId="50B42BE1" w14:textId="77777777" w:rsidR="00075FD1" w:rsidRDefault="00075FD1" w:rsidP="001E5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imes New Roman (Body CS)">
    <w:altName w:val="Times New Roman"/>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79348403"/>
      <w:docPartObj>
        <w:docPartGallery w:val="Page Numbers (Bottom of Page)"/>
        <w:docPartUnique/>
      </w:docPartObj>
    </w:sdtPr>
    <w:sdtContent>
      <w:p w14:paraId="444B78B8" w14:textId="55B21686" w:rsidR="00AF4B68" w:rsidRDefault="00AF4B68" w:rsidP="00ED015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F4C50E9" w14:textId="627F1EAE" w:rsidR="00B57070" w:rsidRDefault="00B57070" w:rsidP="00AF4B68">
    <w:pPr>
      <w:pStyle w:val="Footer"/>
      <w:ind w:right="360"/>
    </w:pPr>
    <w:r>
      <w:rPr>
        <w:noProof/>
        <w:lang w:eastAsia="en-AU"/>
      </w:rPr>
      <mc:AlternateContent>
        <mc:Choice Requires="wps">
          <w:drawing>
            <wp:anchor distT="0" distB="0" distL="0" distR="0" simplePos="0" relativeHeight="251662336" behindDoc="0" locked="0" layoutInCell="1" allowOverlap="1" wp14:anchorId="41C8E1BC" wp14:editId="1B6373CA">
              <wp:simplePos x="635" y="635"/>
              <wp:positionH relativeFrom="page">
                <wp:align>center</wp:align>
              </wp:positionH>
              <wp:positionV relativeFrom="page">
                <wp:align>bottom</wp:align>
              </wp:positionV>
              <wp:extent cx="443865" cy="443865"/>
              <wp:effectExtent l="0" t="0" r="16510"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1FEA99" w14:textId="5577BBA2" w:rsidR="00B57070" w:rsidRPr="00B57070" w:rsidRDefault="00B57070" w:rsidP="00B57070">
                          <w:pPr>
                            <w:spacing w:after="0"/>
                            <w:rPr>
                              <w:rFonts w:ascii="Calibri" w:eastAsia="Calibri" w:hAnsi="Calibri" w:cs="Calibri"/>
                              <w:noProof/>
                              <w:color w:val="000000"/>
                              <w:sz w:val="20"/>
                              <w:szCs w:val="20"/>
                            </w:rPr>
                          </w:pPr>
                          <w:r w:rsidRPr="00B57070">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C8E1BC" id="_x0000_t202" coordsize="21600,21600" o:spt="202" path="m,l,21600r21600,l21600,xe">
              <v:stroke joinstyle="miter"/>
              <v:path gradientshapeok="t" o:connecttype="rect"/>
            </v:shapetype>
            <v:shape id="Text Box 5" o:spid="_x0000_s1028"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" filled="f" stroked="f">
              <v:textbox style="mso-fit-shape-to-text:t" inset="0,0,0,15pt">
                <w:txbxContent>
                  <w:p w14:paraId="1A1FEA99" w14:textId="5577BBA2" w:rsidR="00B57070" w:rsidRPr="00B57070" w:rsidRDefault="00B57070" w:rsidP="00B57070">
                    <w:pPr>
                      <w:spacing w:after="0"/>
                      <w:rPr>
                        <w:rFonts w:ascii="Calibri" w:eastAsia="Calibri" w:hAnsi="Calibri" w:cs="Calibri"/>
                        <w:noProof/>
                        <w:color w:val="000000"/>
                        <w:sz w:val="20"/>
                        <w:szCs w:val="20"/>
                      </w:rPr>
                    </w:pPr>
                    <w:r w:rsidRPr="00B57070">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10864249"/>
      <w:docPartObj>
        <w:docPartGallery w:val="Page Numbers (Bottom of Page)"/>
        <w:docPartUnique/>
      </w:docPartObj>
    </w:sdtPr>
    <w:sdtContent>
      <w:p w14:paraId="43C01B42" w14:textId="4C4C9381" w:rsidR="00AF4B68" w:rsidRDefault="00AF4B68" w:rsidP="00ED015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id w:val="-1544741157"/>
      <w:docPartObj>
        <w:docPartGallery w:val="Page Numbers (Bottom of Page)"/>
        <w:docPartUnique/>
      </w:docPartObj>
    </w:sdtPr>
    <w:sdtContent>
      <w:sdt>
        <w:sdtPr>
          <w:id w:val="1728636285"/>
          <w:docPartObj>
            <w:docPartGallery w:val="Page Numbers (Top of Page)"/>
            <w:docPartUnique/>
          </w:docPartObj>
        </w:sdtPr>
        <w:sdtContent>
          <w:p w14:paraId="3F8F1E26" w14:textId="72561C26" w:rsidR="00ED18C2" w:rsidRDefault="00ED18C2" w:rsidP="00AF4B68">
            <w:pPr>
              <w:pStyle w:val="Footer"/>
              <w:ind w:right="360"/>
              <w:jc w:val="center"/>
            </w:pPr>
            <w:proofErr w:type="gramStart"/>
            <w:r w:rsidRPr="00ED18C2">
              <w:rPr>
                <w:b/>
                <w:bCs/>
                <w:sz w:val="16"/>
                <w:szCs w:val="16"/>
              </w:rPr>
              <w:t>Page  of</w:t>
            </w:r>
            <w:proofErr w:type="gramEnd"/>
            <w:r w:rsidRPr="00ED18C2">
              <w:rPr>
                <w:b/>
                <w:bCs/>
                <w:sz w:val="16"/>
                <w:szCs w:val="16"/>
              </w:rPr>
              <w:t xml:space="preserve"> </w:t>
            </w:r>
            <w:r w:rsidRPr="00ED18C2">
              <w:rPr>
                <w:b/>
                <w:bCs/>
                <w:sz w:val="16"/>
                <w:szCs w:val="16"/>
              </w:rPr>
              <w:fldChar w:fldCharType="begin"/>
            </w:r>
            <w:r w:rsidRPr="00ED18C2">
              <w:rPr>
                <w:b/>
                <w:bCs/>
                <w:sz w:val="16"/>
                <w:szCs w:val="16"/>
              </w:rPr>
              <w:instrText xml:space="preserve"> NUMPAGES  </w:instrText>
            </w:r>
            <w:r w:rsidRPr="00ED18C2">
              <w:rPr>
                <w:b/>
                <w:bCs/>
                <w:sz w:val="16"/>
                <w:szCs w:val="16"/>
              </w:rPr>
              <w:fldChar w:fldCharType="separate"/>
            </w:r>
            <w:r w:rsidRPr="00ED18C2">
              <w:rPr>
                <w:b/>
                <w:bCs/>
                <w:noProof/>
                <w:sz w:val="16"/>
                <w:szCs w:val="16"/>
              </w:rPr>
              <w:t>2</w:t>
            </w:r>
            <w:r w:rsidRPr="00ED18C2">
              <w:rPr>
                <w:b/>
                <w:bCs/>
                <w:sz w:val="16"/>
                <w:szCs w:val="16"/>
              </w:rPr>
              <w:fldChar w:fldCharType="end"/>
            </w:r>
          </w:p>
        </w:sdtContent>
      </w:sdt>
    </w:sdtContent>
  </w:sdt>
  <w:p w14:paraId="5C4E9266" w14:textId="77777777" w:rsidR="00ED18C2" w:rsidRDefault="00ED18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43B0A" w14:textId="7DF69A7F" w:rsidR="00B57070" w:rsidRDefault="00B57070">
    <w:pPr>
      <w:pStyle w:val="Footer"/>
    </w:pPr>
    <w:r>
      <w:rPr>
        <w:noProof/>
        <w:lang w:eastAsia="en-AU"/>
      </w:rPr>
      <mc:AlternateContent>
        <mc:Choice Requires="wps">
          <w:drawing>
            <wp:anchor distT="0" distB="0" distL="0" distR="0" simplePos="0" relativeHeight="251661312" behindDoc="0" locked="0" layoutInCell="1" allowOverlap="1" wp14:anchorId="7891EC53" wp14:editId="04103A06">
              <wp:simplePos x="635" y="635"/>
              <wp:positionH relativeFrom="page">
                <wp:align>center</wp:align>
              </wp:positionH>
              <wp:positionV relativeFrom="page">
                <wp:align>bottom</wp:align>
              </wp:positionV>
              <wp:extent cx="443865" cy="443865"/>
              <wp:effectExtent l="0" t="0" r="16510"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946141" w14:textId="0063C89E" w:rsidR="00B57070" w:rsidRPr="00B57070" w:rsidRDefault="00B57070" w:rsidP="00B57070">
                          <w:pPr>
                            <w:spacing w:after="0"/>
                            <w:rPr>
                              <w:rFonts w:ascii="Calibri" w:eastAsia="Calibri" w:hAnsi="Calibri" w:cs="Calibri"/>
                              <w:noProof/>
                              <w:color w:val="000000"/>
                              <w:sz w:val="20"/>
                              <w:szCs w:val="20"/>
                            </w:rPr>
                          </w:pPr>
                          <w:r w:rsidRPr="00B57070">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91EC53" id="_x0000_t202" coordsize="21600,21600" o:spt="202" path="m,l,21600r21600,l21600,xe">
              <v:stroke joinstyle="miter"/>
              <v:path gradientshapeok="t" o:connecttype="rect"/>
            </v:shapetype>
            <v:shape id="Text Box 4" o:spid="_x0000_s1030"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" filled="f" stroked="f">
              <v:textbox style="mso-fit-shape-to-text:t" inset="0,0,0,15pt">
                <w:txbxContent>
                  <w:p w14:paraId="3D946141" w14:textId="0063C89E" w:rsidR="00B57070" w:rsidRPr="00B57070" w:rsidRDefault="00B57070" w:rsidP="00B57070">
                    <w:pPr>
                      <w:spacing w:after="0"/>
                      <w:rPr>
                        <w:rFonts w:ascii="Calibri" w:eastAsia="Calibri" w:hAnsi="Calibri" w:cs="Calibri"/>
                        <w:noProof/>
                        <w:color w:val="000000"/>
                        <w:sz w:val="20"/>
                        <w:szCs w:val="20"/>
                      </w:rPr>
                    </w:pPr>
                    <w:r w:rsidRPr="00B57070">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1441E" w14:textId="77777777" w:rsidR="00075FD1" w:rsidRDefault="00075FD1" w:rsidP="001E5055">
      <w:pPr>
        <w:spacing w:after="0" w:line="240" w:lineRule="auto"/>
      </w:pPr>
      <w:r>
        <w:separator/>
      </w:r>
    </w:p>
  </w:footnote>
  <w:footnote w:type="continuationSeparator" w:id="0">
    <w:p w14:paraId="0F961898" w14:textId="77777777" w:rsidR="00075FD1" w:rsidRDefault="00075FD1" w:rsidP="001E5055">
      <w:pPr>
        <w:spacing w:after="0" w:line="240" w:lineRule="auto"/>
      </w:pPr>
      <w:r>
        <w:continuationSeparator/>
      </w:r>
    </w:p>
  </w:footnote>
  <w:footnote w:id="1">
    <w:p w14:paraId="43DDAE77" w14:textId="148BA975" w:rsidR="00A639D3" w:rsidRDefault="00A639D3" w:rsidP="003546A0">
      <w:pPr>
        <w:pStyle w:val="FootnoteText"/>
        <w:jc w:val="both"/>
      </w:pPr>
      <w:r>
        <w:rPr>
          <w:rStyle w:val="FootnoteReference"/>
        </w:rPr>
        <w:footnoteRef/>
      </w:r>
      <w:r w:rsidR="00D7141B">
        <w:t xml:space="preserve"> </w:t>
      </w:r>
      <w:r w:rsidR="0066348E">
        <w:t>An early draft of this</w:t>
      </w:r>
      <w:r w:rsidR="00D7141B">
        <w:t xml:space="preserve"> paper</w:t>
      </w:r>
      <w:r>
        <w:t xml:space="preserve"> </w:t>
      </w:r>
      <w:r w:rsidR="0066348E">
        <w:t>initially entitled</w:t>
      </w:r>
      <w:r w:rsidR="00BA430E">
        <w:t xml:space="preserve"> “Encountering Indigenous property rights in infrastructure compensation assessments in Crown and non-freehold lands” </w:t>
      </w:r>
      <w:r w:rsidR="0066348E">
        <w:t xml:space="preserve">was </w:t>
      </w:r>
      <w:r w:rsidR="00BA430E">
        <w:t>presented</w:t>
      </w:r>
      <w:r w:rsidR="003751B9">
        <w:t xml:space="preserve"> 8 November</w:t>
      </w:r>
      <w:r w:rsidR="000F418A">
        <w:t xml:space="preserve"> </w:t>
      </w:r>
      <w:r w:rsidR="00C71E00">
        <w:t>2024</w:t>
      </w:r>
      <w:r w:rsidR="00B955A7">
        <w:t xml:space="preserve"> </w:t>
      </w:r>
      <w:r w:rsidR="0066348E">
        <w:t xml:space="preserve">by the first author </w:t>
      </w:r>
      <w:r w:rsidR="00B955A7">
        <w:t xml:space="preserve">to the </w:t>
      </w:r>
      <w:r w:rsidR="00617BB4">
        <w:t>Australian Property Institute NSW Regional Far South Coast Valuers Group meeting, Club</w:t>
      </w:r>
      <w:r w:rsidR="00D7141B">
        <w:t xml:space="preserve"> Malua, Malua Bay</w:t>
      </w:r>
      <w:r w:rsidR="0066348E">
        <w:t>, NSW.</w:t>
      </w:r>
      <w:r w:rsidR="00B955A7">
        <w:t xml:space="preserve"> </w:t>
      </w:r>
      <w:r w:rsidR="0066348E">
        <w:t xml:space="preserve">The NSW legislation and the infrastructure described are provided merely </w:t>
      </w:r>
      <w:r w:rsidR="000E0D44">
        <w:t xml:space="preserve">as </w:t>
      </w:r>
      <w:r w:rsidR="0066348E">
        <w:t>an exemplar</w:t>
      </w:r>
    </w:p>
  </w:footnote>
  <w:footnote w:id="2">
    <w:p w14:paraId="20D0F768" w14:textId="326B303A" w:rsidR="008D1A7E" w:rsidRDefault="008D1A7E" w:rsidP="003546A0">
      <w:pPr>
        <w:pStyle w:val="FootnoteText"/>
        <w:jc w:val="both"/>
      </w:pPr>
      <w:r>
        <w:rPr>
          <w:rStyle w:val="FootnoteReference"/>
        </w:rPr>
        <w:footnoteRef/>
      </w:r>
      <w:r>
        <w:t xml:space="preserve"> For a fulsome discussion on the</w:t>
      </w:r>
      <w:r w:rsidR="00723A5E">
        <w:t xml:space="preserve"> history of the </w:t>
      </w:r>
      <w:r>
        <w:t xml:space="preserve">1976 Commonwealth </w:t>
      </w:r>
      <w:r w:rsidR="001F275F">
        <w:t xml:space="preserve">land rights </w:t>
      </w:r>
      <w:r>
        <w:t>legislation see</w:t>
      </w:r>
      <w:r w:rsidR="006B782E">
        <w:t>: Altman,</w:t>
      </w:r>
      <w:r w:rsidR="00D452BD">
        <w:t xml:space="preserve"> </w:t>
      </w:r>
      <w:r w:rsidR="006B782E">
        <w:t>J. (1996) “Aboriginal Economic Development and Land Rights in the Northern Territory: Past Performance, Current Issues and Strategic Options.”</w:t>
      </w:r>
      <w:r w:rsidR="00D452BD">
        <w:t xml:space="preserve"> </w:t>
      </w:r>
      <w:r w:rsidR="006B782E">
        <w:t>in</w:t>
      </w:r>
      <w:r>
        <w:t xml:space="preserve"> </w:t>
      </w:r>
      <w:r w:rsidRPr="006B782E">
        <w:rPr>
          <w:i/>
        </w:rPr>
        <w:t>Land Rights-Past, Present and Future</w:t>
      </w:r>
      <w:r w:rsidR="006B782E" w:rsidRPr="006B782E">
        <w:rPr>
          <w:i/>
        </w:rPr>
        <w:t>:</w:t>
      </w:r>
      <w:r w:rsidRPr="006B782E">
        <w:rPr>
          <w:i/>
        </w:rPr>
        <w:t xml:space="preserve"> Conference</w:t>
      </w:r>
      <w:r w:rsidR="006B782E" w:rsidRPr="006B782E">
        <w:rPr>
          <w:i/>
        </w:rPr>
        <w:t xml:space="preserve"> Papers </w:t>
      </w:r>
      <w:r w:rsidR="006B782E">
        <w:t>(16-17 August 1996) Canberra: Northern and Central Land Councils, 54-</w:t>
      </w:r>
      <w:r w:rsidR="00D452BD">
        <w:t>62.</w:t>
      </w:r>
    </w:p>
  </w:footnote>
  <w:footnote w:id="3">
    <w:p w14:paraId="6643BB83" w14:textId="20A631AE" w:rsidR="00C95434" w:rsidRPr="00B168A7" w:rsidRDefault="00C95434" w:rsidP="007A3275">
      <w:pPr>
        <w:pStyle w:val="NoSpacing"/>
        <w:jc w:val="both"/>
        <w:rPr>
          <w:rFonts w:ascii="Tahoma" w:hAnsi="Tahoma" w:cs="Tahoma"/>
          <w:sz w:val="16"/>
          <w:szCs w:val="16"/>
        </w:rPr>
      </w:pPr>
      <w:r w:rsidRPr="00B168A7">
        <w:rPr>
          <w:rStyle w:val="FootnoteReference"/>
          <w:rFonts w:ascii="Tahoma" w:hAnsi="Tahoma" w:cs="Tahoma"/>
          <w:sz w:val="16"/>
          <w:szCs w:val="16"/>
        </w:rPr>
        <w:footnoteRef/>
      </w:r>
      <w:r w:rsidRPr="00B168A7">
        <w:rPr>
          <w:rFonts w:ascii="Tahoma" w:hAnsi="Tahoma" w:cs="Tahoma"/>
          <w:sz w:val="16"/>
          <w:szCs w:val="16"/>
        </w:rPr>
        <w:t xml:space="preserve"> </w:t>
      </w:r>
      <w:r w:rsidRPr="00B168A7">
        <w:rPr>
          <w:rFonts w:ascii="Tahoma" w:hAnsi="Tahoma" w:cs="Tahoma"/>
          <w:i/>
          <w:spacing w:val="-9"/>
          <w:w w:val="103"/>
          <w:sz w:val="16"/>
          <w:szCs w:val="16"/>
        </w:rPr>
        <w:t xml:space="preserve">Coffs Harbour and District Local Aboriginal Land Council v Minister Administering the Crown Lands Act </w:t>
      </w:r>
      <w:r w:rsidRPr="00B168A7">
        <w:rPr>
          <w:rFonts w:ascii="Tahoma" w:hAnsi="Tahoma" w:cs="Tahoma"/>
          <w:spacing w:val="-9"/>
          <w:w w:val="103"/>
          <w:sz w:val="16"/>
          <w:szCs w:val="16"/>
        </w:rPr>
        <w:t>[2013] NSWLEC 216 (24 December 2013) (</w:t>
      </w:r>
      <w:r w:rsidRPr="00B168A7">
        <w:rPr>
          <w:rFonts w:ascii="Tahoma" w:hAnsi="Tahoma" w:cs="Tahoma"/>
          <w:i/>
          <w:spacing w:val="-9"/>
          <w:w w:val="103"/>
          <w:sz w:val="16"/>
          <w:szCs w:val="16"/>
        </w:rPr>
        <w:t xml:space="preserve">Coffs Harbour) </w:t>
      </w:r>
      <w:r w:rsidRPr="00B168A7">
        <w:rPr>
          <w:rFonts w:ascii="Tahoma" w:hAnsi="Tahoma" w:cs="Tahoma"/>
          <w:spacing w:val="-9"/>
          <w:w w:val="103"/>
          <w:sz w:val="16"/>
          <w:szCs w:val="16"/>
        </w:rPr>
        <w:t>at [11].</w:t>
      </w:r>
    </w:p>
  </w:footnote>
  <w:footnote w:id="4">
    <w:p w14:paraId="1F39CCA5" w14:textId="79ADADA8" w:rsidR="00C95434" w:rsidRPr="00B168A7" w:rsidRDefault="00C95434" w:rsidP="00C95434">
      <w:pPr>
        <w:pStyle w:val="FootnoteText"/>
        <w:jc w:val="both"/>
        <w:rPr>
          <w:rFonts w:ascii="Tahoma" w:hAnsi="Tahoma" w:cs="Tahoma"/>
          <w:sz w:val="16"/>
          <w:szCs w:val="16"/>
        </w:rPr>
      </w:pPr>
      <w:r w:rsidRPr="00B168A7">
        <w:rPr>
          <w:rStyle w:val="FootnoteReference"/>
          <w:rFonts w:ascii="Tahoma" w:hAnsi="Tahoma" w:cs="Tahoma"/>
          <w:sz w:val="16"/>
          <w:szCs w:val="16"/>
        </w:rPr>
        <w:footnoteRef/>
      </w:r>
      <w:r w:rsidRPr="00B168A7">
        <w:rPr>
          <w:rFonts w:ascii="Tahoma" w:hAnsi="Tahoma" w:cs="Tahoma"/>
          <w:sz w:val="16"/>
          <w:szCs w:val="16"/>
        </w:rPr>
        <w:t xml:space="preserve"> </w:t>
      </w:r>
      <w:r w:rsidRPr="00B168A7">
        <w:rPr>
          <w:rFonts w:ascii="Tahoma" w:hAnsi="Tahoma" w:cs="Tahoma"/>
          <w:i/>
          <w:spacing w:val="-9"/>
          <w:w w:val="103"/>
          <w:sz w:val="16"/>
          <w:szCs w:val="16"/>
        </w:rPr>
        <w:t>Coffs Harbour</w:t>
      </w:r>
      <w:r w:rsidRPr="00B168A7">
        <w:rPr>
          <w:rFonts w:ascii="Tahoma" w:hAnsi="Tahoma" w:cs="Tahoma"/>
          <w:spacing w:val="-9"/>
          <w:w w:val="103"/>
          <w:sz w:val="16"/>
          <w:szCs w:val="16"/>
        </w:rPr>
        <w:t xml:space="preserve"> at [12].</w:t>
      </w:r>
    </w:p>
  </w:footnote>
  <w:footnote w:id="5">
    <w:p w14:paraId="6BDA88C7" w14:textId="22CCADFD" w:rsidR="00C95434" w:rsidRPr="00B168A7" w:rsidRDefault="00C95434" w:rsidP="007A3275">
      <w:pPr>
        <w:pStyle w:val="NoSpacing"/>
        <w:jc w:val="both"/>
        <w:rPr>
          <w:rFonts w:ascii="Tahoma" w:hAnsi="Tahoma" w:cs="Tahoma"/>
          <w:sz w:val="16"/>
          <w:szCs w:val="16"/>
        </w:rPr>
      </w:pPr>
      <w:r w:rsidRPr="00B168A7">
        <w:rPr>
          <w:rStyle w:val="FootnoteReference"/>
          <w:rFonts w:ascii="Tahoma" w:hAnsi="Tahoma" w:cs="Tahoma"/>
          <w:sz w:val="16"/>
          <w:szCs w:val="16"/>
        </w:rPr>
        <w:footnoteRef/>
      </w:r>
      <w:r w:rsidRPr="00B168A7">
        <w:rPr>
          <w:rFonts w:ascii="Tahoma" w:hAnsi="Tahoma" w:cs="Tahoma"/>
          <w:sz w:val="16"/>
          <w:szCs w:val="16"/>
        </w:rPr>
        <w:t xml:space="preserve"> </w:t>
      </w:r>
      <w:r w:rsidRPr="00B168A7">
        <w:rPr>
          <w:rFonts w:ascii="Tahoma" w:hAnsi="Tahoma" w:cs="Tahoma"/>
          <w:i/>
          <w:spacing w:val="-9"/>
          <w:w w:val="103"/>
          <w:sz w:val="16"/>
          <w:szCs w:val="16"/>
        </w:rPr>
        <w:t xml:space="preserve">Minister Administering the Crown Lands Act v </w:t>
      </w:r>
      <w:proofErr w:type="spellStart"/>
      <w:r w:rsidRPr="00B168A7">
        <w:rPr>
          <w:rFonts w:ascii="Tahoma" w:hAnsi="Tahoma" w:cs="Tahoma"/>
          <w:i/>
          <w:spacing w:val="-9"/>
          <w:w w:val="103"/>
          <w:sz w:val="16"/>
          <w:szCs w:val="16"/>
        </w:rPr>
        <w:t>Deerrubbin</w:t>
      </w:r>
      <w:proofErr w:type="spellEnd"/>
      <w:r w:rsidRPr="00B168A7">
        <w:rPr>
          <w:rFonts w:ascii="Tahoma" w:hAnsi="Tahoma" w:cs="Tahoma"/>
          <w:i/>
          <w:spacing w:val="-9"/>
          <w:w w:val="103"/>
          <w:sz w:val="16"/>
          <w:szCs w:val="16"/>
        </w:rPr>
        <w:t xml:space="preserve"> Local Aboriginal Land Council (No.2) </w:t>
      </w:r>
      <w:r w:rsidRPr="00B168A7">
        <w:rPr>
          <w:rFonts w:ascii="Tahoma" w:hAnsi="Tahoma" w:cs="Tahoma"/>
          <w:spacing w:val="-9"/>
          <w:w w:val="103"/>
          <w:sz w:val="16"/>
          <w:szCs w:val="16"/>
        </w:rPr>
        <w:t>[2001] NSWCA 28 at [57].</w:t>
      </w:r>
    </w:p>
  </w:footnote>
  <w:footnote w:id="6">
    <w:p w14:paraId="524FA673" w14:textId="213B96B8" w:rsidR="00C95434" w:rsidRDefault="00C95434" w:rsidP="007A3275">
      <w:pPr>
        <w:pStyle w:val="FootnoteText"/>
        <w:jc w:val="both"/>
      </w:pPr>
      <w:r w:rsidRPr="00B168A7">
        <w:rPr>
          <w:rStyle w:val="FootnoteReference"/>
          <w:rFonts w:ascii="Tahoma" w:hAnsi="Tahoma" w:cs="Tahoma"/>
          <w:sz w:val="16"/>
          <w:szCs w:val="16"/>
        </w:rPr>
        <w:footnoteRef/>
      </w:r>
      <w:r w:rsidRPr="00B168A7">
        <w:rPr>
          <w:rFonts w:ascii="Tahoma" w:hAnsi="Tahoma" w:cs="Tahoma"/>
          <w:sz w:val="16"/>
          <w:szCs w:val="16"/>
        </w:rPr>
        <w:t xml:space="preserve"> </w:t>
      </w:r>
      <w:r w:rsidRPr="00B168A7">
        <w:rPr>
          <w:rFonts w:ascii="Tahoma" w:hAnsi="Tahoma" w:cs="Tahoma"/>
          <w:i/>
          <w:spacing w:val="-9"/>
          <w:w w:val="103"/>
          <w:sz w:val="16"/>
          <w:szCs w:val="16"/>
        </w:rPr>
        <w:t>Coffs Harbour</w:t>
      </w:r>
      <w:r w:rsidRPr="00B168A7">
        <w:rPr>
          <w:rFonts w:ascii="Tahoma" w:hAnsi="Tahoma" w:cs="Tahoma"/>
          <w:spacing w:val="-9"/>
          <w:w w:val="103"/>
          <w:sz w:val="16"/>
          <w:szCs w:val="16"/>
        </w:rPr>
        <w:t xml:space="preserve"> </w:t>
      </w:r>
      <w:r w:rsidRPr="005769B5">
        <w:rPr>
          <w:rFonts w:ascii="Tahoma" w:hAnsi="Tahoma" w:cs="Tahoma"/>
          <w:spacing w:val="-9"/>
          <w:w w:val="103"/>
          <w:sz w:val="16"/>
          <w:szCs w:val="16"/>
        </w:rPr>
        <w:t>a</w:t>
      </w:r>
      <w:r w:rsidRPr="00B168A7">
        <w:rPr>
          <w:rFonts w:ascii="Tahoma" w:hAnsi="Tahoma" w:cs="Tahoma"/>
          <w:spacing w:val="-9"/>
          <w:w w:val="103"/>
          <w:sz w:val="16"/>
          <w:szCs w:val="16"/>
        </w:rPr>
        <w:t>t [151].</w:t>
      </w:r>
    </w:p>
  </w:footnote>
  <w:footnote w:id="7">
    <w:p w14:paraId="6CB9CB41" w14:textId="462F5CE4" w:rsidR="00937C9A" w:rsidRDefault="00937C9A">
      <w:pPr>
        <w:pStyle w:val="FootnoteText"/>
      </w:pPr>
      <w:r>
        <w:rPr>
          <w:rStyle w:val="FootnoteReference"/>
        </w:rPr>
        <w:footnoteRef/>
      </w:r>
      <w:r>
        <w:t xml:space="preserve"> </w:t>
      </w:r>
      <w:r w:rsidRPr="00037B1B">
        <w:rPr>
          <w:rStyle w:val="Emphasis"/>
          <w:rFonts w:ascii="Tahoma" w:hAnsi="Tahoma" w:cs="Tahoma"/>
          <w:i/>
          <w:sz w:val="16"/>
          <w:szCs w:val="16"/>
        </w:rPr>
        <w:t>Desane Properties Pty Limited v State of New South Wales</w:t>
      </w:r>
      <w:r w:rsidRPr="00037B1B">
        <w:rPr>
          <w:rStyle w:val="Emphasis"/>
          <w:rFonts w:ascii="Tahoma" w:hAnsi="Tahoma" w:cs="Tahoma"/>
          <w:iCs/>
          <w:sz w:val="16"/>
          <w:szCs w:val="16"/>
        </w:rPr>
        <w:t xml:space="preserve"> [2028] 553 at [304].</w:t>
      </w:r>
      <w:r>
        <w:rPr>
          <w:rStyle w:val="Emphasis"/>
          <w:rFonts w:asciiTheme="minorHAnsi" w:hAnsiTheme="minorHAnsi" w:cstheme="minorHAnsi"/>
          <w:iCs/>
          <w:sz w:val="28"/>
          <w:szCs w:val="28"/>
        </w:rPr>
        <w:t xml:space="preserve"> </w:t>
      </w:r>
    </w:p>
  </w:footnote>
  <w:footnote w:id="8">
    <w:p w14:paraId="546B37BF" w14:textId="6B9CC007" w:rsidR="002B3BDE" w:rsidRPr="005769B5" w:rsidRDefault="002B3BDE">
      <w:pPr>
        <w:pStyle w:val="FootnoteText"/>
        <w:rPr>
          <w:iCs/>
        </w:rPr>
      </w:pPr>
      <w:r>
        <w:rPr>
          <w:rStyle w:val="FootnoteReference"/>
        </w:rPr>
        <w:footnoteRef/>
      </w:r>
      <w:r>
        <w:t xml:space="preserve"> </w:t>
      </w:r>
      <w:r w:rsidR="005769B5" w:rsidRPr="00037B1B">
        <w:rPr>
          <w:rStyle w:val="Emphasis"/>
          <w:rFonts w:ascii="Tahoma" w:hAnsi="Tahoma" w:cs="Tahoma"/>
          <w:i/>
          <w:sz w:val="16"/>
          <w:szCs w:val="16"/>
        </w:rPr>
        <w:t>Desane</w:t>
      </w:r>
      <w:r w:rsidR="005769B5">
        <w:rPr>
          <w:rStyle w:val="Emphasis"/>
          <w:rFonts w:ascii="Tahoma" w:hAnsi="Tahoma" w:cs="Tahoma"/>
          <w:i/>
          <w:sz w:val="16"/>
          <w:szCs w:val="16"/>
        </w:rPr>
        <w:t xml:space="preserve"> at </w:t>
      </w:r>
      <w:r w:rsidR="005769B5">
        <w:rPr>
          <w:rStyle w:val="Emphasis"/>
          <w:rFonts w:ascii="Tahoma" w:hAnsi="Tahoma" w:cs="Tahoma"/>
          <w:iCs/>
          <w:sz w:val="16"/>
          <w:szCs w:val="16"/>
        </w:rPr>
        <w:t>[336-337].</w:t>
      </w:r>
    </w:p>
  </w:footnote>
  <w:footnote w:id="9">
    <w:p w14:paraId="4058C767" w14:textId="771CD7F2" w:rsidR="00095474" w:rsidRDefault="00095474">
      <w:pPr>
        <w:pStyle w:val="FootnoteText"/>
      </w:pPr>
      <w:r>
        <w:rPr>
          <w:rStyle w:val="FootnoteReference"/>
        </w:rPr>
        <w:footnoteRef/>
      </w:r>
      <w:r>
        <w:t xml:space="preserve"> </w:t>
      </w:r>
      <w:r w:rsidR="001B2433" w:rsidRPr="001B2433">
        <w:rPr>
          <w:rFonts w:ascii="Tahoma" w:hAnsi="Tahoma" w:cs="Tahoma"/>
          <w:i/>
          <w:sz w:val="16"/>
          <w:szCs w:val="16"/>
        </w:rPr>
        <w:t xml:space="preserve">Goldmate Property Luddenham No.1 Pty Ltd v Transport for New South Wales [2024] NSWCA </w:t>
      </w:r>
      <w:proofErr w:type="gramStart"/>
      <w:r w:rsidR="001B2433" w:rsidRPr="001B2433">
        <w:rPr>
          <w:rFonts w:ascii="Tahoma" w:hAnsi="Tahoma" w:cs="Tahoma"/>
          <w:i/>
          <w:sz w:val="16"/>
          <w:szCs w:val="16"/>
        </w:rPr>
        <w:t>292</w:t>
      </w:r>
      <w:r w:rsidR="00894A08">
        <w:rPr>
          <w:rFonts w:ascii="Tahoma" w:hAnsi="Tahoma" w:cs="Tahoma"/>
          <w:iCs/>
          <w:sz w:val="16"/>
          <w:szCs w:val="16"/>
        </w:rPr>
        <w:t xml:space="preserve">, </w:t>
      </w:r>
      <w:r w:rsidR="001B2433" w:rsidRPr="001B2433">
        <w:rPr>
          <w:rFonts w:ascii="Tahoma" w:hAnsi="Tahoma" w:cs="Tahoma"/>
          <w:iCs/>
          <w:sz w:val="16"/>
          <w:szCs w:val="16"/>
        </w:rPr>
        <w:t xml:space="preserve"> </w:t>
      </w:r>
      <w:r w:rsidR="001B2433">
        <w:rPr>
          <w:rFonts w:ascii="Tahoma" w:hAnsi="Tahoma" w:cs="Tahoma"/>
          <w:iCs/>
          <w:sz w:val="16"/>
          <w:szCs w:val="16"/>
        </w:rPr>
        <w:t>per</w:t>
      </w:r>
      <w:proofErr w:type="gramEnd"/>
      <w:r w:rsidR="001B2433">
        <w:rPr>
          <w:rFonts w:ascii="Tahoma" w:hAnsi="Tahoma" w:cs="Tahoma"/>
          <w:iCs/>
          <w:sz w:val="16"/>
          <w:szCs w:val="16"/>
        </w:rPr>
        <w:t xml:space="preserve"> Preston CJ </w:t>
      </w:r>
      <w:r w:rsidR="001B2433" w:rsidRPr="001B2433">
        <w:rPr>
          <w:rFonts w:ascii="Tahoma" w:hAnsi="Tahoma" w:cs="Tahoma"/>
          <w:iCs/>
          <w:sz w:val="16"/>
          <w:szCs w:val="16"/>
        </w:rPr>
        <w:t>at {92].</w:t>
      </w:r>
    </w:p>
  </w:footnote>
  <w:footnote w:id="10">
    <w:p w14:paraId="017EFB9F" w14:textId="1EE11B7E" w:rsidR="00D40D76" w:rsidRDefault="00D40D76">
      <w:pPr>
        <w:pStyle w:val="FootnoteText"/>
      </w:pPr>
      <w:r>
        <w:rPr>
          <w:rStyle w:val="FootnoteReference"/>
        </w:rPr>
        <w:footnoteRef/>
      </w:r>
      <w:r>
        <w:t xml:space="preserve"> </w:t>
      </w:r>
      <w:r w:rsidRPr="00D40D76">
        <w:rPr>
          <w:i/>
          <w:iCs/>
        </w:rPr>
        <w:t>S.55 (a) Land Acquisition (Just Terms Compensation) Act 1991</w:t>
      </w:r>
      <w:r>
        <w:t xml:space="preserve"> (NSW)</w:t>
      </w:r>
    </w:p>
  </w:footnote>
  <w:footnote w:id="11">
    <w:p w14:paraId="5665C888" w14:textId="1C052EBB" w:rsidR="00E22FE8" w:rsidRDefault="00E22FE8">
      <w:pPr>
        <w:pStyle w:val="FootnoteText"/>
      </w:pPr>
      <w:r>
        <w:rPr>
          <w:rStyle w:val="FootnoteReference"/>
        </w:rPr>
        <w:footnoteRef/>
      </w:r>
      <w:r>
        <w:t xml:space="preserve"> </w:t>
      </w:r>
      <w:r w:rsidRPr="00B647B8">
        <w:t>A voluntary deletion prior to a claim being determined under s.36(6) during negotiations with the Minister or their representative.</w:t>
      </w:r>
    </w:p>
  </w:footnote>
  <w:footnote w:id="12">
    <w:p w14:paraId="38102A7D" w14:textId="0611DDD6" w:rsidR="00C95434" w:rsidRPr="00F6792B" w:rsidRDefault="00C95434" w:rsidP="00C95434">
      <w:pPr>
        <w:pStyle w:val="FootnoteText"/>
        <w:jc w:val="both"/>
        <w:rPr>
          <w:rFonts w:ascii="Tahoma" w:hAnsi="Tahoma" w:cs="Tahoma"/>
          <w:sz w:val="16"/>
          <w:szCs w:val="16"/>
        </w:rPr>
      </w:pPr>
      <w:r w:rsidRPr="00F6792B">
        <w:rPr>
          <w:rStyle w:val="FootnoteReference"/>
          <w:rFonts w:ascii="Tahoma" w:hAnsi="Tahoma" w:cs="Tahoma"/>
          <w:sz w:val="16"/>
          <w:szCs w:val="16"/>
        </w:rPr>
        <w:footnoteRef/>
      </w:r>
      <w:r w:rsidRPr="00F6792B">
        <w:rPr>
          <w:rFonts w:ascii="Tahoma" w:hAnsi="Tahoma" w:cs="Tahoma"/>
          <w:sz w:val="16"/>
          <w:szCs w:val="16"/>
        </w:rPr>
        <w:t xml:space="preserve"> Excludes gold, silver, coal and petroleum.</w:t>
      </w:r>
    </w:p>
  </w:footnote>
  <w:footnote w:id="13">
    <w:p w14:paraId="503E179B" w14:textId="7678136C" w:rsidR="00443E73" w:rsidRPr="000E60AF" w:rsidRDefault="00443E73" w:rsidP="003546A0">
      <w:pPr>
        <w:pStyle w:val="NoSpacing"/>
        <w:jc w:val="both"/>
        <w:rPr>
          <w:rFonts w:ascii="Tahoma" w:hAnsi="Tahoma" w:cs="Tahoma"/>
          <w:b/>
          <w:sz w:val="16"/>
          <w:szCs w:val="16"/>
        </w:rPr>
      </w:pPr>
      <w:r w:rsidRPr="000E60AF">
        <w:rPr>
          <w:rStyle w:val="FootnoteReference"/>
          <w:rFonts w:ascii="Tahoma" w:hAnsi="Tahoma" w:cs="Tahoma"/>
          <w:sz w:val="16"/>
          <w:szCs w:val="16"/>
        </w:rPr>
        <w:footnoteRef/>
      </w:r>
      <w:r w:rsidRPr="000E60AF">
        <w:rPr>
          <w:rFonts w:ascii="Tahoma" w:hAnsi="Tahoma" w:cs="Tahoma"/>
          <w:sz w:val="16"/>
          <w:szCs w:val="16"/>
        </w:rPr>
        <w:t xml:space="preserve"> </w:t>
      </w:r>
      <w:r w:rsidRPr="000E60AF">
        <w:rPr>
          <w:rFonts w:ascii="Tahoma" w:hAnsi="Tahoma" w:cs="Tahoma"/>
          <w:i/>
          <w:spacing w:val="-9"/>
          <w:w w:val="103"/>
          <w:sz w:val="16"/>
          <w:szCs w:val="16"/>
        </w:rPr>
        <w:t>El Boustani v The Minister Administering the Environmental Planning and Assessment Act 1979</w:t>
      </w:r>
      <w:r w:rsidRPr="000E60AF">
        <w:rPr>
          <w:rFonts w:ascii="Tahoma" w:hAnsi="Tahoma" w:cs="Tahoma"/>
          <w:spacing w:val="-9"/>
          <w:w w:val="103"/>
          <w:sz w:val="16"/>
          <w:szCs w:val="16"/>
        </w:rPr>
        <w:t xml:space="preserve"> [2014] NSWCA 323 at [127].</w:t>
      </w:r>
    </w:p>
  </w:footnote>
  <w:footnote w:id="14">
    <w:p w14:paraId="1437D22D" w14:textId="3A1D8407" w:rsidR="004B364D" w:rsidRDefault="004B364D" w:rsidP="003546A0">
      <w:pPr>
        <w:pStyle w:val="FootnoteText"/>
        <w:jc w:val="both"/>
      </w:pPr>
      <w:r>
        <w:rPr>
          <w:rStyle w:val="FootnoteReference"/>
        </w:rPr>
        <w:footnoteRef/>
      </w:r>
      <w:r w:rsidR="00111F58">
        <w:t xml:space="preserve"> </w:t>
      </w:r>
      <w:r w:rsidR="009B5ACB">
        <w:t>As mentioned earlier, d</w:t>
      </w:r>
      <w:r w:rsidR="00111F58">
        <w:t>endrogly</w:t>
      </w:r>
      <w:r>
        <w:t>phs</w:t>
      </w:r>
      <w:r w:rsidR="000F77C2">
        <w:t xml:space="preserve"> are carved trees </w:t>
      </w:r>
      <w:r w:rsidR="009B5ACB">
        <w:t xml:space="preserve">which are </w:t>
      </w:r>
      <w:r w:rsidR="000F77C2">
        <w:t xml:space="preserve">found primarily in western NSW associated </w:t>
      </w:r>
      <w:r w:rsidR="00111F58">
        <w:t xml:space="preserve">either </w:t>
      </w:r>
      <w:r w:rsidR="000F77C2">
        <w:t xml:space="preserve">with Indigenous initiation ceremonies or </w:t>
      </w:r>
      <w:r w:rsidR="00111F58">
        <w:t>with a burial of a celebrated clan person</w:t>
      </w:r>
      <w:r w:rsidR="000F77C2">
        <w:t xml:space="preserve">, see: </w:t>
      </w:r>
      <w:r w:rsidR="00AF0D50">
        <w:t>State Library of New South Wales (2011</w:t>
      </w:r>
      <w:r w:rsidR="00B21505">
        <w:t>) Carved</w:t>
      </w:r>
      <w:r w:rsidR="00111F58" w:rsidRPr="00111F58">
        <w:rPr>
          <w:i/>
        </w:rPr>
        <w:t xml:space="preserve"> Trees: Aboriginal cultures of western </w:t>
      </w:r>
      <w:r w:rsidR="003D51CA" w:rsidRPr="00111F58">
        <w:rPr>
          <w:i/>
        </w:rPr>
        <w:t>NSW</w:t>
      </w:r>
      <w:r w:rsidR="003D51CA">
        <w:rPr>
          <w:iCs/>
        </w:rPr>
        <w:t>.</w:t>
      </w:r>
      <w:r w:rsidR="003D51CA">
        <w:t xml:space="preserve"> Sydney</w:t>
      </w:r>
      <w:r w:rsidR="00AF0D50">
        <w:t xml:space="preserve">, </w:t>
      </w:r>
      <w:r w:rsidR="00111F58">
        <w:t>April.</w:t>
      </w:r>
    </w:p>
  </w:footnote>
  <w:footnote w:id="15">
    <w:p w14:paraId="279C2B76" w14:textId="2FC22583" w:rsidR="00903B14" w:rsidRDefault="00903B14">
      <w:pPr>
        <w:pStyle w:val="FootnoteText"/>
      </w:pPr>
      <w:r>
        <w:rPr>
          <w:rStyle w:val="FootnoteReference"/>
        </w:rPr>
        <w:footnoteRef/>
      </w:r>
      <w:r>
        <w:t xml:space="preserve"> </w:t>
      </w:r>
      <w:bookmarkStart w:id="0" w:name="_Hlk194758331"/>
      <w:r w:rsidRPr="00ED3170">
        <w:t>Joint Standing Committee on Northern Australia 2021, </w:t>
      </w:r>
      <w:r w:rsidRPr="00ED3170">
        <w:rPr>
          <w:i/>
          <w:iCs/>
        </w:rPr>
        <w:t xml:space="preserve">A Way </w:t>
      </w:r>
      <w:proofErr w:type="gramStart"/>
      <w:r w:rsidRPr="00ED3170">
        <w:rPr>
          <w:i/>
          <w:iCs/>
        </w:rPr>
        <w:t>Forward :</w:t>
      </w:r>
      <w:proofErr w:type="gramEnd"/>
      <w:r w:rsidRPr="00ED3170">
        <w:rPr>
          <w:i/>
          <w:iCs/>
        </w:rPr>
        <w:t xml:space="preserve"> Inquiry into the destruction of </w:t>
      </w:r>
      <w:proofErr w:type="gramStart"/>
      <w:r w:rsidRPr="00ED3170">
        <w:rPr>
          <w:i/>
          <w:iCs/>
        </w:rPr>
        <w:t>46,000 year old</w:t>
      </w:r>
      <w:proofErr w:type="gramEnd"/>
      <w:r w:rsidRPr="00ED3170">
        <w:rPr>
          <w:i/>
          <w:iCs/>
        </w:rPr>
        <w:t xml:space="preserve"> caves at the </w:t>
      </w:r>
      <w:proofErr w:type="spellStart"/>
      <w:r w:rsidRPr="00ED3170">
        <w:rPr>
          <w:i/>
          <w:iCs/>
        </w:rPr>
        <w:t>Juukan</w:t>
      </w:r>
      <w:proofErr w:type="spellEnd"/>
      <w:r w:rsidRPr="00ED3170">
        <w:rPr>
          <w:i/>
          <w:iCs/>
        </w:rPr>
        <w:t xml:space="preserve"> Gorge in the Pilbara region of Western Australia</w:t>
      </w:r>
      <w:r w:rsidRPr="00ED3170">
        <w:t>, eBook, viewed 5 April 2025, &lt;https://www.aph.gov.au/Parliamentary_Business/Committees/Joint/Former_Committees/Northern_Australia_46P/CavesatJuukanGorge&gt;.</w:t>
      </w:r>
      <w:bookmarkEnd w:id="0"/>
    </w:p>
  </w:footnote>
  <w:footnote w:id="16">
    <w:p w14:paraId="29B6C97F" w14:textId="389FB5AA" w:rsidR="00903B14" w:rsidRDefault="00903B14">
      <w:pPr>
        <w:pStyle w:val="FootnoteText"/>
      </w:pPr>
      <w:r>
        <w:rPr>
          <w:rStyle w:val="FootnoteReference"/>
        </w:rPr>
        <w:footnoteRef/>
      </w:r>
      <w:r>
        <w:t xml:space="preserve"> </w:t>
      </w:r>
      <w:r w:rsidRPr="00071840">
        <w:t>AIATSIS,</w:t>
      </w:r>
      <w:r>
        <w:t xml:space="preserve"> </w:t>
      </w:r>
      <w:r w:rsidRPr="00071840">
        <w:rPr>
          <w:i/>
          <w:iCs/>
        </w:rPr>
        <w:t xml:space="preserve">Submission to A Way </w:t>
      </w:r>
      <w:proofErr w:type="gramStart"/>
      <w:r w:rsidRPr="00071840">
        <w:rPr>
          <w:i/>
          <w:iCs/>
        </w:rPr>
        <w:t>Forward :</w:t>
      </w:r>
      <w:proofErr w:type="gramEnd"/>
      <w:r w:rsidRPr="00071840">
        <w:rPr>
          <w:i/>
          <w:iCs/>
        </w:rPr>
        <w:t xml:space="preserve"> Inquiry into the destruction of </w:t>
      </w:r>
      <w:proofErr w:type="gramStart"/>
      <w:r w:rsidRPr="00071840">
        <w:rPr>
          <w:i/>
          <w:iCs/>
        </w:rPr>
        <w:t>46,000 year old</w:t>
      </w:r>
      <w:proofErr w:type="gramEnd"/>
      <w:r w:rsidRPr="00071840">
        <w:rPr>
          <w:i/>
          <w:iCs/>
        </w:rPr>
        <w:t xml:space="preserve"> caves at the </w:t>
      </w:r>
      <w:proofErr w:type="spellStart"/>
      <w:r w:rsidRPr="00071840">
        <w:rPr>
          <w:i/>
          <w:iCs/>
        </w:rPr>
        <w:t>Juukan</w:t>
      </w:r>
      <w:proofErr w:type="spellEnd"/>
      <w:r w:rsidRPr="00071840">
        <w:rPr>
          <w:i/>
          <w:iCs/>
        </w:rPr>
        <w:t xml:space="preserve"> Gorge in the Pilbara region of Western Australia 57.1A</w:t>
      </w:r>
      <w:r w:rsidRPr="00071840">
        <w:t>, p. 259</w:t>
      </w:r>
    </w:p>
  </w:footnote>
  <w:footnote w:id="17">
    <w:p w14:paraId="3445B834" w14:textId="315E3ABD" w:rsidR="00903B14" w:rsidRDefault="00903B14">
      <w:pPr>
        <w:pStyle w:val="FootnoteText"/>
      </w:pPr>
      <w:r>
        <w:rPr>
          <w:rStyle w:val="FootnoteReference"/>
        </w:rPr>
        <w:footnoteRef/>
      </w:r>
      <w:r>
        <w:t xml:space="preserve"> </w:t>
      </w:r>
      <w:r w:rsidRPr="003E2380">
        <w:t>Western Australian Department of Planning, Lands and Heritage (DPLH), ‘A Brief History of the Aboriginal Heritage Act 1972’, p. 1, </w:t>
      </w:r>
      <w:r w:rsidRPr="004B0C24">
        <w:t>https://www.dplh.wa.gov.au/getmedia/54f16de4-b7d9-4f0c-8416-1e9ff2da617e/AH-History-of-the-AHA</w:t>
      </w:r>
    </w:p>
  </w:footnote>
  <w:footnote w:id="18">
    <w:p w14:paraId="2050F31C" w14:textId="28EE8939" w:rsidR="00903B14" w:rsidRDefault="00903B14">
      <w:pPr>
        <w:pStyle w:val="FootnoteText"/>
      </w:pPr>
      <w:r>
        <w:rPr>
          <w:rStyle w:val="FootnoteReference"/>
        </w:rPr>
        <w:footnoteRef/>
      </w:r>
      <w:r>
        <w:t xml:space="preserve"> </w:t>
      </w:r>
      <w:r w:rsidRPr="00E91B17">
        <w:t xml:space="preserve">Chamber of Minerals and Energy of Western Australia (CME), </w:t>
      </w:r>
      <w:r w:rsidRPr="00071840">
        <w:rPr>
          <w:i/>
          <w:iCs/>
        </w:rPr>
        <w:t xml:space="preserve">Submission to A Way </w:t>
      </w:r>
      <w:proofErr w:type="gramStart"/>
      <w:r w:rsidRPr="00071840">
        <w:rPr>
          <w:i/>
          <w:iCs/>
        </w:rPr>
        <w:t>Forward :</w:t>
      </w:r>
      <w:proofErr w:type="gramEnd"/>
      <w:r w:rsidRPr="00071840">
        <w:rPr>
          <w:i/>
          <w:iCs/>
        </w:rPr>
        <w:t xml:space="preserve"> Inquiry into the destruction of </w:t>
      </w:r>
      <w:proofErr w:type="gramStart"/>
      <w:r w:rsidRPr="00071840">
        <w:rPr>
          <w:i/>
          <w:iCs/>
        </w:rPr>
        <w:t>46,000 year old</w:t>
      </w:r>
      <w:proofErr w:type="gramEnd"/>
      <w:r w:rsidRPr="00071840">
        <w:rPr>
          <w:i/>
          <w:iCs/>
        </w:rPr>
        <w:t xml:space="preserve"> caves at the </w:t>
      </w:r>
      <w:proofErr w:type="spellStart"/>
      <w:r w:rsidRPr="00071840">
        <w:rPr>
          <w:i/>
          <w:iCs/>
        </w:rPr>
        <w:t>Juukan</w:t>
      </w:r>
      <w:proofErr w:type="spellEnd"/>
      <w:r w:rsidRPr="00071840">
        <w:rPr>
          <w:i/>
          <w:iCs/>
        </w:rPr>
        <w:t xml:space="preserve"> Gorge in the Pilbara region of Western </w:t>
      </w:r>
      <w:proofErr w:type="gramStart"/>
      <w:r w:rsidRPr="00071840">
        <w:rPr>
          <w:i/>
          <w:iCs/>
        </w:rPr>
        <w:t>Australia</w:t>
      </w:r>
      <w:r>
        <w:t xml:space="preserve"> </w:t>
      </w:r>
      <w:r w:rsidRPr="00E91B17">
        <w:t xml:space="preserve"> 83.1</w:t>
      </w:r>
      <w:proofErr w:type="gramEnd"/>
      <w:r w:rsidRPr="00E91B17">
        <w:t>, p. 2.</w:t>
      </w:r>
    </w:p>
  </w:footnote>
  <w:footnote w:id="19">
    <w:p w14:paraId="7DD801AB" w14:textId="36286CC6" w:rsidR="00903B14" w:rsidRDefault="00903B14">
      <w:pPr>
        <w:pStyle w:val="FootnoteText"/>
      </w:pPr>
      <w:r>
        <w:rPr>
          <w:rStyle w:val="FootnoteReference"/>
        </w:rPr>
        <w:footnoteRef/>
      </w:r>
      <w:r>
        <w:t xml:space="preserve"> </w:t>
      </w:r>
      <w:r w:rsidRPr="00C047A3">
        <w:t>WALW - Aboriginal Cultural Heritage Act 2021 - All Versions</w:t>
      </w:r>
    </w:p>
  </w:footnote>
  <w:footnote w:id="20">
    <w:p w14:paraId="0F249AAD" w14:textId="50383A28" w:rsidR="00903B14" w:rsidRDefault="00903B14">
      <w:pPr>
        <w:pStyle w:val="FootnoteText"/>
      </w:pPr>
      <w:r>
        <w:rPr>
          <w:rStyle w:val="FootnoteReference"/>
        </w:rPr>
        <w:footnoteRef/>
      </w:r>
      <w:r>
        <w:t xml:space="preserve"> </w:t>
      </w:r>
      <w:r w:rsidRPr="00DE6ECC">
        <w:t>Connell, J &amp; Howitt, R 1991, </w:t>
      </w:r>
      <w:r w:rsidRPr="00DE6ECC">
        <w:rPr>
          <w:i/>
          <w:iCs/>
        </w:rPr>
        <w:t>Mining and indigenous peoples in Australasia</w:t>
      </w:r>
      <w:r w:rsidRPr="00DE6ECC">
        <w:t xml:space="preserve">, 1st </w:t>
      </w:r>
      <w:proofErr w:type="spellStart"/>
      <w:r w:rsidRPr="00DE6ECC">
        <w:t>edn</w:t>
      </w:r>
      <w:proofErr w:type="spellEnd"/>
      <w:r w:rsidRPr="00DE6ECC">
        <w:t>, Sydney University Press, Sydney, Australia.</w:t>
      </w:r>
    </w:p>
  </w:footnote>
  <w:footnote w:id="21">
    <w:p w14:paraId="02715310" w14:textId="283AE71D" w:rsidR="000043BB" w:rsidRDefault="000043BB">
      <w:pPr>
        <w:pStyle w:val="FootnoteText"/>
      </w:pPr>
      <w:r>
        <w:rPr>
          <w:rStyle w:val="FootnoteReference"/>
        </w:rPr>
        <w:footnoteRef/>
      </w:r>
      <w:r>
        <w:t xml:space="preserve"> </w:t>
      </w:r>
      <w:bookmarkStart w:id="1" w:name="_Hlk212658064"/>
      <w:r w:rsidRPr="00040ABC">
        <w:t>Seaman, P</w:t>
      </w:r>
      <w:r w:rsidR="007F195E">
        <w:t xml:space="preserve">., 1984. </w:t>
      </w:r>
      <w:r w:rsidRPr="00040ABC">
        <w:t xml:space="preserve">Aboriginal Land Inquiry (W.A.). 1984, The Aboriginal Land </w:t>
      </w:r>
      <w:proofErr w:type="gramStart"/>
      <w:r w:rsidRPr="00040ABC">
        <w:t>Inquiry :</w:t>
      </w:r>
      <w:proofErr w:type="gramEnd"/>
      <w:r w:rsidRPr="00040ABC">
        <w:t xml:space="preserve"> report The Inquiry [Perth, W.A.</w:t>
      </w:r>
      <w:bookmarkEnd w:id="1"/>
    </w:p>
  </w:footnote>
  <w:footnote w:id="22">
    <w:p w14:paraId="4AF3ABA6" w14:textId="77777777" w:rsidR="003A7A0A" w:rsidRDefault="003A7A0A" w:rsidP="003A7A0A">
      <w:pPr>
        <w:pStyle w:val="FootnoteText"/>
      </w:pPr>
      <w:r>
        <w:rPr>
          <w:rStyle w:val="FootnoteReference"/>
        </w:rPr>
        <w:footnoteRef/>
      </w:r>
      <w:r>
        <w:t xml:space="preserve"> </w:t>
      </w:r>
      <w:r w:rsidRPr="007C7EF8">
        <w:t>Snelling, J., 1984. The Aboriginal Land Inquiry, Western Australia. </w:t>
      </w:r>
      <w:r w:rsidRPr="007C7EF8">
        <w:rPr>
          <w:i/>
          <w:iCs/>
        </w:rPr>
        <w:t>AMPLA Bull.</w:t>
      </w:r>
      <w:r w:rsidRPr="007C7EF8">
        <w:t>, </w:t>
      </w:r>
      <w:r w:rsidRPr="007C7EF8">
        <w:rPr>
          <w:i/>
          <w:iCs/>
        </w:rPr>
        <w:t>3</w:t>
      </w:r>
      <w:r w:rsidRPr="007C7EF8">
        <w:t>, p.18.</w:t>
      </w:r>
    </w:p>
  </w:footnote>
  <w:footnote w:id="23">
    <w:p w14:paraId="0443F62D" w14:textId="77777777" w:rsidR="000043BB" w:rsidRDefault="000043BB" w:rsidP="000043BB">
      <w:pPr>
        <w:pStyle w:val="FootnoteText"/>
      </w:pPr>
      <w:r>
        <w:rPr>
          <w:rStyle w:val="FootnoteReference"/>
        </w:rPr>
        <w:footnoteRef/>
      </w:r>
      <w:r>
        <w:t xml:space="preserve"> </w:t>
      </w:r>
      <w:r w:rsidRPr="006853FF">
        <w:t>Hunt, M., 1984. Aboriginal Land Rights in Western Australia. </w:t>
      </w:r>
      <w:r w:rsidRPr="006853FF">
        <w:rPr>
          <w:i/>
          <w:iCs/>
        </w:rPr>
        <w:t>AMPLA Bull.</w:t>
      </w:r>
      <w:r w:rsidRPr="006853FF">
        <w:t>, </w:t>
      </w:r>
      <w:r w:rsidRPr="006853FF">
        <w:rPr>
          <w:i/>
          <w:iCs/>
        </w:rPr>
        <w:t>3</w:t>
      </w:r>
      <w:r w:rsidRPr="006853FF">
        <w:t>, p.58</w:t>
      </w:r>
    </w:p>
  </w:footnote>
  <w:footnote w:id="24">
    <w:p w14:paraId="3806F01C" w14:textId="454B8ACD" w:rsidR="00757423" w:rsidRDefault="00757423">
      <w:pPr>
        <w:pStyle w:val="FootnoteText"/>
      </w:pPr>
      <w:r>
        <w:rPr>
          <w:rStyle w:val="FootnoteReference"/>
        </w:rPr>
        <w:footnoteRef/>
      </w:r>
      <w:r>
        <w:t xml:space="preserve"> </w:t>
      </w:r>
      <w:r w:rsidR="005E4A38" w:rsidRPr="005E4A38">
        <w:t>National Native Title Register</w:t>
      </w:r>
      <w:r w:rsidR="005E4A38">
        <w:t xml:space="preserve">, </w:t>
      </w:r>
      <w:r w:rsidR="005E4A38" w:rsidRPr="005E4A38">
        <w:t xml:space="preserve">WCD2023/002 - </w:t>
      </w:r>
      <w:proofErr w:type="spellStart"/>
      <w:r w:rsidR="005E4A38" w:rsidRPr="005E4A38">
        <w:t>Nyalpa</w:t>
      </w:r>
      <w:proofErr w:type="spellEnd"/>
      <w:r w:rsidR="005E4A38" w:rsidRPr="005E4A38">
        <w:t xml:space="preserve"> </w:t>
      </w:r>
      <w:proofErr w:type="spellStart"/>
      <w:r w:rsidR="005E4A38" w:rsidRPr="005E4A38">
        <w:t>Pirniku</w:t>
      </w:r>
      <w:proofErr w:type="spellEnd"/>
    </w:p>
  </w:footnote>
  <w:footnote w:id="25">
    <w:p w14:paraId="546785C2" w14:textId="77777777" w:rsidR="00903582" w:rsidRDefault="00903582" w:rsidP="00903582">
      <w:pPr>
        <w:pStyle w:val="FootnoteText"/>
      </w:pPr>
      <w:r>
        <w:rPr>
          <w:rStyle w:val="FootnoteReference"/>
        </w:rPr>
        <w:footnoteRef/>
      </w:r>
      <w:r>
        <w:t xml:space="preserve"> </w:t>
      </w:r>
      <w:r w:rsidRPr="00690081">
        <w:rPr>
          <w:i/>
        </w:rPr>
        <w:t>Griffiths</w:t>
      </w:r>
      <w:r>
        <w:t xml:space="preserve"> at [144]</w:t>
      </w:r>
    </w:p>
  </w:footnote>
  <w:footnote w:id="26">
    <w:p w14:paraId="228335E6" w14:textId="77777777" w:rsidR="00903582" w:rsidRDefault="00903582" w:rsidP="00903582">
      <w:pPr>
        <w:pStyle w:val="NoSpacing"/>
      </w:pPr>
      <w:r>
        <w:rPr>
          <w:rStyle w:val="FootnoteReference"/>
        </w:rPr>
        <w:footnoteRef/>
      </w:r>
      <w:r>
        <w:t xml:space="preserve"> </w:t>
      </w:r>
      <w:r w:rsidRPr="001C14BF">
        <w:rPr>
          <w:rFonts w:cstheme="minorHAnsi"/>
          <w:i/>
          <w:iCs/>
          <w:sz w:val="20"/>
          <w:szCs w:val="20"/>
        </w:rPr>
        <w:t>Commonwealth of Australia v Yunupingu</w:t>
      </w:r>
      <w:r w:rsidRPr="001C14BF">
        <w:rPr>
          <w:rFonts w:cstheme="minorHAnsi"/>
          <w:sz w:val="20"/>
          <w:szCs w:val="20"/>
        </w:rPr>
        <w:t xml:space="preserve"> [2025] HCA 6 (12 March 2025)</w:t>
      </w:r>
      <w:r>
        <w:rPr>
          <w:rFonts w:cstheme="minorHAnsi"/>
          <w:sz w:val="20"/>
          <w:szCs w:val="20"/>
        </w:rPr>
        <w:t xml:space="preserve"> per Edelman J. at {290].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2A4AD" w14:textId="71BBC8DD" w:rsidR="00B57070" w:rsidRDefault="00B57070">
    <w:pPr>
      <w:pStyle w:val="Header"/>
    </w:pPr>
    <w:r>
      <w:rPr>
        <w:noProof/>
        <w:lang w:eastAsia="en-AU"/>
      </w:rPr>
      <mc:AlternateContent>
        <mc:Choice Requires="wps">
          <w:drawing>
            <wp:anchor distT="0" distB="0" distL="0" distR="0" simplePos="0" relativeHeight="251659264" behindDoc="0" locked="0" layoutInCell="1" allowOverlap="1" wp14:anchorId="4C15C80F" wp14:editId="3F880215">
              <wp:simplePos x="635" y="635"/>
              <wp:positionH relativeFrom="page">
                <wp:align>center</wp:align>
              </wp:positionH>
              <wp:positionV relativeFrom="page">
                <wp:align>top</wp:align>
              </wp:positionV>
              <wp:extent cx="443865" cy="443865"/>
              <wp:effectExtent l="0" t="0" r="16510" b="4445"/>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F55874" w14:textId="524F103D" w:rsidR="00B57070" w:rsidRPr="00B57070" w:rsidRDefault="00B57070" w:rsidP="00B57070">
                          <w:pPr>
                            <w:spacing w:after="0"/>
                            <w:rPr>
                              <w:rFonts w:ascii="Calibri" w:eastAsia="Calibri" w:hAnsi="Calibri" w:cs="Calibri"/>
                              <w:noProof/>
                              <w:color w:val="000000"/>
                              <w:sz w:val="20"/>
                              <w:szCs w:val="20"/>
                            </w:rPr>
                          </w:pPr>
                          <w:r w:rsidRPr="00B57070">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15C80F"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" filled="f" stroked="f">
              <v:textbox style="mso-fit-shape-to-text:t" inset="0,15pt,0,0">
                <w:txbxContent>
                  <w:p w14:paraId="0FF55874" w14:textId="524F103D" w:rsidR="00B57070" w:rsidRPr="00B57070" w:rsidRDefault="00B57070" w:rsidP="00B57070">
                    <w:pPr>
                      <w:spacing w:after="0"/>
                      <w:rPr>
                        <w:rFonts w:ascii="Calibri" w:eastAsia="Calibri" w:hAnsi="Calibri" w:cs="Calibri"/>
                        <w:noProof/>
                        <w:color w:val="000000"/>
                        <w:sz w:val="20"/>
                        <w:szCs w:val="20"/>
                      </w:rPr>
                    </w:pPr>
                    <w:r w:rsidRPr="00B57070">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1791"/>
    </w:tblGrid>
    <w:tr w:rsidR="00AF4B68" w14:paraId="68FAE3CD" w14:textId="77777777" w:rsidTr="00C810E1">
      <w:tc>
        <w:tcPr>
          <w:tcW w:w="7225" w:type="dxa"/>
          <w:vAlign w:val="bottom"/>
        </w:tcPr>
        <w:p w14:paraId="14CAE168" w14:textId="77777777" w:rsidR="00AF4B68" w:rsidRPr="001C7896" w:rsidRDefault="00AF4B68" w:rsidP="00AF4B68">
          <w:pPr>
            <w:pStyle w:val="Header"/>
            <w:rPr>
              <w:rFonts w:ascii="Palatino Linotype" w:eastAsia="Palatino Linotype" w:hAnsi="Palatino Linotype" w:cs="Palatino Linotype"/>
              <w14:textOutline w14:w="9525" w14:cap="rnd" w14:cmpd="sng" w14:algn="ctr">
                <w14:noFill/>
                <w14:prstDash w14:val="solid"/>
                <w14:bevel/>
              </w14:textOutline>
            </w:rPr>
          </w:pPr>
          <w:r w:rsidRPr="0E704322">
            <w:rPr>
              <w:rFonts w:ascii="Palatino Linotype" w:eastAsia="Palatino Linotype" w:hAnsi="Palatino Linotype" w:cs="Palatino Linotype"/>
              <w14:textOutline w14:w="9525" w14:cap="rnd" w14:cmpd="sng" w14:algn="ctr">
                <w14:noFill/>
                <w14:prstDash w14:val="solid"/>
                <w14:bevel/>
              </w14:textOutline>
            </w:rPr>
            <w:t>PACIFIC RIM PROPERTY RESEARCH JOURNAL</w:t>
          </w:r>
        </w:p>
        <w:p w14:paraId="46362248" w14:textId="430C6305" w:rsidR="00AF4B68" w:rsidRPr="001C7896" w:rsidRDefault="00AF4B68" w:rsidP="00AF4B68">
          <w:pPr>
            <w:pStyle w:val="Header"/>
            <w:rPr>
              <w:rFonts w:ascii="Palatino Linotype" w:eastAsia="Palatino Linotype" w:hAnsi="Palatino Linotype" w:cs="Palatino Linotype"/>
              <w14:textOutline w14:w="9525" w14:cap="rnd" w14:cmpd="sng" w14:algn="ctr">
                <w14:noFill/>
                <w14:prstDash w14:val="solid"/>
                <w14:bevel/>
              </w14:textOutline>
            </w:rPr>
          </w:pPr>
          <w:r w:rsidRPr="0E704322">
            <w:rPr>
              <w:rFonts w:ascii="Palatino Linotype" w:eastAsia="Palatino Linotype" w:hAnsi="Palatino Linotype" w:cs="Palatino Linotype"/>
              <w:b/>
              <w:bCs/>
              <w14:textOutline w14:w="9525" w14:cap="rnd" w14:cmpd="sng" w14:algn="ctr">
                <w14:noFill/>
                <w14:prstDash w14:val="solid"/>
                <w14:bevel/>
              </w14:textOutline>
            </w:rPr>
            <w:t>2025</w:t>
          </w:r>
          <w:r w:rsidRPr="0E704322">
            <w:rPr>
              <w:rFonts w:ascii="Palatino Linotype" w:eastAsia="Palatino Linotype" w:hAnsi="Palatino Linotype" w:cs="Palatino Linotype"/>
              <w14:textOutline w14:w="9525" w14:cap="rnd" w14:cmpd="sng" w14:algn="ctr">
                <w14:noFill/>
                <w14:prstDash w14:val="solid"/>
                <w14:bevel/>
              </w14:textOutline>
            </w:rPr>
            <w:t>, VOL.30, No.</w:t>
          </w:r>
          <w:r>
            <w:rPr>
              <w:rFonts w:ascii="Palatino Linotype" w:eastAsia="Palatino Linotype" w:hAnsi="Palatino Linotype" w:cs="Palatino Linotype"/>
              <w14:textOutline w14:w="9525" w14:cap="rnd" w14:cmpd="sng" w14:algn="ctr">
                <w14:noFill/>
                <w14:prstDash w14:val="solid"/>
                <w14:bevel/>
              </w14:textOutline>
            </w:rPr>
            <w:t>2</w:t>
          </w:r>
          <w:r w:rsidRPr="0E704322">
            <w:rPr>
              <w:rFonts w:ascii="Palatino Linotype" w:eastAsia="Palatino Linotype" w:hAnsi="Palatino Linotype" w:cs="Palatino Linotype"/>
              <w14:textOutline w14:w="9525" w14:cap="rnd" w14:cmpd="sng" w14:algn="ctr">
                <w14:noFill/>
                <w14:prstDash w14:val="solid"/>
                <w14:bevel/>
              </w14:textOutline>
            </w:rPr>
            <w:t xml:space="preserve">, </w:t>
          </w:r>
          <w:r w:rsidR="008F4C9C">
            <w:rPr>
              <w:rFonts w:ascii="Palatino Linotype" w:eastAsia="Palatino Linotype" w:hAnsi="Palatino Linotype" w:cs="Palatino Linotype"/>
              <w14:textOutline w14:w="9525" w14:cap="rnd" w14:cmpd="sng" w14:algn="ctr">
                <w14:noFill/>
                <w14:prstDash w14:val="solid"/>
                <w14:bevel/>
              </w14:textOutline>
            </w:rPr>
            <w:t>79</w:t>
          </w:r>
          <w:r w:rsidRPr="0E704322">
            <w:rPr>
              <w:rFonts w:ascii="Palatino Linotype" w:eastAsia="Palatino Linotype" w:hAnsi="Palatino Linotype" w:cs="Palatino Linotype"/>
              <w14:textOutline w14:w="9525" w14:cap="rnd" w14:cmpd="sng" w14:algn="ctr">
                <w14:noFill/>
                <w14:prstDash w14:val="solid"/>
                <w14:bevel/>
              </w14:textOutline>
            </w:rPr>
            <w:t>-</w:t>
          </w:r>
          <w:r>
            <w:rPr>
              <w:rFonts w:ascii="Palatino Linotype" w:eastAsia="Palatino Linotype" w:hAnsi="Palatino Linotype" w:cs="Palatino Linotype"/>
              <w14:textOutline w14:w="9525" w14:cap="rnd" w14:cmpd="sng" w14:algn="ctr">
                <w14:noFill/>
                <w14:prstDash w14:val="solid"/>
                <w14:bevel/>
              </w14:textOutline>
            </w:rPr>
            <w:t>96</w:t>
          </w:r>
        </w:p>
      </w:tc>
      <w:tc>
        <w:tcPr>
          <w:tcW w:w="1791" w:type="dxa"/>
        </w:tcPr>
        <w:p w14:paraId="25CDF348" w14:textId="77777777" w:rsidR="00AF4B68" w:rsidRPr="001C7896" w:rsidRDefault="00AF4B68" w:rsidP="00AF4B68">
          <w:pPr>
            <w:pStyle w:val="Header"/>
            <w:rPr>
              <w14:textOutline w14:w="9525" w14:cap="rnd" w14:cmpd="sng" w14:algn="ctr">
                <w14:noFill/>
                <w14:prstDash w14:val="solid"/>
                <w14:bevel/>
              </w14:textOutline>
            </w:rPr>
          </w:pPr>
          <w:r w:rsidRPr="001C7896">
            <w:rPr>
              <w:noProof/>
              <w14:textOutline w14:w="9525" w14:cap="rnd" w14:cmpd="sng" w14:algn="ctr">
                <w14:noFill/>
                <w14:prstDash w14:val="solid"/>
                <w14:bevel/>
              </w14:textOutline>
            </w:rPr>
            <w:drawing>
              <wp:inline distT="0" distB="0" distL="0" distR="0" wp14:anchorId="7C0216B8" wp14:editId="772E9C95">
                <wp:extent cx="944245" cy="458209"/>
                <wp:effectExtent l="0" t="0" r="5715" b="0"/>
                <wp:docPr id="2040541136"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216401"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44245" cy="458209"/>
                        </a:xfrm>
                        <a:prstGeom prst="rect">
                          <a:avLst/>
                        </a:prstGeom>
                      </pic:spPr>
                    </pic:pic>
                  </a:graphicData>
                </a:graphic>
              </wp:inline>
            </w:drawing>
          </w:r>
        </w:p>
      </w:tc>
    </w:tr>
  </w:tbl>
  <w:p w14:paraId="2ABFE17C" w14:textId="17E10FB8" w:rsidR="00B57070" w:rsidRDefault="00B57070">
    <w:pPr>
      <w:pStyle w:val="Header"/>
    </w:pPr>
    <w:r>
      <w:rPr>
        <w:noProof/>
        <w:lang w:eastAsia="en-AU"/>
      </w:rPr>
      <mc:AlternateContent>
        <mc:Choice Requires="wps">
          <w:drawing>
            <wp:anchor distT="0" distB="0" distL="0" distR="0" simplePos="0" relativeHeight="251660288" behindDoc="0" locked="0" layoutInCell="1" allowOverlap="1" wp14:anchorId="3024BF77" wp14:editId="22EB0628">
              <wp:simplePos x="914400" y="449580"/>
              <wp:positionH relativeFrom="page">
                <wp:align>center</wp:align>
              </wp:positionH>
              <wp:positionV relativeFrom="page">
                <wp:align>top</wp:align>
              </wp:positionV>
              <wp:extent cx="443865" cy="443865"/>
              <wp:effectExtent l="0" t="0" r="16510" b="4445"/>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B49AD5" w14:textId="14B5DB4A" w:rsidR="00B57070" w:rsidRPr="00B57070" w:rsidRDefault="00B57070" w:rsidP="00B57070">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24BF77"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" filled="f" stroked="f">
              <v:textbox style="mso-fit-shape-to-text:t" inset="0,15pt,0,0">
                <w:txbxContent>
                  <w:p w14:paraId="1CB49AD5" w14:textId="14B5DB4A" w:rsidR="00B57070" w:rsidRPr="00B57070" w:rsidRDefault="00B57070" w:rsidP="00B57070">
                    <w:pPr>
                      <w:spacing w:after="0"/>
                      <w:rPr>
                        <w:rFonts w:ascii="Calibri" w:eastAsia="Calibri" w:hAnsi="Calibri" w:cs="Calibri"/>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E3CCB" w14:textId="2F7CD226" w:rsidR="00B57070" w:rsidRDefault="00B57070">
    <w:pPr>
      <w:pStyle w:val="Header"/>
    </w:pPr>
    <w:r>
      <w:rPr>
        <w:noProof/>
        <w:lang w:eastAsia="en-AU"/>
      </w:rPr>
      <mc:AlternateContent>
        <mc:Choice Requires="wps">
          <w:drawing>
            <wp:anchor distT="0" distB="0" distL="0" distR="0" simplePos="0" relativeHeight="251658240" behindDoc="0" locked="0" layoutInCell="1" allowOverlap="1" wp14:anchorId="6296CA8D" wp14:editId="29D6C458">
              <wp:simplePos x="635" y="635"/>
              <wp:positionH relativeFrom="page">
                <wp:align>center</wp:align>
              </wp:positionH>
              <wp:positionV relativeFrom="page">
                <wp:align>top</wp:align>
              </wp:positionV>
              <wp:extent cx="443865" cy="443865"/>
              <wp:effectExtent l="0" t="0" r="16510" b="4445"/>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E8F1D1" w14:textId="77919ACA" w:rsidR="00B57070" w:rsidRPr="00B57070" w:rsidRDefault="00B57070" w:rsidP="00B57070">
                          <w:pPr>
                            <w:spacing w:after="0"/>
                            <w:rPr>
                              <w:rFonts w:ascii="Calibri" w:eastAsia="Calibri" w:hAnsi="Calibri" w:cs="Calibri"/>
                              <w:noProof/>
                              <w:color w:val="000000"/>
                              <w:sz w:val="20"/>
                              <w:szCs w:val="20"/>
                            </w:rPr>
                          </w:pPr>
                          <w:r w:rsidRPr="00B57070">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96CA8D" id="_x0000_t202" coordsize="21600,21600" o:spt="202" path="m,l,21600r21600,l21600,xe">
              <v:stroke joinstyle="miter"/>
              <v:path gradientshapeok="t" o:connecttype="rect"/>
            </v:shapetype>
            <v:shape id="Text Box 1" o:spid="_x0000_s1029"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" filled="f" stroked="f">
              <v:textbox style="mso-fit-shape-to-text:t" inset="0,15pt,0,0">
                <w:txbxContent>
                  <w:p w14:paraId="04E8F1D1" w14:textId="77919ACA" w:rsidR="00B57070" w:rsidRPr="00B57070" w:rsidRDefault="00B57070" w:rsidP="00B57070">
                    <w:pPr>
                      <w:spacing w:after="0"/>
                      <w:rPr>
                        <w:rFonts w:ascii="Calibri" w:eastAsia="Calibri" w:hAnsi="Calibri" w:cs="Calibri"/>
                        <w:noProof/>
                        <w:color w:val="000000"/>
                        <w:sz w:val="20"/>
                        <w:szCs w:val="20"/>
                      </w:rPr>
                    </w:pPr>
                    <w:r w:rsidRPr="00B57070">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E4812"/>
    <w:multiLevelType w:val="hybridMultilevel"/>
    <w:tmpl w:val="6E60F2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697FB5"/>
    <w:multiLevelType w:val="hybridMultilevel"/>
    <w:tmpl w:val="21B21DB0"/>
    <w:lvl w:ilvl="0" w:tplc="0C09000F">
      <w:start w:val="1"/>
      <w:numFmt w:val="decimal"/>
      <w:lvlText w:val="%1."/>
      <w:lvlJc w:val="left"/>
      <w:pPr>
        <w:ind w:left="191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B838C0"/>
    <w:multiLevelType w:val="hybridMultilevel"/>
    <w:tmpl w:val="D3A28B9E"/>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3" w15:restartNumberingAfterBreak="0">
    <w:nsid w:val="34A84372"/>
    <w:multiLevelType w:val="hybridMultilevel"/>
    <w:tmpl w:val="7FDC8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6C2499C"/>
    <w:multiLevelType w:val="hybridMultilevel"/>
    <w:tmpl w:val="5406B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43440334">
    <w:abstractNumId w:val="2"/>
  </w:num>
  <w:num w:numId="2" w16cid:durableId="741832431">
    <w:abstractNumId w:val="3"/>
  </w:num>
  <w:num w:numId="3" w16cid:durableId="1999385362">
    <w:abstractNumId w:val="4"/>
  </w:num>
  <w:num w:numId="4" w16cid:durableId="693926230">
    <w:abstractNumId w:val="1"/>
  </w:num>
  <w:num w:numId="5" w16cid:durableId="207844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346"/>
    <w:rsid w:val="000014CD"/>
    <w:rsid w:val="000037D6"/>
    <w:rsid w:val="000043BB"/>
    <w:rsid w:val="00004D74"/>
    <w:rsid w:val="00010071"/>
    <w:rsid w:val="00014755"/>
    <w:rsid w:val="00022D3F"/>
    <w:rsid w:val="000352A4"/>
    <w:rsid w:val="00036A71"/>
    <w:rsid w:val="00037B1B"/>
    <w:rsid w:val="00041FC5"/>
    <w:rsid w:val="000425DF"/>
    <w:rsid w:val="00061448"/>
    <w:rsid w:val="0006446E"/>
    <w:rsid w:val="00070830"/>
    <w:rsid w:val="000717F0"/>
    <w:rsid w:val="00075751"/>
    <w:rsid w:val="00075FD1"/>
    <w:rsid w:val="000768CE"/>
    <w:rsid w:val="00077BC2"/>
    <w:rsid w:val="0008313C"/>
    <w:rsid w:val="00086C60"/>
    <w:rsid w:val="00095474"/>
    <w:rsid w:val="000A0DBF"/>
    <w:rsid w:val="000A1DBB"/>
    <w:rsid w:val="000B73D1"/>
    <w:rsid w:val="000C2923"/>
    <w:rsid w:val="000D1C87"/>
    <w:rsid w:val="000D3E89"/>
    <w:rsid w:val="000D744D"/>
    <w:rsid w:val="000E0D44"/>
    <w:rsid w:val="000E37B9"/>
    <w:rsid w:val="000E6267"/>
    <w:rsid w:val="000F0161"/>
    <w:rsid w:val="000F36F8"/>
    <w:rsid w:val="000F3C85"/>
    <w:rsid w:val="000F418A"/>
    <w:rsid w:val="000F495D"/>
    <w:rsid w:val="000F676F"/>
    <w:rsid w:val="000F77C2"/>
    <w:rsid w:val="00103C81"/>
    <w:rsid w:val="00110A4F"/>
    <w:rsid w:val="00111712"/>
    <w:rsid w:val="00111F58"/>
    <w:rsid w:val="001168BF"/>
    <w:rsid w:val="00122867"/>
    <w:rsid w:val="00123916"/>
    <w:rsid w:val="0012573E"/>
    <w:rsid w:val="00140454"/>
    <w:rsid w:val="0014248D"/>
    <w:rsid w:val="001473EA"/>
    <w:rsid w:val="00150F04"/>
    <w:rsid w:val="0015226D"/>
    <w:rsid w:val="00153A87"/>
    <w:rsid w:val="00157F57"/>
    <w:rsid w:val="00163C5E"/>
    <w:rsid w:val="00170974"/>
    <w:rsid w:val="0017163F"/>
    <w:rsid w:val="00171C3A"/>
    <w:rsid w:val="00181170"/>
    <w:rsid w:val="00193738"/>
    <w:rsid w:val="001A1973"/>
    <w:rsid w:val="001A6727"/>
    <w:rsid w:val="001A7BD4"/>
    <w:rsid w:val="001B2433"/>
    <w:rsid w:val="001C1198"/>
    <w:rsid w:val="001C14BF"/>
    <w:rsid w:val="001C2C49"/>
    <w:rsid w:val="001C5478"/>
    <w:rsid w:val="001C6672"/>
    <w:rsid w:val="001D1C5B"/>
    <w:rsid w:val="001E3ADC"/>
    <w:rsid w:val="001E5055"/>
    <w:rsid w:val="001E5B51"/>
    <w:rsid w:val="001E5FF2"/>
    <w:rsid w:val="001F275F"/>
    <w:rsid w:val="00202E35"/>
    <w:rsid w:val="002079FF"/>
    <w:rsid w:val="0021275C"/>
    <w:rsid w:val="00213A60"/>
    <w:rsid w:val="00224770"/>
    <w:rsid w:val="0022701E"/>
    <w:rsid w:val="002377AD"/>
    <w:rsid w:val="00256806"/>
    <w:rsid w:val="002616C8"/>
    <w:rsid w:val="00261E49"/>
    <w:rsid w:val="002713E4"/>
    <w:rsid w:val="0028766E"/>
    <w:rsid w:val="00294379"/>
    <w:rsid w:val="002B3BDE"/>
    <w:rsid w:val="002C47B5"/>
    <w:rsid w:val="002D1744"/>
    <w:rsid w:val="002D460D"/>
    <w:rsid w:val="002F02E4"/>
    <w:rsid w:val="002F13F9"/>
    <w:rsid w:val="0030403B"/>
    <w:rsid w:val="00304B9C"/>
    <w:rsid w:val="003107A0"/>
    <w:rsid w:val="00311F0C"/>
    <w:rsid w:val="00314905"/>
    <w:rsid w:val="0033310A"/>
    <w:rsid w:val="003348FC"/>
    <w:rsid w:val="003353E2"/>
    <w:rsid w:val="003374E5"/>
    <w:rsid w:val="00342B07"/>
    <w:rsid w:val="003546A0"/>
    <w:rsid w:val="0035656B"/>
    <w:rsid w:val="00365219"/>
    <w:rsid w:val="0036749B"/>
    <w:rsid w:val="003751B9"/>
    <w:rsid w:val="00385B18"/>
    <w:rsid w:val="00391128"/>
    <w:rsid w:val="003912F8"/>
    <w:rsid w:val="00392ABB"/>
    <w:rsid w:val="003A7A0A"/>
    <w:rsid w:val="003A7F61"/>
    <w:rsid w:val="003B6069"/>
    <w:rsid w:val="003D4492"/>
    <w:rsid w:val="003D51CA"/>
    <w:rsid w:val="003E04DD"/>
    <w:rsid w:val="003E328D"/>
    <w:rsid w:val="003F0DB4"/>
    <w:rsid w:val="00400B6E"/>
    <w:rsid w:val="00410B1E"/>
    <w:rsid w:val="0041692E"/>
    <w:rsid w:val="00421D1C"/>
    <w:rsid w:val="0042501C"/>
    <w:rsid w:val="00434EC6"/>
    <w:rsid w:val="00443E73"/>
    <w:rsid w:val="00453195"/>
    <w:rsid w:val="00471DF1"/>
    <w:rsid w:val="00476697"/>
    <w:rsid w:val="004905A7"/>
    <w:rsid w:val="004B364D"/>
    <w:rsid w:val="004B7645"/>
    <w:rsid w:val="004C3B04"/>
    <w:rsid w:val="004D0520"/>
    <w:rsid w:val="004D3FB7"/>
    <w:rsid w:val="004D47ED"/>
    <w:rsid w:val="00500AAA"/>
    <w:rsid w:val="0050388C"/>
    <w:rsid w:val="0050718A"/>
    <w:rsid w:val="005072C3"/>
    <w:rsid w:val="005206E7"/>
    <w:rsid w:val="00550BD2"/>
    <w:rsid w:val="0055183E"/>
    <w:rsid w:val="00572F90"/>
    <w:rsid w:val="005769B5"/>
    <w:rsid w:val="00594636"/>
    <w:rsid w:val="00597E56"/>
    <w:rsid w:val="005A4460"/>
    <w:rsid w:val="005B00DE"/>
    <w:rsid w:val="005C67EB"/>
    <w:rsid w:val="005E0E17"/>
    <w:rsid w:val="005E4A38"/>
    <w:rsid w:val="005E7B28"/>
    <w:rsid w:val="005F2D4C"/>
    <w:rsid w:val="006056E3"/>
    <w:rsid w:val="00617BB4"/>
    <w:rsid w:val="00620884"/>
    <w:rsid w:val="006237BE"/>
    <w:rsid w:val="0063384C"/>
    <w:rsid w:val="00634578"/>
    <w:rsid w:val="00641030"/>
    <w:rsid w:val="00642941"/>
    <w:rsid w:val="00643C61"/>
    <w:rsid w:val="00644159"/>
    <w:rsid w:val="006476CB"/>
    <w:rsid w:val="0064785F"/>
    <w:rsid w:val="0066348E"/>
    <w:rsid w:val="0068202D"/>
    <w:rsid w:val="00690081"/>
    <w:rsid w:val="006B782E"/>
    <w:rsid w:val="006D2C3E"/>
    <w:rsid w:val="006F06CF"/>
    <w:rsid w:val="006F0BA3"/>
    <w:rsid w:val="006F157D"/>
    <w:rsid w:val="007008B3"/>
    <w:rsid w:val="007061AF"/>
    <w:rsid w:val="00706B6D"/>
    <w:rsid w:val="00707251"/>
    <w:rsid w:val="00712F85"/>
    <w:rsid w:val="00714C65"/>
    <w:rsid w:val="00723A5E"/>
    <w:rsid w:val="00725DA4"/>
    <w:rsid w:val="007422D2"/>
    <w:rsid w:val="007422E8"/>
    <w:rsid w:val="007438AF"/>
    <w:rsid w:val="00757423"/>
    <w:rsid w:val="0075761D"/>
    <w:rsid w:val="00763BE4"/>
    <w:rsid w:val="0076621B"/>
    <w:rsid w:val="00777D71"/>
    <w:rsid w:val="00793AAA"/>
    <w:rsid w:val="007A3275"/>
    <w:rsid w:val="007C055B"/>
    <w:rsid w:val="007D31C5"/>
    <w:rsid w:val="007E04E9"/>
    <w:rsid w:val="007F195E"/>
    <w:rsid w:val="007F3541"/>
    <w:rsid w:val="00804FBF"/>
    <w:rsid w:val="008171CE"/>
    <w:rsid w:val="00826023"/>
    <w:rsid w:val="00845B3A"/>
    <w:rsid w:val="00852E74"/>
    <w:rsid w:val="008625E8"/>
    <w:rsid w:val="00873961"/>
    <w:rsid w:val="00873AC5"/>
    <w:rsid w:val="00877278"/>
    <w:rsid w:val="008847BD"/>
    <w:rsid w:val="008873F5"/>
    <w:rsid w:val="00894A08"/>
    <w:rsid w:val="008A15EA"/>
    <w:rsid w:val="008B0345"/>
    <w:rsid w:val="008C2455"/>
    <w:rsid w:val="008C40B9"/>
    <w:rsid w:val="008D1A7E"/>
    <w:rsid w:val="008D45F1"/>
    <w:rsid w:val="008E6255"/>
    <w:rsid w:val="008F0C4B"/>
    <w:rsid w:val="008F0E6A"/>
    <w:rsid w:val="008F4C9C"/>
    <w:rsid w:val="009017CD"/>
    <w:rsid w:val="00903582"/>
    <w:rsid w:val="00903B14"/>
    <w:rsid w:val="00914346"/>
    <w:rsid w:val="00924175"/>
    <w:rsid w:val="00924D58"/>
    <w:rsid w:val="00937C9A"/>
    <w:rsid w:val="00951655"/>
    <w:rsid w:val="00986B46"/>
    <w:rsid w:val="0098725D"/>
    <w:rsid w:val="009929EC"/>
    <w:rsid w:val="00996064"/>
    <w:rsid w:val="009A02A8"/>
    <w:rsid w:val="009B1328"/>
    <w:rsid w:val="009B5ACB"/>
    <w:rsid w:val="009B78C9"/>
    <w:rsid w:val="009C7865"/>
    <w:rsid w:val="009D1874"/>
    <w:rsid w:val="009D6B67"/>
    <w:rsid w:val="009D75B4"/>
    <w:rsid w:val="009E50B7"/>
    <w:rsid w:val="009E56AE"/>
    <w:rsid w:val="009E7E0D"/>
    <w:rsid w:val="009F0660"/>
    <w:rsid w:val="009F11CE"/>
    <w:rsid w:val="00A26975"/>
    <w:rsid w:val="00A33312"/>
    <w:rsid w:val="00A4790C"/>
    <w:rsid w:val="00A60597"/>
    <w:rsid w:val="00A639D3"/>
    <w:rsid w:val="00A66A3B"/>
    <w:rsid w:val="00A836F3"/>
    <w:rsid w:val="00AA26E4"/>
    <w:rsid w:val="00AB4674"/>
    <w:rsid w:val="00AC7252"/>
    <w:rsid w:val="00AD226C"/>
    <w:rsid w:val="00AE3EFF"/>
    <w:rsid w:val="00AF0D50"/>
    <w:rsid w:val="00AF18BB"/>
    <w:rsid w:val="00AF4B68"/>
    <w:rsid w:val="00B21505"/>
    <w:rsid w:val="00B401C3"/>
    <w:rsid w:val="00B50C56"/>
    <w:rsid w:val="00B57070"/>
    <w:rsid w:val="00B647B8"/>
    <w:rsid w:val="00B77CB5"/>
    <w:rsid w:val="00B955A7"/>
    <w:rsid w:val="00B95999"/>
    <w:rsid w:val="00BA430E"/>
    <w:rsid w:val="00BE0209"/>
    <w:rsid w:val="00BF04B8"/>
    <w:rsid w:val="00BF1494"/>
    <w:rsid w:val="00BF7BB9"/>
    <w:rsid w:val="00C0723C"/>
    <w:rsid w:val="00C206DA"/>
    <w:rsid w:val="00C25459"/>
    <w:rsid w:val="00C3193A"/>
    <w:rsid w:val="00C4370B"/>
    <w:rsid w:val="00C43A64"/>
    <w:rsid w:val="00C55108"/>
    <w:rsid w:val="00C603CE"/>
    <w:rsid w:val="00C6269A"/>
    <w:rsid w:val="00C679F4"/>
    <w:rsid w:val="00C70441"/>
    <w:rsid w:val="00C71E00"/>
    <w:rsid w:val="00C804C3"/>
    <w:rsid w:val="00C83948"/>
    <w:rsid w:val="00C936CD"/>
    <w:rsid w:val="00C95434"/>
    <w:rsid w:val="00CA2001"/>
    <w:rsid w:val="00CB6E87"/>
    <w:rsid w:val="00CC263F"/>
    <w:rsid w:val="00CC5635"/>
    <w:rsid w:val="00CD0720"/>
    <w:rsid w:val="00CD238F"/>
    <w:rsid w:val="00CE12DE"/>
    <w:rsid w:val="00CE7085"/>
    <w:rsid w:val="00CF7DA3"/>
    <w:rsid w:val="00D10E34"/>
    <w:rsid w:val="00D1714C"/>
    <w:rsid w:val="00D32732"/>
    <w:rsid w:val="00D40D76"/>
    <w:rsid w:val="00D431EC"/>
    <w:rsid w:val="00D452BD"/>
    <w:rsid w:val="00D463D5"/>
    <w:rsid w:val="00D5195F"/>
    <w:rsid w:val="00D65F21"/>
    <w:rsid w:val="00D7141B"/>
    <w:rsid w:val="00D8337F"/>
    <w:rsid w:val="00D86935"/>
    <w:rsid w:val="00D91F4C"/>
    <w:rsid w:val="00D96A7A"/>
    <w:rsid w:val="00D97260"/>
    <w:rsid w:val="00DA2B9D"/>
    <w:rsid w:val="00DB2509"/>
    <w:rsid w:val="00DB256A"/>
    <w:rsid w:val="00DB53E5"/>
    <w:rsid w:val="00DD203F"/>
    <w:rsid w:val="00DD36E7"/>
    <w:rsid w:val="00DE000E"/>
    <w:rsid w:val="00E07352"/>
    <w:rsid w:val="00E13FE5"/>
    <w:rsid w:val="00E22FE8"/>
    <w:rsid w:val="00E36D65"/>
    <w:rsid w:val="00E50DC3"/>
    <w:rsid w:val="00E56AF0"/>
    <w:rsid w:val="00E66E21"/>
    <w:rsid w:val="00E71A2B"/>
    <w:rsid w:val="00E777CA"/>
    <w:rsid w:val="00E77F14"/>
    <w:rsid w:val="00E84A52"/>
    <w:rsid w:val="00E86EBC"/>
    <w:rsid w:val="00E91F16"/>
    <w:rsid w:val="00EA40C8"/>
    <w:rsid w:val="00EA4E02"/>
    <w:rsid w:val="00EB3FCC"/>
    <w:rsid w:val="00EB6CE9"/>
    <w:rsid w:val="00ED18C2"/>
    <w:rsid w:val="00ED6CAA"/>
    <w:rsid w:val="00EE246E"/>
    <w:rsid w:val="00EF3E7C"/>
    <w:rsid w:val="00F13FC0"/>
    <w:rsid w:val="00F1501F"/>
    <w:rsid w:val="00F2302C"/>
    <w:rsid w:val="00F25766"/>
    <w:rsid w:val="00F545BE"/>
    <w:rsid w:val="00F7561C"/>
    <w:rsid w:val="00F8219F"/>
    <w:rsid w:val="00F873BA"/>
    <w:rsid w:val="00FA6894"/>
    <w:rsid w:val="00FB3127"/>
    <w:rsid w:val="00FD18C7"/>
    <w:rsid w:val="00FE46F2"/>
    <w:rsid w:val="00FE621D"/>
    <w:rsid w:val="00FF35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7A3525"/>
  <w15:docId w15:val="{051D92A6-2E68-45E8-B7A6-E7DC37230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170"/>
  </w:style>
  <w:style w:type="paragraph" w:styleId="Heading1">
    <w:name w:val="heading 1"/>
    <w:basedOn w:val="Normal"/>
    <w:next w:val="Normal"/>
    <w:link w:val="Heading1Char"/>
    <w:uiPriority w:val="9"/>
    <w:qFormat/>
    <w:rsid w:val="00443E7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qFormat/>
    <w:rsid w:val="00572F90"/>
    <w:pPr>
      <w:keepNext/>
      <w:spacing w:before="240" w:after="60" w:line="240" w:lineRule="auto"/>
      <w:outlineLvl w:val="1"/>
    </w:pPr>
    <w:rPr>
      <w:rFonts w:ascii="Arial" w:eastAsia="Times New Roman" w:hAnsi="Arial" w:cs="Arial"/>
      <w:b/>
      <w:bCs/>
      <w:iCs/>
      <w:sz w:val="20"/>
      <w:szCs w:val="2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1E5055"/>
    <w:pPr>
      <w:spacing w:after="0" w:line="240" w:lineRule="auto"/>
    </w:pPr>
    <w:rPr>
      <w:sz w:val="20"/>
      <w:szCs w:val="20"/>
    </w:rPr>
  </w:style>
  <w:style w:type="character" w:customStyle="1" w:styleId="FootnoteTextChar">
    <w:name w:val="Footnote Text Char"/>
    <w:basedOn w:val="DefaultParagraphFont"/>
    <w:link w:val="FootnoteText"/>
    <w:semiHidden/>
    <w:rsid w:val="001E5055"/>
    <w:rPr>
      <w:sz w:val="20"/>
      <w:szCs w:val="20"/>
    </w:rPr>
  </w:style>
  <w:style w:type="character" w:styleId="FootnoteReference">
    <w:name w:val="footnote reference"/>
    <w:basedOn w:val="DefaultParagraphFont"/>
    <w:semiHidden/>
    <w:unhideWhenUsed/>
    <w:rsid w:val="001E5055"/>
    <w:rPr>
      <w:vertAlign w:val="superscript"/>
    </w:rPr>
  </w:style>
  <w:style w:type="paragraph" w:styleId="ListParagraph">
    <w:name w:val="List Paragraph"/>
    <w:basedOn w:val="Normal"/>
    <w:uiPriority w:val="34"/>
    <w:qFormat/>
    <w:rsid w:val="00D10E34"/>
    <w:pPr>
      <w:ind w:left="720"/>
      <w:contextualSpacing/>
    </w:pPr>
  </w:style>
  <w:style w:type="paragraph" w:styleId="Header">
    <w:name w:val="header"/>
    <w:basedOn w:val="Normal"/>
    <w:link w:val="HeaderChar"/>
    <w:uiPriority w:val="99"/>
    <w:unhideWhenUsed/>
    <w:rsid w:val="000831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313C"/>
  </w:style>
  <w:style w:type="paragraph" w:styleId="Footer">
    <w:name w:val="footer"/>
    <w:basedOn w:val="Normal"/>
    <w:link w:val="FooterChar"/>
    <w:uiPriority w:val="99"/>
    <w:unhideWhenUsed/>
    <w:rsid w:val="000831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313C"/>
  </w:style>
  <w:style w:type="character" w:styleId="Emphasis">
    <w:name w:val="Emphasis"/>
    <w:uiPriority w:val="20"/>
    <w:qFormat/>
    <w:rsid w:val="00AB4674"/>
    <w:rPr>
      <w:rFonts w:ascii="Arial Black" w:hAnsi="Arial Black"/>
      <w:sz w:val="18"/>
    </w:rPr>
  </w:style>
  <w:style w:type="paragraph" w:styleId="BodyText">
    <w:name w:val="Body Text"/>
    <w:basedOn w:val="Normal"/>
    <w:link w:val="BodyTextChar"/>
    <w:semiHidden/>
    <w:rsid w:val="00AB4674"/>
    <w:pPr>
      <w:spacing w:after="0" w:line="240" w:lineRule="auto"/>
      <w:jc w:val="both"/>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semiHidden/>
    <w:rsid w:val="00AB4674"/>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uiPriority w:val="9"/>
    <w:rsid w:val="00572F90"/>
    <w:rPr>
      <w:rFonts w:ascii="Arial" w:eastAsia="Times New Roman" w:hAnsi="Arial" w:cs="Arial"/>
      <w:b/>
      <w:bCs/>
      <w:iCs/>
      <w:sz w:val="20"/>
      <w:szCs w:val="28"/>
      <w:lang w:eastAsia="en-AU"/>
    </w:rPr>
  </w:style>
  <w:style w:type="character" w:styleId="Hyperlink">
    <w:name w:val="Hyperlink"/>
    <w:basedOn w:val="DefaultParagraphFont"/>
    <w:uiPriority w:val="99"/>
    <w:rsid w:val="00572F90"/>
    <w:rPr>
      <w:color w:val="0000FF"/>
      <w:u w:val="single"/>
    </w:rPr>
  </w:style>
  <w:style w:type="paragraph" w:styleId="NoSpacing">
    <w:name w:val="No Spacing"/>
    <w:link w:val="NoSpacingChar"/>
    <w:uiPriority w:val="1"/>
    <w:qFormat/>
    <w:rsid w:val="00572F90"/>
    <w:pPr>
      <w:spacing w:after="0" w:line="240" w:lineRule="auto"/>
    </w:pPr>
    <w:rPr>
      <w:rFonts w:ascii="Calibri" w:eastAsia="Times New Roman" w:hAnsi="Calibri" w:cs="Times New Roman"/>
      <w:lang w:eastAsia="en-AU"/>
    </w:rPr>
  </w:style>
  <w:style w:type="character" w:customStyle="1" w:styleId="NoSpacingChar">
    <w:name w:val="No Spacing Char"/>
    <w:basedOn w:val="DefaultParagraphFont"/>
    <w:link w:val="NoSpacing"/>
    <w:uiPriority w:val="1"/>
    <w:rsid w:val="00572F90"/>
    <w:rPr>
      <w:rFonts w:ascii="Calibri" w:eastAsia="Times New Roman" w:hAnsi="Calibri" w:cs="Times New Roman"/>
      <w:lang w:eastAsia="en-AU"/>
    </w:rPr>
  </w:style>
  <w:style w:type="character" w:customStyle="1" w:styleId="Heading1Char">
    <w:name w:val="Heading 1 Char"/>
    <w:basedOn w:val="DefaultParagraphFont"/>
    <w:link w:val="Heading1"/>
    <w:uiPriority w:val="9"/>
    <w:rsid w:val="00443E73"/>
    <w:rPr>
      <w:rFonts w:asciiTheme="majorHAnsi" w:eastAsiaTheme="majorEastAsia" w:hAnsiTheme="majorHAnsi" w:cstheme="majorBidi"/>
      <w:b/>
      <w:bCs/>
      <w:color w:val="2F5496" w:themeColor="accent1" w:themeShade="BF"/>
      <w:sz w:val="28"/>
      <w:szCs w:val="28"/>
    </w:rPr>
  </w:style>
  <w:style w:type="paragraph" w:styleId="BodyTextIndent2">
    <w:name w:val="Body Text Indent 2"/>
    <w:basedOn w:val="Normal"/>
    <w:link w:val="BodyTextIndent2Char"/>
    <w:uiPriority w:val="99"/>
    <w:unhideWhenUsed/>
    <w:rsid w:val="00443E73"/>
    <w:pPr>
      <w:spacing w:after="120" w:line="480" w:lineRule="auto"/>
      <w:ind w:left="283"/>
    </w:pPr>
  </w:style>
  <w:style w:type="character" w:customStyle="1" w:styleId="BodyTextIndent2Char">
    <w:name w:val="Body Text Indent 2 Char"/>
    <w:basedOn w:val="DefaultParagraphFont"/>
    <w:link w:val="BodyTextIndent2"/>
    <w:uiPriority w:val="99"/>
    <w:rsid w:val="00443E73"/>
  </w:style>
  <w:style w:type="paragraph" w:styleId="EndnoteText">
    <w:name w:val="endnote text"/>
    <w:basedOn w:val="Normal"/>
    <w:link w:val="EndnoteTextChar"/>
    <w:uiPriority w:val="99"/>
    <w:semiHidden/>
    <w:unhideWhenUsed/>
    <w:rsid w:val="002377A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377AD"/>
    <w:rPr>
      <w:sz w:val="20"/>
      <w:szCs w:val="20"/>
    </w:rPr>
  </w:style>
  <w:style w:type="character" w:styleId="EndnoteReference">
    <w:name w:val="endnote reference"/>
    <w:basedOn w:val="DefaultParagraphFont"/>
    <w:uiPriority w:val="99"/>
    <w:semiHidden/>
    <w:unhideWhenUsed/>
    <w:rsid w:val="002377AD"/>
    <w:rPr>
      <w:vertAlign w:val="superscript"/>
    </w:rPr>
  </w:style>
  <w:style w:type="character" w:styleId="UnresolvedMention">
    <w:name w:val="Unresolved Mention"/>
    <w:basedOn w:val="DefaultParagraphFont"/>
    <w:uiPriority w:val="99"/>
    <w:semiHidden/>
    <w:unhideWhenUsed/>
    <w:rsid w:val="000014CD"/>
    <w:rPr>
      <w:color w:val="605E5C"/>
      <w:shd w:val="clear" w:color="auto" w:fill="E1DFDD"/>
    </w:rPr>
  </w:style>
  <w:style w:type="table" w:styleId="TableGrid">
    <w:name w:val="Table Grid"/>
    <w:basedOn w:val="TableNormal"/>
    <w:uiPriority w:val="39"/>
    <w:rsid w:val="00AF4B68"/>
    <w:pPr>
      <w:spacing w:after="0" w:line="240" w:lineRule="auto"/>
    </w:pPr>
    <w:rPr>
      <w:kern w:val="2"/>
      <w:sz w:val="24"/>
      <w:szCs w:val="24"/>
      <w:lang w:val="en-Z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AF4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5549">
      <w:bodyDiv w:val="1"/>
      <w:marLeft w:val="0"/>
      <w:marRight w:val="0"/>
      <w:marTop w:val="0"/>
      <w:marBottom w:val="0"/>
      <w:divBdr>
        <w:top w:val="none" w:sz="0" w:space="0" w:color="auto"/>
        <w:left w:val="none" w:sz="0" w:space="0" w:color="auto"/>
        <w:bottom w:val="none" w:sz="0" w:space="0" w:color="auto"/>
        <w:right w:val="none" w:sz="0" w:space="0" w:color="auto"/>
      </w:divBdr>
    </w:div>
    <w:div w:id="212624629">
      <w:bodyDiv w:val="1"/>
      <w:marLeft w:val="0"/>
      <w:marRight w:val="0"/>
      <w:marTop w:val="0"/>
      <w:marBottom w:val="0"/>
      <w:divBdr>
        <w:top w:val="none" w:sz="0" w:space="0" w:color="auto"/>
        <w:left w:val="none" w:sz="0" w:space="0" w:color="auto"/>
        <w:bottom w:val="none" w:sz="0" w:space="0" w:color="auto"/>
        <w:right w:val="none" w:sz="0" w:space="0" w:color="auto"/>
      </w:divBdr>
    </w:div>
    <w:div w:id="305622420">
      <w:bodyDiv w:val="1"/>
      <w:marLeft w:val="0"/>
      <w:marRight w:val="0"/>
      <w:marTop w:val="0"/>
      <w:marBottom w:val="0"/>
      <w:divBdr>
        <w:top w:val="none" w:sz="0" w:space="0" w:color="auto"/>
        <w:left w:val="none" w:sz="0" w:space="0" w:color="auto"/>
        <w:bottom w:val="none" w:sz="0" w:space="0" w:color="auto"/>
        <w:right w:val="none" w:sz="0" w:space="0" w:color="auto"/>
      </w:divBdr>
    </w:div>
    <w:div w:id="375735810">
      <w:bodyDiv w:val="1"/>
      <w:marLeft w:val="0"/>
      <w:marRight w:val="0"/>
      <w:marTop w:val="0"/>
      <w:marBottom w:val="0"/>
      <w:divBdr>
        <w:top w:val="none" w:sz="0" w:space="0" w:color="auto"/>
        <w:left w:val="none" w:sz="0" w:space="0" w:color="auto"/>
        <w:bottom w:val="none" w:sz="0" w:space="0" w:color="auto"/>
        <w:right w:val="none" w:sz="0" w:space="0" w:color="auto"/>
      </w:divBdr>
    </w:div>
    <w:div w:id="469251993">
      <w:bodyDiv w:val="1"/>
      <w:marLeft w:val="0"/>
      <w:marRight w:val="0"/>
      <w:marTop w:val="0"/>
      <w:marBottom w:val="0"/>
      <w:divBdr>
        <w:top w:val="none" w:sz="0" w:space="0" w:color="auto"/>
        <w:left w:val="none" w:sz="0" w:space="0" w:color="auto"/>
        <w:bottom w:val="none" w:sz="0" w:space="0" w:color="auto"/>
        <w:right w:val="none" w:sz="0" w:space="0" w:color="auto"/>
      </w:divBdr>
    </w:div>
    <w:div w:id="502204831">
      <w:bodyDiv w:val="1"/>
      <w:marLeft w:val="0"/>
      <w:marRight w:val="0"/>
      <w:marTop w:val="0"/>
      <w:marBottom w:val="0"/>
      <w:divBdr>
        <w:top w:val="none" w:sz="0" w:space="0" w:color="auto"/>
        <w:left w:val="none" w:sz="0" w:space="0" w:color="auto"/>
        <w:bottom w:val="none" w:sz="0" w:space="0" w:color="auto"/>
        <w:right w:val="none" w:sz="0" w:space="0" w:color="auto"/>
      </w:divBdr>
    </w:div>
    <w:div w:id="575360024">
      <w:bodyDiv w:val="1"/>
      <w:marLeft w:val="0"/>
      <w:marRight w:val="0"/>
      <w:marTop w:val="0"/>
      <w:marBottom w:val="0"/>
      <w:divBdr>
        <w:top w:val="none" w:sz="0" w:space="0" w:color="auto"/>
        <w:left w:val="none" w:sz="0" w:space="0" w:color="auto"/>
        <w:bottom w:val="none" w:sz="0" w:space="0" w:color="auto"/>
        <w:right w:val="none" w:sz="0" w:space="0" w:color="auto"/>
      </w:divBdr>
    </w:div>
    <w:div w:id="587077907">
      <w:bodyDiv w:val="1"/>
      <w:marLeft w:val="0"/>
      <w:marRight w:val="0"/>
      <w:marTop w:val="0"/>
      <w:marBottom w:val="0"/>
      <w:divBdr>
        <w:top w:val="none" w:sz="0" w:space="0" w:color="auto"/>
        <w:left w:val="none" w:sz="0" w:space="0" w:color="auto"/>
        <w:bottom w:val="none" w:sz="0" w:space="0" w:color="auto"/>
        <w:right w:val="none" w:sz="0" w:space="0" w:color="auto"/>
      </w:divBdr>
    </w:div>
    <w:div w:id="612707341">
      <w:bodyDiv w:val="1"/>
      <w:marLeft w:val="0"/>
      <w:marRight w:val="0"/>
      <w:marTop w:val="0"/>
      <w:marBottom w:val="0"/>
      <w:divBdr>
        <w:top w:val="none" w:sz="0" w:space="0" w:color="auto"/>
        <w:left w:val="none" w:sz="0" w:space="0" w:color="auto"/>
        <w:bottom w:val="none" w:sz="0" w:space="0" w:color="auto"/>
        <w:right w:val="none" w:sz="0" w:space="0" w:color="auto"/>
      </w:divBdr>
    </w:div>
    <w:div w:id="677124366">
      <w:bodyDiv w:val="1"/>
      <w:marLeft w:val="0"/>
      <w:marRight w:val="0"/>
      <w:marTop w:val="0"/>
      <w:marBottom w:val="0"/>
      <w:divBdr>
        <w:top w:val="none" w:sz="0" w:space="0" w:color="auto"/>
        <w:left w:val="none" w:sz="0" w:space="0" w:color="auto"/>
        <w:bottom w:val="none" w:sz="0" w:space="0" w:color="auto"/>
        <w:right w:val="none" w:sz="0" w:space="0" w:color="auto"/>
      </w:divBdr>
    </w:div>
    <w:div w:id="815729199">
      <w:bodyDiv w:val="1"/>
      <w:marLeft w:val="0"/>
      <w:marRight w:val="0"/>
      <w:marTop w:val="0"/>
      <w:marBottom w:val="0"/>
      <w:divBdr>
        <w:top w:val="none" w:sz="0" w:space="0" w:color="auto"/>
        <w:left w:val="none" w:sz="0" w:space="0" w:color="auto"/>
        <w:bottom w:val="none" w:sz="0" w:space="0" w:color="auto"/>
        <w:right w:val="none" w:sz="0" w:space="0" w:color="auto"/>
      </w:divBdr>
    </w:div>
    <w:div w:id="862012532">
      <w:bodyDiv w:val="1"/>
      <w:marLeft w:val="0"/>
      <w:marRight w:val="0"/>
      <w:marTop w:val="0"/>
      <w:marBottom w:val="0"/>
      <w:divBdr>
        <w:top w:val="none" w:sz="0" w:space="0" w:color="auto"/>
        <w:left w:val="none" w:sz="0" w:space="0" w:color="auto"/>
        <w:bottom w:val="none" w:sz="0" w:space="0" w:color="auto"/>
        <w:right w:val="none" w:sz="0" w:space="0" w:color="auto"/>
      </w:divBdr>
    </w:div>
    <w:div w:id="1067612918">
      <w:bodyDiv w:val="1"/>
      <w:marLeft w:val="0"/>
      <w:marRight w:val="0"/>
      <w:marTop w:val="0"/>
      <w:marBottom w:val="0"/>
      <w:divBdr>
        <w:top w:val="none" w:sz="0" w:space="0" w:color="auto"/>
        <w:left w:val="none" w:sz="0" w:space="0" w:color="auto"/>
        <w:bottom w:val="none" w:sz="0" w:space="0" w:color="auto"/>
        <w:right w:val="none" w:sz="0" w:space="0" w:color="auto"/>
      </w:divBdr>
    </w:div>
    <w:div w:id="1130593025">
      <w:bodyDiv w:val="1"/>
      <w:marLeft w:val="0"/>
      <w:marRight w:val="0"/>
      <w:marTop w:val="0"/>
      <w:marBottom w:val="0"/>
      <w:divBdr>
        <w:top w:val="none" w:sz="0" w:space="0" w:color="auto"/>
        <w:left w:val="none" w:sz="0" w:space="0" w:color="auto"/>
        <w:bottom w:val="none" w:sz="0" w:space="0" w:color="auto"/>
        <w:right w:val="none" w:sz="0" w:space="0" w:color="auto"/>
      </w:divBdr>
    </w:div>
    <w:div w:id="1401246854">
      <w:bodyDiv w:val="1"/>
      <w:marLeft w:val="0"/>
      <w:marRight w:val="0"/>
      <w:marTop w:val="0"/>
      <w:marBottom w:val="0"/>
      <w:divBdr>
        <w:top w:val="none" w:sz="0" w:space="0" w:color="auto"/>
        <w:left w:val="none" w:sz="0" w:space="0" w:color="auto"/>
        <w:bottom w:val="none" w:sz="0" w:space="0" w:color="auto"/>
        <w:right w:val="none" w:sz="0" w:space="0" w:color="auto"/>
      </w:divBdr>
    </w:div>
    <w:div w:id="1428237180">
      <w:bodyDiv w:val="1"/>
      <w:marLeft w:val="0"/>
      <w:marRight w:val="0"/>
      <w:marTop w:val="0"/>
      <w:marBottom w:val="0"/>
      <w:divBdr>
        <w:top w:val="none" w:sz="0" w:space="0" w:color="auto"/>
        <w:left w:val="none" w:sz="0" w:space="0" w:color="auto"/>
        <w:bottom w:val="none" w:sz="0" w:space="0" w:color="auto"/>
        <w:right w:val="none" w:sz="0" w:space="0" w:color="auto"/>
      </w:divBdr>
    </w:div>
    <w:div w:id="1506941362">
      <w:bodyDiv w:val="1"/>
      <w:marLeft w:val="0"/>
      <w:marRight w:val="0"/>
      <w:marTop w:val="0"/>
      <w:marBottom w:val="0"/>
      <w:divBdr>
        <w:top w:val="none" w:sz="0" w:space="0" w:color="auto"/>
        <w:left w:val="none" w:sz="0" w:space="0" w:color="auto"/>
        <w:bottom w:val="none" w:sz="0" w:space="0" w:color="auto"/>
        <w:right w:val="none" w:sz="0" w:space="0" w:color="auto"/>
      </w:divBdr>
    </w:div>
    <w:div w:id="1710373185">
      <w:bodyDiv w:val="1"/>
      <w:marLeft w:val="0"/>
      <w:marRight w:val="0"/>
      <w:marTop w:val="0"/>
      <w:marBottom w:val="0"/>
      <w:divBdr>
        <w:top w:val="none" w:sz="0" w:space="0" w:color="auto"/>
        <w:left w:val="none" w:sz="0" w:space="0" w:color="auto"/>
        <w:bottom w:val="none" w:sz="0" w:space="0" w:color="auto"/>
        <w:right w:val="none" w:sz="0" w:space="0" w:color="auto"/>
      </w:divBdr>
    </w:div>
    <w:div w:id="1802916767">
      <w:bodyDiv w:val="1"/>
      <w:marLeft w:val="0"/>
      <w:marRight w:val="0"/>
      <w:marTop w:val="0"/>
      <w:marBottom w:val="0"/>
      <w:divBdr>
        <w:top w:val="none" w:sz="0" w:space="0" w:color="auto"/>
        <w:left w:val="none" w:sz="0" w:space="0" w:color="auto"/>
        <w:bottom w:val="none" w:sz="0" w:space="0" w:color="auto"/>
        <w:right w:val="none" w:sz="0" w:space="0" w:color="auto"/>
      </w:divBdr>
    </w:div>
    <w:div w:id="1907103062">
      <w:bodyDiv w:val="1"/>
      <w:marLeft w:val="0"/>
      <w:marRight w:val="0"/>
      <w:marTop w:val="0"/>
      <w:marBottom w:val="0"/>
      <w:divBdr>
        <w:top w:val="none" w:sz="0" w:space="0" w:color="auto"/>
        <w:left w:val="none" w:sz="0" w:space="0" w:color="auto"/>
        <w:bottom w:val="none" w:sz="0" w:space="0" w:color="auto"/>
        <w:right w:val="none" w:sz="0" w:space="0" w:color="auto"/>
      </w:divBdr>
    </w:div>
    <w:div w:id="2031755735">
      <w:bodyDiv w:val="1"/>
      <w:marLeft w:val="0"/>
      <w:marRight w:val="0"/>
      <w:marTop w:val="0"/>
      <w:marBottom w:val="0"/>
      <w:divBdr>
        <w:top w:val="none" w:sz="0" w:space="0" w:color="auto"/>
        <w:left w:val="none" w:sz="0" w:space="0" w:color="auto"/>
        <w:bottom w:val="none" w:sz="0" w:space="0" w:color="auto"/>
        <w:right w:val="none" w:sz="0" w:space="0" w:color="auto"/>
      </w:divBdr>
    </w:div>
    <w:div w:id="206402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D36B6-D0D9-4D2B-BD5D-DBE1A7F9CB36}">
  <ds:schemaRefs>
    <ds:schemaRef ds:uri="http://schemas.openxmlformats.org/officeDocument/2006/bibliography"/>
  </ds:schemaRefs>
</ds:datastoreItem>
</file>

<file path=docMetadata/LabelInfo.xml><?xml version="1.0" encoding="utf-8"?>
<clbl:labelList xmlns:clbl="http://schemas.microsoft.com/office/2020/mipLabelMetadata">
  <clbl:label id="{70663b86-f2b7-4b32-b286-17269b5dc83f}" enabled="1" method="Standard" siteId="{19537222-55d7-4581-84fb-c2da6e835c74}" removed="0"/>
  <clbl:label id="{ddaa77bc-0157-46a4-82a6-8fc765694bc9}" enabled="1" method="Standard" siteId="{d1323671-cdbe-4417-b4d4-bdb24b51316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18</Pages>
  <Words>5807</Words>
  <Characters>33103</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Skerl</dc:creator>
  <cp:lastModifiedBy>Neville Hurst</cp:lastModifiedBy>
  <cp:revision>3</cp:revision>
  <cp:lastPrinted>2022-08-26T01:25:00Z</cp:lastPrinted>
  <dcterms:created xsi:type="dcterms:W3CDTF">2025-11-12T03:13:00Z</dcterms:created>
  <dcterms:modified xsi:type="dcterms:W3CDTF">2025-11-12T03:19:00Z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ClassificationContentMarkingFooterShapeIds">
    <vt:lpwstr>4,5,6</vt:lpwstr>
  </property>
  <property fmtid="{D5CDD505-2E9C-101B-9397-08002B2CF9AE}" pid="6" name="ClassificationContentMarkingFooterFontProps">
    <vt:lpwstr>#000000,10,Calibri</vt:lpwstr>
  </property>
  <property fmtid="{D5CDD505-2E9C-101B-9397-08002B2CF9AE}" pid="7" name="ClassificationContentMarkingFooterText">
    <vt:lpwstr>OFFICIAL</vt:lpwstr>
  </property>
  <property fmtid="{D5CDD505-2E9C-101B-9397-08002B2CF9AE}" pid="8" name="GrammarlyDocumentId">
    <vt:lpwstr>3c7625eea6929d22fafa3ccc7340abf867825f82fa3497800f25fcdce0ad27d3</vt:lpwstr>
  </property>
</Properties>
</file>