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0A0D" w14:textId="42E26C8F" w:rsidR="0037788F" w:rsidRPr="0099485C" w:rsidRDefault="006D70B3" w:rsidP="0099485C">
      <w:pPr>
        <w:spacing w:after="0" w:line="240" w:lineRule="auto"/>
        <w:jc w:val="center"/>
        <w:rPr>
          <w:rFonts w:ascii="Palatino Linotype" w:hAnsi="Palatino Linotype" w:cs="Arial"/>
          <w:b/>
          <w:bCs/>
          <w:sz w:val="36"/>
          <w:szCs w:val="36"/>
          <w:lang w:val="en-GB"/>
        </w:rPr>
      </w:pPr>
      <w:bookmarkStart w:id="0" w:name="_Hlk204962156"/>
      <w:r w:rsidRPr="0099485C">
        <w:rPr>
          <w:rFonts w:ascii="Palatino Linotype" w:hAnsi="Palatino Linotype" w:cs="Arial"/>
          <w:b/>
          <w:bCs/>
          <w:sz w:val="36"/>
          <w:szCs w:val="36"/>
          <w:lang w:val="en-GB"/>
        </w:rPr>
        <w:t xml:space="preserve">Examining the Readiness of Eswatini's Property Valuation Profession </w:t>
      </w:r>
      <w:r w:rsidR="00F85F04" w:rsidRPr="0099485C">
        <w:rPr>
          <w:rFonts w:ascii="Palatino Linotype" w:hAnsi="Palatino Linotype" w:cs="Arial"/>
          <w:b/>
          <w:bCs/>
          <w:sz w:val="36"/>
          <w:szCs w:val="36"/>
          <w:lang w:val="en-GB"/>
        </w:rPr>
        <w:t>to open data access and sharing</w:t>
      </w:r>
    </w:p>
    <w:p w14:paraId="4A2AB35C" w14:textId="77777777" w:rsidR="0099485C" w:rsidRDefault="0099485C" w:rsidP="0099485C">
      <w:pPr>
        <w:spacing w:after="0" w:line="240" w:lineRule="auto"/>
        <w:jc w:val="both"/>
        <w:rPr>
          <w:rFonts w:ascii="Palatino Linotype" w:hAnsi="Palatino Linotype" w:cs="Arial"/>
          <w:lang w:val="en-GB"/>
        </w:rPr>
      </w:pPr>
    </w:p>
    <w:p w14:paraId="376CD4F6" w14:textId="77777777" w:rsidR="0099485C" w:rsidRDefault="0099485C" w:rsidP="0099485C">
      <w:pPr>
        <w:spacing w:after="0" w:line="240" w:lineRule="auto"/>
        <w:jc w:val="both"/>
        <w:rPr>
          <w:rFonts w:ascii="Palatino Linotype" w:hAnsi="Palatino Linotype" w:cs="Arial"/>
          <w:lang w:val="en-GB"/>
        </w:rPr>
      </w:pPr>
    </w:p>
    <w:p w14:paraId="5DE25384" w14:textId="1FCD041F" w:rsidR="006908C4" w:rsidRPr="005D2E21" w:rsidRDefault="006908C4" w:rsidP="006908C4">
      <w:pPr>
        <w:spacing w:line="360" w:lineRule="auto"/>
        <w:jc w:val="center"/>
        <w:rPr>
          <w:rFonts w:ascii="Arial" w:hAnsi="Arial" w:cs="Arial"/>
          <w:vertAlign w:val="superscript"/>
        </w:rPr>
      </w:pPr>
      <w:r w:rsidRPr="00101660">
        <w:rPr>
          <w:rFonts w:ascii="Arial" w:hAnsi="Arial" w:cs="Arial"/>
        </w:rPr>
        <w:t>Bongani Zwane</w:t>
      </w:r>
      <w:r w:rsidR="005D2E21">
        <w:rPr>
          <w:rFonts w:ascii="Arial" w:hAnsi="Arial" w:cs="Arial"/>
          <w:vertAlign w:val="superscript"/>
        </w:rPr>
        <w:t>1</w:t>
      </w:r>
      <w:r>
        <w:rPr>
          <w:rFonts w:ascii="Arial" w:hAnsi="Arial" w:cs="Arial"/>
        </w:rPr>
        <w:t xml:space="preserve"> and </w:t>
      </w:r>
      <w:proofErr w:type="spellStart"/>
      <w:r>
        <w:rPr>
          <w:rFonts w:ascii="Arial" w:hAnsi="Arial" w:cs="Arial"/>
        </w:rPr>
        <w:t>Partson</w:t>
      </w:r>
      <w:proofErr w:type="spellEnd"/>
      <w:r>
        <w:rPr>
          <w:rFonts w:ascii="Arial" w:hAnsi="Arial" w:cs="Arial"/>
        </w:rPr>
        <w:t xml:space="preserve"> Paradza</w:t>
      </w:r>
      <w:r w:rsidR="005D2E21">
        <w:rPr>
          <w:rFonts w:ascii="Arial" w:hAnsi="Arial" w:cs="Arial"/>
          <w:vertAlign w:val="superscript"/>
        </w:rPr>
        <w:t>2</w:t>
      </w:r>
    </w:p>
    <w:p w14:paraId="4EAAD455" w14:textId="77777777" w:rsidR="006908C4" w:rsidRPr="005D2E21" w:rsidRDefault="006908C4" w:rsidP="005D2E21">
      <w:pPr>
        <w:spacing w:after="0" w:line="240" w:lineRule="auto"/>
        <w:jc w:val="center"/>
        <w:rPr>
          <w:rFonts w:ascii="Palatino Linotype" w:hAnsi="Palatino Linotype" w:cs="Arial"/>
          <w:i/>
          <w:iCs/>
          <w:sz w:val="22"/>
          <w:szCs w:val="22"/>
        </w:rPr>
      </w:pPr>
      <w:r w:rsidRPr="005D2E21">
        <w:rPr>
          <w:rFonts w:ascii="Palatino Linotype" w:hAnsi="Palatino Linotype" w:cs="Arial"/>
          <w:i/>
          <w:iCs/>
          <w:sz w:val="22"/>
          <w:szCs w:val="22"/>
        </w:rPr>
        <w:t>¹Department of Construction Economics, University of Pretoria, South Africa</w:t>
      </w:r>
    </w:p>
    <w:p w14:paraId="0AA09181" w14:textId="77777777" w:rsidR="006908C4" w:rsidRPr="005D2E21" w:rsidRDefault="006908C4" w:rsidP="005D2E21">
      <w:pPr>
        <w:spacing w:after="0" w:line="240" w:lineRule="auto"/>
        <w:jc w:val="center"/>
        <w:rPr>
          <w:rFonts w:ascii="Palatino Linotype" w:hAnsi="Palatino Linotype" w:cs="Arial"/>
          <w:i/>
          <w:iCs/>
          <w:sz w:val="22"/>
          <w:szCs w:val="22"/>
        </w:rPr>
      </w:pPr>
      <w:r w:rsidRPr="005D2E21">
        <w:rPr>
          <w:rFonts w:ascii="Palatino Linotype" w:hAnsi="Palatino Linotype" w:cs="Arial"/>
          <w:i/>
          <w:iCs/>
          <w:sz w:val="22"/>
          <w:szCs w:val="22"/>
        </w:rPr>
        <w:t>²School of Construction Economics and Management, University of the Witwatersrand, Johannesburg, South Africa</w:t>
      </w:r>
    </w:p>
    <w:p w14:paraId="687B5114" w14:textId="77777777" w:rsidR="006908C4" w:rsidRDefault="006908C4" w:rsidP="0099485C">
      <w:pPr>
        <w:spacing w:after="0" w:line="240" w:lineRule="auto"/>
        <w:jc w:val="both"/>
        <w:rPr>
          <w:rFonts w:ascii="Palatino Linotype" w:hAnsi="Palatino Linotype" w:cs="Arial"/>
          <w:lang w:val="en-GB"/>
        </w:rPr>
      </w:pPr>
    </w:p>
    <w:p w14:paraId="6336D51A" w14:textId="77777777" w:rsidR="0099485C" w:rsidRDefault="0099485C" w:rsidP="0099485C">
      <w:pPr>
        <w:spacing w:after="0" w:line="240" w:lineRule="auto"/>
        <w:jc w:val="both"/>
        <w:rPr>
          <w:rFonts w:ascii="Palatino Linotype" w:hAnsi="Palatino Linotype" w:cs="Arial"/>
          <w:lang w:val="en-GB"/>
        </w:rPr>
      </w:pPr>
    </w:p>
    <w:p w14:paraId="7D37A8E6" w14:textId="6532A6D3" w:rsidR="00527DF5" w:rsidRDefault="00527DF5" w:rsidP="0099485C">
      <w:pPr>
        <w:spacing w:after="0" w:line="240" w:lineRule="auto"/>
        <w:jc w:val="both"/>
        <w:rPr>
          <w:rFonts w:ascii="Palatino Linotype" w:hAnsi="Palatino Linotype" w:cs="Arial"/>
          <w:b/>
          <w:bCs/>
          <w:lang w:val="en-GB"/>
        </w:rPr>
      </w:pPr>
      <w:r w:rsidRPr="005D2E21">
        <w:rPr>
          <w:rFonts w:ascii="Palatino Linotype" w:hAnsi="Palatino Linotype" w:cs="Arial"/>
          <w:b/>
          <w:bCs/>
          <w:lang w:val="en-GB"/>
        </w:rPr>
        <w:t>Abstract</w:t>
      </w:r>
      <w:r w:rsidR="00F80157" w:rsidRPr="005D2E21">
        <w:rPr>
          <w:rFonts w:ascii="Palatino Linotype" w:hAnsi="Palatino Linotype" w:cs="Arial"/>
          <w:b/>
          <w:bCs/>
          <w:lang w:val="en-GB"/>
        </w:rPr>
        <w:t>:</w:t>
      </w:r>
    </w:p>
    <w:p w14:paraId="2E39B2CD" w14:textId="77777777" w:rsidR="005D2E21" w:rsidRPr="005D2E21" w:rsidRDefault="005D2E21" w:rsidP="0099485C">
      <w:pPr>
        <w:spacing w:after="0" w:line="240" w:lineRule="auto"/>
        <w:jc w:val="both"/>
        <w:rPr>
          <w:rFonts w:ascii="Palatino Linotype" w:hAnsi="Palatino Linotype" w:cs="Arial"/>
          <w:b/>
          <w:bCs/>
          <w:lang w:val="en-GB"/>
        </w:rPr>
      </w:pPr>
    </w:p>
    <w:p w14:paraId="5A1E9A8B" w14:textId="22BAC6FF" w:rsidR="00F80157" w:rsidRDefault="005C116B" w:rsidP="0099485C">
      <w:pPr>
        <w:spacing w:after="0" w:line="240" w:lineRule="auto"/>
        <w:jc w:val="both"/>
        <w:rPr>
          <w:rFonts w:ascii="Palatino Linotype" w:hAnsi="Palatino Linotype" w:cs="Arial"/>
          <w:sz w:val="22"/>
          <w:szCs w:val="22"/>
          <w:lang w:val="en-GB"/>
        </w:rPr>
      </w:pPr>
      <w:r w:rsidRPr="005D2E21">
        <w:rPr>
          <w:rFonts w:ascii="Palatino Linotype" w:hAnsi="Palatino Linotype" w:cs="Arial"/>
          <w:sz w:val="22"/>
          <w:szCs w:val="22"/>
          <w:lang w:val="en-GB"/>
        </w:rPr>
        <w:t xml:space="preserve">Purpose: this study investigates the </w:t>
      </w:r>
      <w:r w:rsidR="00BC1173" w:rsidRPr="005D2E21">
        <w:rPr>
          <w:rFonts w:ascii="Palatino Linotype" w:hAnsi="Palatino Linotype" w:cs="Arial"/>
          <w:sz w:val="22"/>
          <w:szCs w:val="22"/>
          <w:lang w:val="en-GB"/>
        </w:rPr>
        <w:t xml:space="preserve">readiness </w:t>
      </w:r>
      <w:r w:rsidRPr="005D2E21">
        <w:rPr>
          <w:rFonts w:ascii="Palatino Linotype" w:hAnsi="Palatino Linotype" w:cs="Arial"/>
          <w:sz w:val="22"/>
          <w:szCs w:val="22"/>
          <w:lang w:val="en-GB"/>
        </w:rPr>
        <w:t xml:space="preserve">of property valuers in Eswatini to </w:t>
      </w:r>
      <w:r w:rsidR="00F7635B" w:rsidRPr="005D2E21">
        <w:rPr>
          <w:rFonts w:ascii="Palatino Linotype" w:hAnsi="Palatino Linotype" w:cs="Arial"/>
          <w:sz w:val="22"/>
          <w:szCs w:val="22"/>
          <w:lang w:val="en-GB"/>
        </w:rPr>
        <w:t>voluntarily</w:t>
      </w:r>
      <w:r w:rsidRPr="005D2E21">
        <w:rPr>
          <w:rFonts w:ascii="Palatino Linotype" w:hAnsi="Palatino Linotype" w:cs="Arial"/>
          <w:sz w:val="22"/>
          <w:szCs w:val="22"/>
          <w:lang w:val="en-GB"/>
        </w:rPr>
        <w:t xml:space="preserve"> share valuation field data for the potential development of a centralized database.</w:t>
      </w:r>
    </w:p>
    <w:p w14:paraId="15160201" w14:textId="77777777" w:rsidR="005D2E21" w:rsidRPr="005D2E21" w:rsidRDefault="005D2E21" w:rsidP="0099485C">
      <w:pPr>
        <w:spacing w:after="0" w:line="240" w:lineRule="auto"/>
        <w:jc w:val="both"/>
        <w:rPr>
          <w:rFonts w:ascii="Palatino Linotype" w:hAnsi="Palatino Linotype" w:cs="Arial"/>
          <w:sz w:val="22"/>
          <w:szCs w:val="22"/>
          <w:lang w:val="en-GB"/>
        </w:rPr>
      </w:pPr>
    </w:p>
    <w:p w14:paraId="498E2A4F" w14:textId="27CAFF40" w:rsidR="005C116B" w:rsidRDefault="00604780" w:rsidP="0099485C">
      <w:pPr>
        <w:spacing w:after="0" w:line="240" w:lineRule="auto"/>
        <w:jc w:val="both"/>
        <w:rPr>
          <w:rFonts w:ascii="Palatino Linotype" w:hAnsi="Palatino Linotype" w:cs="Arial"/>
          <w:sz w:val="22"/>
          <w:szCs w:val="22"/>
          <w:lang w:val="en-GB"/>
        </w:rPr>
      </w:pPr>
      <w:r w:rsidRPr="005D2E21">
        <w:rPr>
          <w:rFonts w:ascii="Palatino Linotype" w:hAnsi="Palatino Linotype" w:cs="Arial"/>
          <w:sz w:val="22"/>
          <w:szCs w:val="22"/>
          <w:lang w:val="en-GB"/>
        </w:rPr>
        <w:t xml:space="preserve">Design/Methodology/Approach: </w:t>
      </w:r>
      <w:r w:rsidR="009D003F" w:rsidRPr="005D2E21">
        <w:rPr>
          <w:rFonts w:ascii="Palatino Linotype" w:hAnsi="Palatino Linotype" w:cs="Arial"/>
          <w:sz w:val="22"/>
          <w:szCs w:val="22"/>
          <w:lang w:val="en-GB"/>
        </w:rPr>
        <w:t>Guided by a pragmatist research philosophy</w:t>
      </w:r>
      <w:r w:rsidR="00FE5081" w:rsidRPr="005D2E21">
        <w:rPr>
          <w:rFonts w:ascii="Palatino Linotype" w:hAnsi="Palatino Linotype" w:cs="Arial"/>
          <w:sz w:val="22"/>
          <w:szCs w:val="22"/>
          <w:lang w:val="en-GB"/>
        </w:rPr>
        <w:t>, the study employed a mixed-method survey</w:t>
      </w:r>
      <w:r w:rsidR="009C4D91" w:rsidRPr="005D2E21">
        <w:rPr>
          <w:rFonts w:ascii="Palatino Linotype" w:hAnsi="Palatino Linotype" w:cs="Arial"/>
          <w:sz w:val="22"/>
          <w:szCs w:val="22"/>
          <w:lang w:val="en-GB"/>
        </w:rPr>
        <w:t xml:space="preserve"> design. </w:t>
      </w:r>
      <w:r w:rsidR="00B27814" w:rsidRPr="005D2E21">
        <w:rPr>
          <w:rFonts w:ascii="Palatino Linotype" w:hAnsi="Palatino Linotype" w:cs="Arial"/>
          <w:sz w:val="22"/>
          <w:szCs w:val="22"/>
          <w:lang w:val="en-GB"/>
        </w:rPr>
        <w:t>A census approach targeted all 28 practicing property valuers in Eswatini. Self-administered questionnaires included Likert-scale, open-ended, and dichotomous questions</w:t>
      </w:r>
      <w:r w:rsidR="00F0753D" w:rsidRPr="005D2E21">
        <w:rPr>
          <w:rFonts w:ascii="Palatino Linotype" w:hAnsi="Palatino Linotype" w:cs="Arial"/>
          <w:sz w:val="22"/>
          <w:szCs w:val="22"/>
          <w:lang w:val="en-GB"/>
        </w:rPr>
        <w:t>.</w:t>
      </w:r>
      <w:r w:rsidR="007043BD" w:rsidRPr="005D2E21">
        <w:rPr>
          <w:rFonts w:ascii="Palatino Linotype" w:hAnsi="Palatino Linotype" w:cs="Arial"/>
          <w:sz w:val="22"/>
          <w:szCs w:val="22"/>
          <w:lang w:val="en-GB"/>
        </w:rPr>
        <w:t xml:space="preserve"> </w:t>
      </w:r>
      <w:r w:rsidR="006F4C5E" w:rsidRPr="005D2E21">
        <w:rPr>
          <w:rFonts w:ascii="Palatino Linotype" w:hAnsi="Palatino Linotype" w:cs="Arial"/>
          <w:sz w:val="22"/>
          <w:szCs w:val="22"/>
          <w:lang w:val="en-GB"/>
        </w:rPr>
        <w:t xml:space="preserve">Quantitative data were analysed using descriptive </w:t>
      </w:r>
      <w:r w:rsidR="004410D7" w:rsidRPr="005D2E21">
        <w:rPr>
          <w:rFonts w:ascii="Palatino Linotype" w:hAnsi="Palatino Linotype" w:cs="Arial"/>
          <w:sz w:val="22"/>
          <w:szCs w:val="22"/>
          <w:lang w:val="en-GB"/>
        </w:rPr>
        <w:t>statistics</w:t>
      </w:r>
      <w:r w:rsidR="006F4C5E" w:rsidRPr="005D2E21">
        <w:rPr>
          <w:rFonts w:ascii="Palatino Linotype" w:hAnsi="Palatino Linotype" w:cs="Arial"/>
          <w:sz w:val="22"/>
          <w:szCs w:val="22"/>
          <w:lang w:val="en-GB"/>
        </w:rPr>
        <w:t>, while qualitative data were proc</w:t>
      </w:r>
      <w:r w:rsidR="004410D7" w:rsidRPr="005D2E21">
        <w:rPr>
          <w:rFonts w:ascii="Palatino Linotype" w:hAnsi="Palatino Linotype" w:cs="Arial"/>
          <w:sz w:val="22"/>
          <w:szCs w:val="22"/>
          <w:lang w:val="en-GB"/>
        </w:rPr>
        <w:t>essed using framework analysis.</w:t>
      </w:r>
    </w:p>
    <w:p w14:paraId="7779B93B" w14:textId="77777777" w:rsidR="005D2E21" w:rsidRPr="005D2E21" w:rsidRDefault="005D2E21" w:rsidP="0099485C">
      <w:pPr>
        <w:spacing w:after="0" w:line="240" w:lineRule="auto"/>
        <w:jc w:val="both"/>
        <w:rPr>
          <w:rFonts w:ascii="Palatino Linotype" w:hAnsi="Palatino Linotype" w:cs="Arial"/>
          <w:sz w:val="22"/>
          <w:szCs w:val="22"/>
          <w:lang w:val="en-GB"/>
        </w:rPr>
      </w:pPr>
    </w:p>
    <w:p w14:paraId="4EF1F1E6" w14:textId="35E69865" w:rsidR="005D6059" w:rsidRPr="005D2E21" w:rsidRDefault="008F3F46" w:rsidP="0099485C">
      <w:pPr>
        <w:spacing w:after="0" w:line="240" w:lineRule="auto"/>
        <w:jc w:val="both"/>
        <w:rPr>
          <w:rFonts w:ascii="Palatino Linotype" w:hAnsi="Palatino Linotype" w:cs="Arial"/>
          <w:sz w:val="22"/>
          <w:szCs w:val="22"/>
          <w:lang w:val="en-GB"/>
        </w:rPr>
      </w:pPr>
      <w:r w:rsidRPr="005D2E21">
        <w:rPr>
          <w:rFonts w:ascii="Palatino Linotype" w:hAnsi="Palatino Linotype" w:cs="Arial"/>
          <w:sz w:val="22"/>
          <w:szCs w:val="22"/>
          <w:lang w:val="en-GB"/>
        </w:rPr>
        <w:t xml:space="preserve">Findings: the </w:t>
      </w:r>
      <w:r w:rsidR="00BB6464" w:rsidRPr="005D2E21">
        <w:rPr>
          <w:rFonts w:ascii="Palatino Linotype" w:hAnsi="Palatino Linotype" w:cs="Arial"/>
          <w:sz w:val="22"/>
          <w:szCs w:val="22"/>
          <w:lang w:val="en-GB"/>
        </w:rPr>
        <w:t>results reveal that 91%</w:t>
      </w:r>
      <w:r w:rsidR="007315D2" w:rsidRPr="005D2E21">
        <w:rPr>
          <w:rFonts w:ascii="Palatino Linotype" w:hAnsi="Palatino Linotype" w:cs="Arial"/>
          <w:sz w:val="22"/>
          <w:szCs w:val="22"/>
          <w:lang w:val="en-GB"/>
        </w:rPr>
        <w:t xml:space="preserve"> of the </w:t>
      </w:r>
      <w:r w:rsidR="00C423C5" w:rsidRPr="005D2E21">
        <w:rPr>
          <w:rFonts w:ascii="Palatino Linotype" w:hAnsi="Palatino Linotype" w:cs="Arial"/>
          <w:sz w:val="22"/>
          <w:szCs w:val="22"/>
          <w:lang w:val="en-GB"/>
        </w:rPr>
        <w:t>respondents are willing to share field data voluntar</w:t>
      </w:r>
      <w:r w:rsidR="00F7635B" w:rsidRPr="005D2E21">
        <w:rPr>
          <w:rFonts w:ascii="Palatino Linotype" w:hAnsi="Palatino Linotype" w:cs="Arial"/>
          <w:sz w:val="22"/>
          <w:szCs w:val="22"/>
          <w:lang w:val="en-GB"/>
        </w:rPr>
        <w:t>il</w:t>
      </w:r>
      <w:r w:rsidR="00C423C5" w:rsidRPr="005D2E21">
        <w:rPr>
          <w:rFonts w:ascii="Palatino Linotype" w:hAnsi="Palatino Linotype" w:cs="Arial"/>
          <w:sz w:val="22"/>
          <w:szCs w:val="22"/>
          <w:lang w:val="en-GB"/>
        </w:rPr>
        <w:t xml:space="preserve">y. </w:t>
      </w:r>
      <w:r w:rsidR="00D21B3C" w:rsidRPr="005D2E21">
        <w:rPr>
          <w:rFonts w:ascii="Palatino Linotype" w:hAnsi="Palatino Linotype" w:cs="Arial"/>
          <w:sz w:val="22"/>
          <w:szCs w:val="22"/>
          <w:lang w:val="en-GB"/>
        </w:rPr>
        <w:t xml:space="preserve">Their participation </w:t>
      </w:r>
      <w:r w:rsidR="008E4E7C" w:rsidRPr="005D2E21">
        <w:rPr>
          <w:rFonts w:ascii="Palatino Linotype" w:hAnsi="Palatino Linotype" w:cs="Arial"/>
          <w:sz w:val="22"/>
          <w:szCs w:val="22"/>
          <w:lang w:val="en-GB"/>
        </w:rPr>
        <w:t xml:space="preserve">is moderated by </w:t>
      </w:r>
      <w:r w:rsidR="00C423C5" w:rsidRPr="005D2E21">
        <w:rPr>
          <w:rFonts w:ascii="Palatino Linotype" w:hAnsi="Palatino Linotype" w:cs="Arial"/>
          <w:sz w:val="22"/>
          <w:szCs w:val="22"/>
          <w:lang w:val="en-GB"/>
        </w:rPr>
        <w:t>concerns about data confidentiality, absence of standardized data collection protocols</w:t>
      </w:r>
      <w:r w:rsidR="008E4F04" w:rsidRPr="005D2E21">
        <w:rPr>
          <w:rFonts w:ascii="Palatino Linotype" w:hAnsi="Palatino Linotype" w:cs="Arial"/>
          <w:sz w:val="22"/>
          <w:szCs w:val="22"/>
          <w:lang w:val="en-GB"/>
        </w:rPr>
        <w:t xml:space="preserve">, and lack of legal clarity. Valuers expressed a preference for </w:t>
      </w:r>
      <w:r w:rsidR="006128B6" w:rsidRPr="005D2E21">
        <w:rPr>
          <w:rFonts w:ascii="Palatino Linotype" w:hAnsi="Palatino Linotype" w:cs="Arial"/>
          <w:sz w:val="22"/>
          <w:szCs w:val="22"/>
          <w:lang w:val="en-GB"/>
        </w:rPr>
        <w:t>regulated</w:t>
      </w:r>
      <w:r w:rsidR="008E4F04" w:rsidRPr="005D2E21">
        <w:rPr>
          <w:rFonts w:ascii="Palatino Linotype" w:hAnsi="Palatino Linotype" w:cs="Arial"/>
          <w:sz w:val="22"/>
          <w:szCs w:val="22"/>
          <w:lang w:val="en-GB"/>
        </w:rPr>
        <w:t xml:space="preserve"> systems managed by a professional or go</w:t>
      </w:r>
      <w:r w:rsidR="006128B6" w:rsidRPr="005D2E21">
        <w:rPr>
          <w:rFonts w:ascii="Palatino Linotype" w:hAnsi="Palatino Linotype" w:cs="Arial"/>
          <w:sz w:val="22"/>
          <w:szCs w:val="22"/>
          <w:lang w:val="en-GB"/>
        </w:rPr>
        <w:t>vernment entity.</w:t>
      </w:r>
      <w:r w:rsidR="008E4E7C" w:rsidRPr="005D2E21">
        <w:rPr>
          <w:rFonts w:ascii="Palatino Linotype" w:hAnsi="Palatino Linotype" w:cs="Arial"/>
          <w:sz w:val="22"/>
          <w:szCs w:val="22"/>
          <w:lang w:val="en-GB"/>
        </w:rPr>
        <w:t xml:space="preserve"> Despite these concerns, majority of the valuers reported to adhere to international standards such as R</w:t>
      </w:r>
      <w:r w:rsidR="00EC3211" w:rsidRPr="005D2E21">
        <w:rPr>
          <w:rFonts w:ascii="Palatino Linotype" w:hAnsi="Palatino Linotype" w:cs="Arial"/>
          <w:sz w:val="22"/>
          <w:szCs w:val="22"/>
          <w:lang w:val="en-GB"/>
        </w:rPr>
        <w:t xml:space="preserve">oyal </w:t>
      </w:r>
      <w:r w:rsidR="008E4E7C" w:rsidRPr="005D2E21">
        <w:rPr>
          <w:rFonts w:ascii="Palatino Linotype" w:hAnsi="Palatino Linotype" w:cs="Arial"/>
          <w:sz w:val="22"/>
          <w:szCs w:val="22"/>
          <w:lang w:val="en-GB"/>
        </w:rPr>
        <w:t>I</w:t>
      </w:r>
      <w:r w:rsidR="00EC3211" w:rsidRPr="005D2E21">
        <w:rPr>
          <w:rFonts w:ascii="Palatino Linotype" w:hAnsi="Palatino Linotype" w:cs="Arial"/>
          <w:sz w:val="22"/>
          <w:szCs w:val="22"/>
          <w:lang w:val="en-GB"/>
        </w:rPr>
        <w:t xml:space="preserve">nstitutions </w:t>
      </w:r>
      <w:r w:rsidR="008E4E7C" w:rsidRPr="005D2E21">
        <w:rPr>
          <w:rFonts w:ascii="Palatino Linotype" w:hAnsi="Palatino Linotype" w:cs="Arial"/>
          <w:sz w:val="22"/>
          <w:szCs w:val="22"/>
          <w:lang w:val="en-GB"/>
        </w:rPr>
        <w:t>C</w:t>
      </w:r>
      <w:r w:rsidR="00EC3211" w:rsidRPr="005D2E21">
        <w:rPr>
          <w:rFonts w:ascii="Palatino Linotype" w:hAnsi="Palatino Linotype" w:cs="Arial"/>
          <w:sz w:val="22"/>
          <w:szCs w:val="22"/>
          <w:lang w:val="en-GB"/>
        </w:rPr>
        <w:t xml:space="preserve">hartered </w:t>
      </w:r>
      <w:r w:rsidR="008E4E7C" w:rsidRPr="005D2E21">
        <w:rPr>
          <w:rFonts w:ascii="Palatino Linotype" w:hAnsi="Palatino Linotype" w:cs="Arial"/>
          <w:sz w:val="22"/>
          <w:szCs w:val="22"/>
          <w:lang w:val="en-GB"/>
        </w:rPr>
        <w:t>S</w:t>
      </w:r>
      <w:r w:rsidR="00EC3211" w:rsidRPr="005D2E21">
        <w:rPr>
          <w:rFonts w:ascii="Palatino Linotype" w:hAnsi="Palatino Linotype" w:cs="Arial"/>
          <w:sz w:val="22"/>
          <w:szCs w:val="22"/>
          <w:lang w:val="en-GB"/>
        </w:rPr>
        <w:t>urveyors</w:t>
      </w:r>
      <w:r w:rsidR="008E4E7C" w:rsidRPr="005D2E21">
        <w:rPr>
          <w:rFonts w:ascii="Palatino Linotype" w:hAnsi="Palatino Linotype" w:cs="Arial"/>
          <w:sz w:val="22"/>
          <w:szCs w:val="22"/>
          <w:lang w:val="en-GB"/>
        </w:rPr>
        <w:t xml:space="preserve"> </w:t>
      </w:r>
      <w:r w:rsidR="00330723" w:rsidRPr="005D2E21">
        <w:rPr>
          <w:rFonts w:ascii="Palatino Linotype" w:hAnsi="Palatino Linotype" w:cs="Arial"/>
          <w:sz w:val="22"/>
          <w:szCs w:val="22"/>
          <w:lang w:val="en-GB"/>
        </w:rPr>
        <w:t xml:space="preserve">(RICS) </w:t>
      </w:r>
      <w:r w:rsidR="008E4E7C" w:rsidRPr="005D2E21">
        <w:rPr>
          <w:rFonts w:ascii="Palatino Linotype" w:hAnsi="Palatino Linotype" w:cs="Arial"/>
          <w:sz w:val="22"/>
          <w:szCs w:val="22"/>
          <w:lang w:val="en-GB"/>
        </w:rPr>
        <w:t>and I</w:t>
      </w:r>
      <w:r w:rsidR="00EC3211" w:rsidRPr="005D2E21">
        <w:rPr>
          <w:rFonts w:ascii="Palatino Linotype" w:hAnsi="Palatino Linotype" w:cs="Arial"/>
          <w:sz w:val="22"/>
          <w:szCs w:val="22"/>
          <w:lang w:val="en-GB"/>
        </w:rPr>
        <w:t xml:space="preserve">nternational </w:t>
      </w:r>
      <w:r w:rsidR="008E4E7C" w:rsidRPr="005D2E21">
        <w:rPr>
          <w:rFonts w:ascii="Palatino Linotype" w:hAnsi="Palatino Linotype" w:cs="Arial"/>
          <w:sz w:val="22"/>
          <w:szCs w:val="22"/>
          <w:lang w:val="en-GB"/>
        </w:rPr>
        <w:t>V</w:t>
      </w:r>
      <w:r w:rsidR="00EC3211" w:rsidRPr="005D2E21">
        <w:rPr>
          <w:rFonts w:ascii="Palatino Linotype" w:hAnsi="Palatino Linotype" w:cs="Arial"/>
          <w:sz w:val="22"/>
          <w:szCs w:val="22"/>
          <w:lang w:val="en-GB"/>
        </w:rPr>
        <w:t xml:space="preserve">aluation </w:t>
      </w:r>
      <w:r w:rsidR="008E4E7C" w:rsidRPr="005D2E21">
        <w:rPr>
          <w:rFonts w:ascii="Palatino Linotype" w:hAnsi="Palatino Linotype" w:cs="Arial"/>
          <w:sz w:val="22"/>
          <w:szCs w:val="22"/>
          <w:lang w:val="en-GB"/>
        </w:rPr>
        <w:t>S</w:t>
      </w:r>
      <w:r w:rsidR="00EC3211" w:rsidRPr="005D2E21">
        <w:rPr>
          <w:rFonts w:ascii="Palatino Linotype" w:hAnsi="Palatino Linotype" w:cs="Arial"/>
          <w:sz w:val="22"/>
          <w:szCs w:val="22"/>
          <w:lang w:val="en-GB"/>
        </w:rPr>
        <w:t>tandards</w:t>
      </w:r>
      <w:r w:rsidR="00330723" w:rsidRPr="005D2E21">
        <w:rPr>
          <w:rFonts w:ascii="Palatino Linotype" w:hAnsi="Palatino Linotype" w:cs="Arial"/>
          <w:sz w:val="22"/>
          <w:szCs w:val="22"/>
          <w:lang w:val="en-GB"/>
        </w:rPr>
        <w:t xml:space="preserve"> (IVS)</w:t>
      </w:r>
      <w:r w:rsidR="00421C71" w:rsidRPr="005D2E21">
        <w:rPr>
          <w:rFonts w:ascii="Palatino Linotype" w:hAnsi="Palatino Linotype" w:cs="Arial"/>
          <w:sz w:val="22"/>
          <w:szCs w:val="22"/>
          <w:lang w:val="en-GB"/>
        </w:rPr>
        <w:t>.</w:t>
      </w:r>
    </w:p>
    <w:p w14:paraId="1439A4FD" w14:textId="08D58B09" w:rsidR="00FC78A0" w:rsidRDefault="00FC78A0" w:rsidP="0099485C">
      <w:pPr>
        <w:spacing w:after="0" w:line="240" w:lineRule="auto"/>
        <w:jc w:val="both"/>
        <w:rPr>
          <w:rFonts w:ascii="Palatino Linotype" w:hAnsi="Palatino Linotype" w:cs="Arial"/>
          <w:sz w:val="22"/>
          <w:szCs w:val="22"/>
          <w:lang w:val="en-GB"/>
        </w:rPr>
      </w:pPr>
      <w:r w:rsidRPr="005D2E21">
        <w:rPr>
          <w:rFonts w:ascii="Palatino Linotype" w:hAnsi="Palatino Linotype" w:cs="Arial"/>
          <w:sz w:val="22"/>
          <w:szCs w:val="22"/>
          <w:lang w:val="en-GB"/>
        </w:rPr>
        <w:t xml:space="preserve">Originality: </w:t>
      </w:r>
      <w:r w:rsidR="00DD3BCB" w:rsidRPr="005D2E21">
        <w:rPr>
          <w:rFonts w:ascii="Palatino Linotype" w:hAnsi="Palatino Linotype" w:cs="Arial"/>
          <w:sz w:val="22"/>
          <w:szCs w:val="22"/>
          <w:lang w:val="en-GB"/>
        </w:rPr>
        <w:t xml:space="preserve">this study offers the first empirical insight into the willingness of Eswatini’s valuation professionals to </w:t>
      </w:r>
      <w:r w:rsidR="00D61E2D" w:rsidRPr="005D2E21">
        <w:rPr>
          <w:rFonts w:ascii="Palatino Linotype" w:hAnsi="Palatino Linotype" w:cs="Arial"/>
          <w:sz w:val="22"/>
          <w:szCs w:val="22"/>
          <w:lang w:val="en-GB"/>
        </w:rPr>
        <w:t>engage</w:t>
      </w:r>
      <w:r w:rsidR="00DD3BCB" w:rsidRPr="005D2E21">
        <w:rPr>
          <w:rFonts w:ascii="Palatino Linotype" w:hAnsi="Palatino Linotype" w:cs="Arial"/>
          <w:sz w:val="22"/>
          <w:szCs w:val="22"/>
          <w:lang w:val="en-GB"/>
        </w:rPr>
        <w:t xml:space="preserve"> in colla</w:t>
      </w:r>
      <w:r w:rsidR="00D61E2D" w:rsidRPr="005D2E21">
        <w:rPr>
          <w:rFonts w:ascii="Palatino Linotype" w:hAnsi="Palatino Linotype" w:cs="Arial"/>
          <w:sz w:val="22"/>
          <w:szCs w:val="22"/>
          <w:lang w:val="en-GB"/>
        </w:rPr>
        <w:t>borative data sharing. It provides a context specific foundation for shaping policy and improving transparency and consistency in the property valuation sector.</w:t>
      </w:r>
    </w:p>
    <w:p w14:paraId="248FDC9B" w14:textId="77777777" w:rsidR="005D2E21" w:rsidRPr="005D2E21" w:rsidRDefault="005D2E21" w:rsidP="0099485C">
      <w:pPr>
        <w:spacing w:after="0" w:line="240" w:lineRule="auto"/>
        <w:jc w:val="both"/>
        <w:rPr>
          <w:rFonts w:ascii="Palatino Linotype" w:hAnsi="Palatino Linotype" w:cs="Arial"/>
          <w:sz w:val="22"/>
          <w:szCs w:val="22"/>
          <w:lang w:val="en-GB"/>
        </w:rPr>
      </w:pPr>
    </w:p>
    <w:p w14:paraId="66D176F2" w14:textId="722FCE6E" w:rsidR="00675EEC" w:rsidRPr="005D2E21" w:rsidRDefault="00675EEC" w:rsidP="0099485C">
      <w:pPr>
        <w:spacing w:after="0" w:line="240" w:lineRule="auto"/>
        <w:jc w:val="both"/>
        <w:rPr>
          <w:rFonts w:ascii="Palatino Linotype" w:hAnsi="Palatino Linotype" w:cs="Arial"/>
          <w:sz w:val="22"/>
          <w:szCs w:val="22"/>
          <w:lang w:val="en-GB"/>
        </w:rPr>
      </w:pPr>
      <w:r w:rsidRPr="005D2E21">
        <w:rPr>
          <w:rFonts w:ascii="Palatino Linotype" w:hAnsi="Palatino Linotype" w:cs="Arial"/>
          <w:sz w:val="22"/>
          <w:szCs w:val="22"/>
          <w:lang w:val="en-GB"/>
        </w:rPr>
        <w:t xml:space="preserve">Keywords: </w:t>
      </w:r>
      <w:r w:rsidR="004D5825" w:rsidRPr="005D2E21">
        <w:rPr>
          <w:rFonts w:ascii="Palatino Linotype" w:hAnsi="Palatino Linotype" w:cs="Arial"/>
          <w:sz w:val="22"/>
          <w:szCs w:val="22"/>
          <w:lang w:val="en-GB"/>
        </w:rPr>
        <w:t>Centralised database, Valuer’s voluntary participatory, field data, legal framework, and data sharing barriers.</w:t>
      </w:r>
    </w:p>
    <w:bookmarkEnd w:id="0"/>
    <w:p w14:paraId="3C914569" w14:textId="77777777" w:rsidR="006D70B3" w:rsidRPr="0099485C" w:rsidRDefault="006D70B3" w:rsidP="0099485C">
      <w:pPr>
        <w:spacing w:after="0" w:line="240" w:lineRule="auto"/>
        <w:jc w:val="both"/>
        <w:rPr>
          <w:rFonts w:ascii="Palatino Linotype" w:hAnsi="Palatino Linotype" w:cs="Arial"/>
          <w:lang w:val="en-GB"/>
        </w:rPr>
      </w:pPr>
    </w:p>
    <w:p w14:paraId="21F4454F" w14:textId="77777777" w:rsidR="0047665E" w:rsidRPr="0099485C" w:rsidRDefault="0047665E" w:rsidP="0099485C">
      <w:pPr>
        <w:spacing w:after="0" w:line="240" w:lineRule="auto"/>
        <w:jc w:val="both"/>
        <w:rPr>
          <w:rFonts w:ascii="Palatino Linotype" w:hAnsi="Palatino Linotype" w:cs="Arial"/>
          <w:lang w:val="en-GB"/>
        </w:rPr>
      </w:pPr>
    </w:p>
    <w:p w14:paraId="517D2E3F" w14:textId="77777777" w:rsidR="008D563F" w:rsidRPr="0099485C" w:rsidRDefault="008D563F" w:rsidP="0099485C">
      <w:pPr>
        <w:spacing w:after="0" w:line="240" w:lineRule="auto"/>
        <w:jc w:val="both"/>
        <w:rPr>
          <w:rFonts w:ascii="Palatino Linotype" w:hAnsi="Palatino Linotype" w:cs="Arial"/>
          <w:lang w:val="en-GB"/>
        </w:rPr>
      </w:pPr>
    </w:p>
    <w:p w14:paraId="7C45A82B" w14:textId="77777777" w:rsidR="008D563F" w:rsidRPr="0099485C" w:rsidRDefault="008D563F" w:rsidP="0099485C">
      <w:pPr>
        <w:spacing w:after="0" w:line="240" w:lineRule="auto"/>
        <w:jc w:val="both"/>
        <w:rPr>
          <w:rFonts w:ascii="Palatino Linotype" w:hAnsi="Palatino Linotype" w:cs="Arial"/>
          <w:lang w:val="en-GB"/>
        </w:rPr>
      </w:pPr>
    </w:p>
    <w:p w14:paraId="49D5E168" w14:textId="612542D1" w:rsidR="00527DF5" w:rsidRDefault="00527DF5" w:rsidP="0099485C">
      <w:pPr>
        <w:spacing w:after="0" w:line="240" w:lineRule="auto"/>
        <w:jc w:val="both"/>
        <w:rPr>
          <w:rFonts w:ascii="Palatino Linotype" w:hAnsi="Palatino Linotype" w:cs="Arial"/>
          <w:lang w:val="en-GB"/>
        </w:rPr>
      </w:pPr>
      <w:r w:rsidRPr="00DB4030">
        <w:rPr>
          <w:rFonts w:ascii="Palatino Linotype" w:hAnsi="Palatino Linotype" w:cs="Arial"/>
          <w:b/>
          <w:bCs/>
          <w:lang w:val="en-GB"/>
        </w:rPr>
        <w:t>Introduction</w:t>
      </w:r>
    </w:p>
    <w:p w14:paraId="5434DDF3" w14:textId="77777777" w:rsidR="00DB4030" w:rsidRPr="00DB4030" w:rsidRDefault="00DB4030" w:rsidP="0099485C">
      <w:pPr>
        <w:spacing w:after="0" w:line="240" w:lineRule="auto"/>
        <w:jc w:val="both"/>
        <w:rPr>
          <w:rFonts w:ascii="Palatino Linotype" w:hAnsi="Palatino Linotype" w:cs="Arial"/>
          <w:lang w:val="en-GB"/>
        </w:rPr>
      </w:pPr>
    </w:p>
    <w:p w14:paraId="1AC1526A" w14:textId="29CB6266" w:rsidR="002B3224" w:rsidRDefault="0091510C"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“If data is truly "the new oil," it is nowhere more prevalent than in the built environment sector”</w:t>
      </w:r>
      <w:sdt>
        <w:sdtPr>
          <w:rPr>
            <w:rFonts w:ascii="Palatino Linotype" w:hAnsi="Palatino Linotype" w:cs="Arial"/>
            <w:sz w:val="22"/>
            <w:szCs w:val="22"/>
            <w:lang w:val="en-GB"/>
          </w:rPr>
          <w:id w:val="-1429113119"/>
          <w:citation/>
        </w:sdtPr>
        <w:sdtEndPr/>
        <w:sdtContent>
          <w:r w:rsidRPr="00DB4030">
            <w:rPr>
              <w:rFonts w:ascii="Palatino Linotype" w:hAnsi="Palatino Linotype" w:cs="Arial"/>
              <w:sz w:val="22"/>
              <w:szCs w:val="22"/>
              <w:lang w:val="en-GB"/>
            </w:rPr>
            <w:fldChar w:fldCharType="begin"/>
          </w:r>
          <w:r w:rsidRPr="00DB4030">
            <w:rPr>
              <w:rFonts w:ascii="Palatino Linotype" w:hAnsi="Palatino Linotype" w:cs="Arial"/>
              <w:sz w:val="22"/>
              <w:szCs w:val="22"/>
              <w:lang w:val="en-GB"/>
            </w:rPr>
            <w:instrText xml:space="preserve"> CITATION Hum06 \l 7177 </w:instrText>
          </w:r>
          <w:r w:rsidRPr="00DB4030">
            <w:rPr>
              <w:rFonts w:ascii="Palatino Linotype" w:hAnsi="Palatino Linotype" w:cs="Arial"/>
              <w:sz w:val="22"/>
              <w:szCs w:val="22"/>
              <w:lang w:val="en-GB"/>
            </w:rPr>
            <w:fldChar w:fldCharType="separate"/>
          </w:r>
          <w:r w:rsidRPr="00DB4030">
            <w:rPr>
              <w:rFonts w:ascii="Palatino Linotype" w:hAnsi="Palatino Linotype" w:cs="Arial"/>
              <w:noProof/>
              <w:sz w:val="22"/>
              <w:szCs w:val="22"/>
              <w:lang w:val="en-GB"/>
            </w:rPr>
            <w:t>(Hughes, 2020)</w:t>
          </w:r>
          <w:r w:rsidRPr="00DB4030">
            <w:rPr>
              <w:rFonts w:ascii="Palatino Linotype" w:hAnsi="Palatino Linotype" w:cs="Arial"/>
              <w:sz w:val="22"/>
              <w:szCs w:val="22"/>
              <w:lang w:val="en-GB"/>
            </w:rPr>
            <w:fldChar w:fldCharType="end"/>
          </w:r>
        </w:sdtContent>
      </w:sdt>
      <w:r w:rsidRPr="00DB4030">
        <w:rPr>
          <w:rFonts w:ascii="Palatino Linotype" w:hAnsi="Palatino Linotype" w:cs="Arial"/>
          <w:sz w:val="22"/>
          <w:szCs w:val="22"/>
          <w:lang w:val="en-GB"/>
        </w:rPr>
        <w:t xml:space="preserve">. </w:t>
      </w:r>
      <w:r w:rsidR="004E0B4B" w:rsidRPr="00DB4030">
        <w:rPr>
          <w:rFonts w:ascii="Palatino Linotype" w:hAnsi="Palatino Linotype" w:cs="Arial"/>
          <w:sz w:val="22"/>
          <w:szCs w:val="22"/>
          <w:lang w:val="en-GB"/>
        </w:rPr>
        <w:t>Despite decades of data accumulation across institutions,</w:t>
      </w:r>
      <w:r w:rsidR="002E7495" w:rsidRPr="00DB4030">
        <w:rPr>
          <w:rFonts w:ascii="Palatino Linotype" w:hAnsi="Palatino Linotype"/>
          <w:sz w:val="22"/>
          <w:szCs w:val="22"/>
        </w:rPr>
        <w:t xml:space="preserve"> </w:t>
      </w:r>
      <w:r w:rsidR="002E7495" w:rsidRPr="00DB4030">
        <w:rPr>
          <w:rFonts w:ascii="Palatino Linotype" w:hAnsi="Palatino Linotype" w:cs="Arial"/>
          <w:sz w:val="22"/>
          <w:szCs w:val="22"/>
          <w:lang w:val="en-GB"/>
        </w:rPr>
        <w:t>Oladokun and Mooya (2024) pointed out that</w:t>
      </w:r>
      <w:r w:rsidR="004E0B4B" w:rsidRPr="00DB4030">
        <w:rPr>
          <w:rFonts w:ascii="Palatino Linotype" w:hAnsi="Palatino Linotype" w:cs="Arial"/>
          <w:sz w:val="22"/>
          <w:szCs w:val="22"/>
          <w:lang w:val="en-GB"/>
        </w:rPr>
        <w:t xml:space="preserve"> the property valuation profession still grapples with the </w:t>
      </w:r>
      <w:r w:rsidR="004E0B4B" w:rsidRPr="00DB4030">
        <w:rPr>
          <w:rFonts w:ascii="Palatino Linotype" w:hAnsi="Palatino Linotype" w:cs="Arial"/>
          <w:sz w:val="22"/>
          <w:szCs w:val="22"/>
          <w:lang w:val="en-GB"/>
        </w:rPr>
        <w:lastRenderedPageBreak/>
        <w:t xml:space="preserve">lack of </w:t>
      </w:r>
      <w:r w:rsidR="002E7495" w:rsidRPr="00DB4030">
        <w:rPr>
          <w:rFonts w:ascii="Palatino Linotype" w:hAnsi="Palatino Linotype" w:cs="Arial"/>
          <w:sz w:val="22"/>
          <w:szCs w:val="22"/>
          <w:lang w:val="en-GB"/>
        </w:rPr>
        <w:t>accessibility to accurate and current data</w:t>
      </w:r>
      <w:r w:rsidR="004E0B4B" w:rsidRPr="00DB4030">
        <w:rPr>
          <w:rFonts w:ascii="Palatino Linotype" w:hAnsi="Palatino Linotype" w:cs="Arial"/>
          <w:sz w:val="22"/>
          <w:szCs w:val="22"/>
          <w:lang w:val="en-GB"/>
        </w:rPr>
        <w:t xml:space="preserve">. </w:t>
      </w:r>
      <w:r w:rsidR="00EE338E" w:rsidRPr="00DB4030">
        <w:rPr>
          <w:rFonts w:ascii="Palatino Linotype" w:hAnsi="Palatino Linotype" w:cs="Arial"/>
          <w:sz w:val="22"/>
          <w:szCs w:val="22"/>
          <w:lang w:val="en-GB"/>
        </w:rPr>
        <w:t>Globally, the challenge of data gaps in valuation has been extensively documented</w:t>
      </w:r>
      <w:r w:rsidR="0006511F" w:rsidRPr="00DB4030">
        <w:rPr>
          <w:rFonts w:ascii="Palatino Linotype" w:hAnsi="Palatino Linotype" w:cs="Arial"/>
          <w:sz w:val="22"/>
          <w:szCs w:val="22"/>
          <w:lang w:val="en-GB"/>
        </w:rPr>
        <w:t xml:space="preserve"> (</w:t>
      </w:r>
      <w:r w:rsidR="00C649A7" w:rsidRPr="00DB4030">
        <w:rPr>
          <w:rFonts w:ascii="Palatino Linotype" w:hAnsi="Palatino Linotype" w:cs="Arial"/>
          <w:sz w:val="22"/>
          <w:szCs w:val="22"/>
          <w:lang w:val="en-GB"/>
        </w:rPr>
        <w:t>Ajibola and Oloyede</w:t>
      </w:r>
      <w:r w:rsidR="0006511F" w:rsidRPr="00DB4030">
        <w:rPr>
          <w:rFonts w:ascii="Palatino Linotype" w:hAnsi="Palatino Linotype" w:cs="Arial"/>
          <w:sz w:val="22"/>
          <w:szCs w:val="22"/>
          <w:lang w:val="en-GB"/>
        </w:rPr>
        <w:t xml:space="preserve">, </w:t>
      </w:r>
      <w:r w:rsidR="00C649A7" w:rsidRPr="00DB4030">
        <w:rPr>
          <w:rFonts w:ascii="Palatino Linotype" w:hAnsi="Palatino Linotype" w:cs="Arial"/>
          <w:sz w:val="22"/>
          <w:szCs w:val="22"/>
          <w:lang w:val="en-GB"/>
        </w:rPr>
        <w:t>2010)</w:t>
      </w:r>
      <w:r w:rsidR="009E4AF7" w:rsidRPr="00DB4030">
        <w:rPr>
          <w:rFonts w:ascii="Palatino Linotype" w:hAnsi="Palatino Linotype" w:cs="Arial"/>
          <w:sz w:val="22"/>
          <w:szCs w:val="22"/>
          <w:lang w:val="en-GB"/>
        </w:rPr>
        <w:t xml:space="preserve">. </w:t>
      </w:r>
      <w:r w:rsidR="00700140" w:rsidRPr="00DB4030">
        <w:rPr>
          <w:rFonts w:ascii="Palatino Linotype" w:hAnsi="Palatino Linotype" w:cs="Arial"/>
          <w:sz w:val="22"/>
          <w:szCs w:val="22"/>
          <w:lang w:val="en-GB"/>
        </w:rPr>
        <w:t>Similar concerns have been raised in Nigeria</w:t>
      </w:r>
      <w:r w:rsidR="00903E3F" w:rsidRPr="00DB4030">
        <w:rPr>
          <w:rFonts w:ascii="Palatino Linotype" w:hAnsi="Palatino Linotype" w:cs="Arial"/>
          <w:sz w:val="22"/>
          <w:szCs w:val="22"/>
          <w:lang w:val="en-GB"/>
        </w:rPr>
        <w:t>,</w:t>
      </w:r>
      <w:r w:rsidR="00700140" w:rsidRPr="00DB4030">
        <w:rPr>
          <w:rFonts w:ascii="Palatino Linotype" w:hAnsi="Palatino Linotype" w:cs="Arial"/>
          <w:sz w:val="22"/>
          <w:szCs w:val="22"/>
          <w:lang w:val="en-GB"/>
        </w:rPr>
        <w:t xml:space="preserve"> Zambia, and even the U</w:t>
      </w:r>
      <w:r w:rsidR="00E92C4D" w:rsidRPr="00DB4030">
        <w:rPr>
          <w:rFonts w:ascii="Palatino Linotype" w:hAnsi="Palatino Linotype" w:cs="Arial"/>
          <w:sz w:val="22"/>
          <w:szCs w:val="22"/>
          <w:lang w:val="en-GB"/>
        </w:rPr>
        <w:t xml:space="preserve">nited </w:t>
      </w:r>
      <w:r w:rsidR="00700140" w:rsidRPr="00DB4030">
        <w:rPr>
          <w:rFonts w:ascii="Palatino Linotype" w:hAnsi="Palatino Linotype" w:cs="Arial"/>
          <w:sz w:val="22"/>
          <w:szCs w:val="22"/>
          <w:lang w:val="en-GB"/>
        </w:rPr>
        <w:t>K</w:t>
      </w:r>
      <w:r w:rsidR="00E92C4D" w:rsidRPr="00DB4030">
        <w:rPr>
          <w:rFonts w:ascii="Palatino Linotype" w:hAnsi="Palatino Linotype" w:cs="Arial"/>
          <w:sz w:val="22"/>
          <w:szCs w:val="22"/>
          <w:lang w:val="en-GB"/>
        </w:rPr>
        <w:t>ingdom (UK)</w:t>
      </w:r>
      <w:r w:rsidR="00700140" w:rsidRPr="00DB4030">
        <w:rPr>
          <w:rFonts w:ascii="Palatino Linotype" w:hAnsi="Palatino Linotype" w:cs="Arial"/>
          <w:sz w:val="22"/>
          <w:szCs w:val="22"/>
          <w:lang w:val="en-GB"/>
        </w:rPr>
        <w:t>, where value</w:t>
      </w:r>
      <w:r w:rsidR="00903E3F" w:rsidRPr="00DB4030">
        <w:rPr>
          <w:rFonts w:ascii="Palatino Linotype" w:hAnsi="Palatino Linotype" w:cs="Arial"/>
          <w:sz w:val="22"/>
          <w:szCs w:val="22"/>
          <w:lang w:val="en-GB"/>
        </w:rPr>
        <w:t>rs</w:t>
      </w:r>
      <w:r w:rsidR="00700140" w:rsidRPr="00DB4030">
        <w:rPr>
          <w:rFonts w:ascii="Palatino Linotype" w:hAnsi="Palatino Linotype" w:cs="Arial"/>
          <w:sz w:val="22"/>
          <w:szCs w:val="22"/>
          <w:lang w:val="en-GB"/>
        </w:rPr>
        <w:t xml:space="preserve"> faced difficulties in accessing structured, compatible transaction records</w:t>
      </w:r>
      <w:r w:rsidR="003769F1" w:rsidRPr="00DB4030">
        <w:rPr>
          <w:rFonts w:ascii="Palatino Linotype" w:hAnsi="Palatino Linotype" w:cs="Arial"/>
          <w:sz w:val="22"/>
          <w:szCs w:val="22"/>
          <w:lang w:val="en-GB"/>
        </w:rPr>
        <w:t xml:space="preserve"> (</w:t>
      </w:r>
      <w:r w:rsidR="00E504EB" w:rsidRPr="00DB4030">
        <w:rPr>
          <w:rFonts w:ascii="Palatino Linotype" w:hAnsi="Palatino Linotype" w:cs="Arial"/>
          <w:sz w:val="22"/>
          <w:szCs w:val="22"/>
          <w:lang w:val="en-GB"/>
        </w:rPr>
        <w:t xml:space="preserve">Mulenga, 2019; </w:t>
      </w:r>
      <w:r w:rsidR="003769F1" w:rsidRPr="00DB4030">
        <w:rPr>
          <w:rFonts w:ascii="Palatino Linotype" w:hAnsi="Palatino Linotype" w:cs="Arial"/>
          <w:sz w:val="22"/>
          <w:szCs w:val="22"/>
          <w:lang w:val="en-GB"/>
        </w:rPr>
        <w:t>Chi et al., 2021; Hossain et al., 2023)</w:t>
      </w:r>
      <w:r w:rsidR="00700140" w:rsidRPr="00DB4030">
        <w:rPr>
          <w:rFonts w:ascii="Palatino Linotype" w:hAnsi="Palatino Linotype" w:cs="Arial"/>
          <w:sz w:val="22"/>
          <w:szCs w:val="22"/>
          <w:lang w:val="en-GB"/>
        </w:rPr>
        <w:t xml:space="preserve">. </w:t>
      </w:r>
    </w:p>
    <w:p w14:paraId="4F3985D5"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25EA0258" w14:textId="21D9EA3D" w:rsidR="00DC6A4E" w:rsidRDefault="00DC6A4E"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The development of transparent and efficient valuation systems has gained growing attention (</w:t>
      </w:r>
      <w:proofErr w:type="spellStart"/>
      <w:r w:rsidR="000E168B" w:rsidRPr="00DB4030">
        <w:rPr>
          <w:rFonts w:ascii="Palatino Linotype" w:hAnsi="Palatino Linotype" w:cs="Arial"/>
          <w:sz w:val="22"/>
          <w:szCs w:val="22"/>
          <w:lang w:val="en-GB"/>
        </w:rPr>
        <w:t>Topraklı</w:t>
      </w:r>
      <w:proofErr w:type="spellEnd"/>
      <w:r w:rsidR="000E168B" w:rsidRPr="00DB4030">
        <w:rPr>
          <w:rFonts w:ascii="Palatino Linotype" w:hAnsi="Palatino Linotype" w:cs="Arial"/>
          <w:sz w:val="22"/>
          <w:szCs w:val="22"/>
          <w:lang w:val="en-GB"/>
        </w:rPr>
        <w:t xml:space="preserve">, 2025). </w:t>
      </w:r>
      <w:r w:rsidRPr="00DB4030">
        <w:rPr>
          <w:rFonts w:ascii="Palatino Linotype" w:hAnsi="Palatino Linotype" w:cs="Arial"/>
          <w:sz w:val="22"/>
          <w:szCs w:val="22"/>
          <w:lang w:val="en-GB"/>
        </w:rPr>
        <w:t xml:space="preserve">Studies have demonstrated that the reliability of </w:t>
      </w:r>
      <w:r w:rsidR="000E168B" w:rsidRPr="00DB4030">
        <w:rPr>
          <w:rFonts w:ascii="Palatino Linotype" w:hAnsi="Palatino Linotype" w:cs="Arial"/>
          <w:sz w:val="22"/>
          <w:szCs w:val="22"/>
          <w:lang w:val="en-GB"/>
        </w:rPr>
        <w:t xml:space="preserve">property </w:t>
      </w:r>
      <w:r w:rsidRPr="00DB4030">
        <w:rPr>
          <w:rFonts w:ascii="Palatino Linotype" w:hAnsi="Palatino Linotype" w:cs="Arial"/>
          <w:sz w:val="22"/>
          <w:szCs w:val="22"/>
          <w:lang w:val="en-GB"/>
        </w:rPr>
        <w:t>valuation data is strongly linked to the existence of institutional mechanisms for data verification and sharing (</w:t>
      </w:r>
      <w:r w:rsidR="000E168B" w:rsidRPr="00DB4030">
        <w:rPr>
          <w:rFonts w:ascii="Palatino Linotype" w:hAnsi="Palatino Linotype" w:cs="Arial"/>
          <w:sz w:val="22"/>
          <w:szCs w:val="22"/>
          <w:lang w:val="en-GB"/>
        </w:rPr>
        <w:t>Olapade &amp; Olaleye, 2017</w:t>
      </w:r>
      <w:r w:rsidR="007E149C" w:rsidRPr="00DB4030">
        <w:rPr>
          <w:rFonts w:ascii="Palatino Linotype" w:hAnsi="Palatino Linotype" w:cs="Arial"/>
          <w:sz w:val="22"/>
          <w:szCs w:val="22"/>
          <w:lang w:val="en-GB"/>
        </w:rPr>
        <w:t>;</w:t>
      </w:r>
      <w:r w:rsidR="007E149C" w:rsidRPr="00DB4030">
        <w:rPr>
          <w:rFonts w:ascii="Palatino Linotype" w:hAnsi="Palatino Linotype"/>
          <w:sz w:val="22"/>
          <w:szCs w:val="22"/>
        </w:rPr>
        <w:t xml:space="preserve"> </w:t>
      </w:r>
      <w:r w:rsidR="007E149C" w:rsidRPr="00DB4030">
        <w:rPr>
          <w:rFonts w:ascii="Palatino Linotype" w:hAnsi="Palatino Linotype" w:cs="Arial"/>
          <w:sz w:val="22"/>
          <w:szCs w:val="22"/>
          <w:lang w:val="en-GB"/>
        </w:rPr>
        <w:t>Baffour Awuah et al., 2017</w:t>
      </w:r>
      <w:r w:rsidRPr="00DB4030">
        <w:rPr>
          <w:rFonts w:ascii="Palatino Linotype" w:hAnsi="Palatino Linotype" w:cs="Arial"/>
          <w:sz w:val="22"/>
          <w:szCs w:val="22"/>
          <w:lang w:val="en-GB"/>
        </w:rPr>
        <w:t xml:space="preserve">). </w:t>
      </w:r>
      <w:r w:rsidR="007E149C" w:rsidRPr="00DB4030">
        <w:rPr>
          <w:rFonts w:ascii="Palatino Linotype" w:hAnsi="Palatino Linotype" w:cs="Arial"/>
          <w:sz w:val="22"/>
          <w:szCs w:val="22"/>
          <w:lang w:val="en-GB"/>
        </w:rPr>
        <w:t>According to Magagula (2025), the p</w:t>
      </w:r>
      <w:r w:rsidR="006C3AF9" w:rsidRPr="00DB4030">
        <w:rPr>
          <w:rFonts w:ascii="Palatino Linotype" w:hAnsi="Palatino Linotype" w:cs="Arial"/>
          <w:sz w:val="22"/>
          <w:szCs w:val="22"/>
          <w:lang w:val="en-GB"/>
        </w:rPr>
        <w:t xml:space="preserve">roperty valuation in Eswatini faces persistent challenges related to data inconsistency, limited market transparency, and restricted access to verified transaction records. </w:t>
      </w:r>
      <w:r w:rsidR="00C52905" w:rsidRPr="00DB4030">
        <w:rPr>
          <w:rFonts w:ascii="Palatino Linotype" w:hAnsi="Palatino Linotype" w:cs="Arial"/>
          <w:sz w:val="22"/>
          <w:szCs w:val="22"/>
          <w:lang w:val="en-GB"/>
        </w:rPr>
        <w:t>As such</w:t>
      </w:r>
      <w:r w:rsidR="006C3AF9" w:rsidRPr="00DB4030">
        <w:rPr>
          <w:rFonts w:ascii="Palatino Linotype" w:hAnsi="Palatino Linotype" w:cs="Arial"/>
          <w:sz w:val="22"/>
          <w:szCs w:val="22"/>
          <w:lang w:val="en-GB"/>
        </w:rPr>
        <w:t xml:space="preserve">, </w:t>
      </w:r>
      <w:r w:rsidR="00C52905" w:rsidRPr="00DB4030">
        <w:rPr>
          <w:rFonts w:ascii="Palatino Linotype" w:hAnsi="Palatino Linotype" w:cs="Arial"/>
          <w:sz w:val="22"/>
          <w:szCs w:val="22"/>
          <w:lang w:val="en-GB"/>
        </w:rPr>
        <w:t>some</w:t>
      </w:r>
      <w:r w:rsidR="006C3AF9" w:rsidRPr="00DB4030">
        <w:rPr>
          <w:rFonts w:ascii="Palatino Linotype" w:hAnsi="Palatino Linotype" w:cs="Arial"/>
          <w:sz w:val="22"/>
          <w:szCs w:val="22"/>
          <w:lang w:val="en-GB"/>
        </w:rPr>
        <w:t xml:space="preserve"> valuers rely on individually maintained data sets and informal professional networks to obtain comparable sales evidence, as no standardized or centralized property information system currently exists. Government agencies and local authorities maintain fragmented valuation records, often in paper format, which further complicates data verification and sharing across institutions. </w:t>
      </w:r>
    </w:p>
    <w:p w14:paraId="16036BEB"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41DE2521" w14:textId="76B49F8A" w:rsidR="00DC6A4E" w:rsidRPr="00DB4030" w:rsidRDefault="00F75F04"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Whilst the idea of a centralised property valuation database has been widely proposed as a solution</w:t>
      </w:r>
      <w:r w:rsidR="00D1461A" w:rsidRPr="00DB4030">
        <w:rPr>
          <w:rFonts w:ascii="Palatino Linotype" w:hAnsi="Palatino Linotype" w:cs="Arial"/>
          <w:sz w:val="22"/>
          <w:szCs w:val="22"/>
          <w:lang w:val="en-GB"/>
        </w:rPr>
        <w:t xml:space="preserve"> (Olapade &amp; Olaleye, 2019; RICS, 2022)</w:t>
      </w:r>
      <w:r w:rsidRPr="00DB4030">
        <w:rPr>
          <w:rFonts w:ascii="Palatino Linotype" w:hAnsi="Palatino Linotype" w:cs="Arial"/>
          <w:sz w:val="22"/>
          <w:szCs w:val="22"/>
          <w:lang w:val="en-GB"/>
        </w:rPr>
        <w:t>, it</w:t>
      </w:r>
      <w:r w:rsidR="00D1461A" w:rsidRPr="00DB4030">
        <w:rPr>
          <w:rFonts w:ascii="Palatino Linotype" w:hAnsi="Palatino Linotype" w:cs="Arial"/>
          <w:sz w:val="22"/>
          <w:szCs w:val="22"/>
          <w:lang w:val="en-GB"/>
        </w:rPr>
        <w:t>s</w:t>
      </w:r>
      <w:r w:rsidRPr="00DB4030">
        <w:rPr>
          <w:rFonts w:ascii="Palatino Linotype" w:hAnsi="Palatino Linotype" w:cs="Arial"/>
          <w:sz w:val="22"/>
          <w:szCs w:val="22"/>
          <w:lang w:val="en-GB"/>
        </w:rPr>
        <w:t xml:space="preserve"> success hinges on the willingness of practitioners </w:t>
      </w:r>
      <w:r w:rsidR="00D1461A" w:rsidRPr="00DB4030">
        <w:rPr>
          <w:rFonts w:ascii="Palatino Linotype" w:hAnsi="Palatino Linotype" w:cs="Arial"/>
          <w:sz w:val="22"/>
          <w:szCs w:val="22"/>
          <w:lang w:val="en-GB"/>
        </w:rPr>
        <w:t xml:space="preserve">to share </w:t>
      </w:r>
      <w:r w:rsidRPr="00DB4030">
        <w:rPr>
          <w:rFonts w:ascii="Palatino Linotype" w:hAnsi="Palatino Linotype" w:cs="Arial"/>
          <w:sz w:val="22"/>
          <w:szCs w:val="22"/>
          <w:lang w:val="en-GB"/>
        </w:rPr>
        <w:t>the</w:t>
      </w:r>
      <w:r w:rsidR="00D1461A" w:rsidRPr="00DB4030">
        <w:rPr>
          <w:rFonts w:ascii="Palatino Linotype" w:hAnsi="Palatino Linotype" w:cs="Arial"/>
          <w:sz w:val="22"/>
          <w:szCs w:val="22"/>
          <w:lang w:val="en-GB"/>
        </w:rPr>
        <w:t>ir</w:t>
      </w:r>
      <w:r w:rsidRPr="00DB4030">
        <w:rPr>
          <w:rFonts w:ascii="Palatino Linotype" w:hAnsi="Palatino Linotype" w:cs="Arial"/>
          <w:sz w:val="22"/>
          <w:szCs w:val="22"/>
          <w:lang w:val="en-GB"/>
        </w:rPr>
        <w:t xml:space="preserve"> f</w:t>
      </w:r>
      <w:r w:rsidR="00D1461A" w:rsidRPr="00DB4030">
        <w:rPr>
          <w:rFonts w:ascii="Palatino Linotype" w:hAnsi="Palatino Linotype" w:cs="Arial"/>
          <w:sz w:val="22"/>
          <w:szCs w:val="22"/>
          <w:lang w:val="en-GB"/>
        </w:rPr>
        <w:t xml:space="preserve">ield </w:t>
      </w:r>
      <w:r w:rsidRPr="00DB4030">
        <w:rPr>
          <w:rFonts w:ascii="Palatino Linotype" w:hAnsi="Palatino Linotype" w:cs="Arial"/>
          <w:sz w:val="22"/>
          <w:szCs w:val="22"/>
          <w:lang w:val="en-GB"/>
        </w:rPr>
        <w:t>data</w:t>
      </w:r>
      <w:r w:rsidR="006613F4" w:rsidRPr="00DB4030">
        <w:rPr>
          <w:rFonts w:ascii="Palatino Linotype" w:hAnsi="Palatino Linotype" w:cs="Arial"/>
          <w:sz w:val="22"/>
          <w:szCs w:val="22"/>
          <w:lang w:val="en-GB"/>
        </w:rPr>
        <w:t>,</w:t>
      </w:r>
      <w:r w:rsidRPr="00DB4030">
        <w:rPr>
          <w:rFonts w:ascii="Palatino Linotype" w:hAnsi="Palatino Linotype" w:cs="Arial"/>
          <w:sz w:val="22"/>
          <w:szCs w:val="22"/>
          <w:lang w:val="en-GB"/>
        </w:rPr>
        <w:t xml:space="preserve"> which they routinely </w:t>
      </w:r>
      <w:r w:rsidR="00BF05DD" w:rsidRPr="00DB4030">
        <w:rPr>
          <w:rFonts w:ascii="Palatino Linotype" w:hAnsi="Palatino Linotype" w:cs="Arial"/>
          <w:sz w:val="22"/>
          <w:szCs w:val="22"/>
          <w:lang w:val="en-GB"/>
        </w:rPr>
        <w:t>collect during</w:t>
      </w:r>
      <w:r w:rsidR="006613F4" w:rsidRPr="00DB4030">
        <w:rPr>
          <w:rFonts w:ascii="Palatino Linotype" w:hAnsi="Palatino Linotype" w:cs="Arial"/>
          <w:sz w:val="22"/>
          <w:szCs w:val="22"/>
          <w:lang w:val="en-GB"/>
        </w:rPr>
        <w:t xml:space="preserve"> </w:t>
      </w:r>
      <w:r w:rsidRPr="00DB4030">
        <w:rPr>
          <w:rFonts w:ascii="Palatino Linotype" w:hAnsi="Palatino Linotype" w:cs="Arial"/>
          <w:sz w:val="22"/>
          <w:szCs w:val="22"/>
          <w:lang w:val="en-GB"/>
        </w:rPr>
        <w:t xml:space="preserve">valuation inspections. However, professional </w:t>
      </w:r>
      <w:r w:rsidR="006613F4" w:rsidRPr="00DB4030">
        <w:rPr>
          <w:rFonts w:ascii="Palatino Linotype" w:hAnsi="Palatino Linotype" w:cs="Arial"/>
          <w:sz w:val="22"/>
          <w:szCs w:val="22"/>
          <w:lang w:val="en-GB"/>
        </w:rPr>
        <w:t>conservatism</w:t>
      </w:r>
      <w:r w:rsidRPr="00DB4030">
        <w:rPr>
          <w:rFonts w:ascii="Palatino Linotype" w:hAnsi="Palatino Linotype" w:cs="Arial"/>
          <w:sz w:val="22"/>
          <w:szCs w:val="22"/>
          <w:lang w:val="en-GB"/>
        </w:rPr>
        <w:t xml:space="preserve">, confidentiality concerns, </w:t>
      </w:r>
      <w:r w:rsidR="00E81EFE" w:rsidRPr="00DB4030">
        <w:rPr>
          <w:rFonts w:ascii="Palatino Linotype" w:hAnsi="Palatino Linotype" w:cs="Arial"/>
          <w:sz w:val="22"/>
          <w:szCs w:val="22"/>
          <w:lang w:val="en-GB"/>
        </w:rPr>
        <w:t xml:space="preserve">and a </w:t>
      </w:r>
      <w:r w:rsidRPr="00DB4030">
        <w:rPr>
          <w:rFonts w:ascii="Palatino Linotype" w:hAnsi="Palatino Linotype" w:cs="Arial"/>
          <w:sz w:val="22"/>
          <w:szCs w:val="22"/>
          <w:lang w:val="en-GB"/>
        </w:rPr>
        <w:t xml:space="preserve">lack of legal frameworks often </w:t>
      </w:r>
      <w:r w:rsidR="00E81EFE" w:rsidRPr="00DB4030">
        <w:rPr>
          <w:rFonts w:ascii="Palatino Linotype" w:hAnsi="Palatino Linotype" w:cs="Arial"/>
          <w:sz w:val="22"/>
          <w:szCs w:val="22"/>
          <w:lang w:val="en-GB"/>
        </w:rPr>
        <w:t xml:space="preserve">deter </w:t>
      </w:r>
      <w:r w:rsidRPr="00DB4030">
        <w:rPr>
          <w:rFonts w:ascii="Palatino Linotype" w:hAnsi="Palatino Linotype" w:cs="Arial"/>
          <w:sz w:val="22"/>
          <w:szCs w:val="22"/>
          <w:lang w:val="en-GB"/>
        </w:rPr>
        <w:t>such collaborations</w:t>
      </w:r>
      <w:r w:rsidR="00E81EFE" w:rsidRPr="00DB4030">
        <w:rPr>
          <w:rFonts w:ascii="Palatino Linotype" w:hAnsi="Palatino Linotype" w:cs="Arial"/>
          <w:sz w:val="22"/>
          <w:szCs w:val="22"/>
          <w:lang w:val="en-GB"/>
        </w:rPr>
        <w:t xml:space="preserve"> (Chan &amp; Abidoye, 2019)</w:t>
      </w:r>
      <w:r w:rsidRPr="00DB4030">
        <w:rPr>
          <w:rFonts w:ascii="Palatino Linotype" w:hAnsi="Palatino Linotype" w:cs="Arial"/>
          <w:sz w:val="22"/>
          <w:szCs w:val="22"/>
          <w:lang w:val="en-GB"/>
        </w:rPr>
        <w:t xml:space="preserve">. In </w:t>
      </w:r>
      <w:r w:rsidR="00E81EFE" w:rsidRPr="00DB4030">
        <w:rPr>
          <w:rFonts w:ascii="Palatino Linotype" w:hAnsi="Palatino Linotype" w:cs="Arial"/>
          <w:sz w:val="22"/>
          <w:szCs w:val="22"/>
          <w:lang w:val="en-GB"/>
        </w:rPr>
        <w:t xml:space="preserve">Eswatini, </w:t>
      </w:r>
      <w:r w:rsidRPr="00DB4030">
        <w:rPr>
          <w:rFonts w:ascii="Palatino Linotype" w:hAnsi="Palatino Linotype" w:cs="Arial"/>
          <w:sz w:val="22"/>
          <w:szCs w:val="22"/>
          <w:lang w:val="en-GB"/>
        </w:rPr>
        <w:t>this gap remains largely unexplored</w:t>
      </w:r>
      <w:r w:rsidR="00E81EFE" w:rsidRPr="00DB4030">
        <w:rPr>
          <w:rFonts w:ascii="Palatino Linotype" w:hAnsi="Palatino Linotype" w:cs="Arial"/>
          <w:sz w:val="22"/>
          <w:szCs w:val="22"/>
          <w:lang w:val="en-GB"/>
        </w:rPr>
        <w:t>.</w:t>
      </w:r>
      <w:r w:rsidRPr="00DB4030">
        <w:rPr>
          <w:rFonts w:ascii="Palatino Linotype" w:hAnsi="Palatino Linotype" w:cs="Arial"/>
          <w:sz w:val="22"/>
          <w:szCs w:val="22"/>
          <w:lang w:val="en-GB"/>
        </w:rPr>
        <w:t xml:space="preserve"> </w:t>
      </w:r>
      <w:r w:rsidR="0089643B" w:rsidRPr="00DB4030">
        <w:rPr>
          <w:rFonts w:ascii="Palatino Linotype" w:hAnsi="Palatino Linotype" w:cs="Arial"/>
          <w:sz w:val="22"/>
          <w:szCs w:val="22"/>
          <w:lang w:val="en-GB"/>
        </w:rPr>
        <w:t>Th</w:t>
      </w:r>
      <w:r w:rsidR="00F108D3" w:rsidRPr="00DB4030">
        <w:rPr>
          <w:rFonts w:ascii="Palatino Linotype" w:hAnsi="Palatino Linotype" w:cs="Arial"/>
          <w:sz w:val="22"/>
          <w:szCs w:val="22"/>
          <w:lang w:val="en-GB"/>
        </w:rPr>
        <w:t>is</w:t>
      </w:r>
      <w:r w:rsidR="0089643B" w:rsidRPr="00DB4030">
        <w:rPr>
          <w:rFonts w:ascii="Palatino Linotype" w:hAnsi="Palatino Linotype" w:cs="Arial"/>
          <w:sz w:val="22"/>
          <w:szCs w:val="22"/>
          <w:lang w:val="en-GB"/>
        </w:rPr>
        <w:t xml:space="preserve"> study aims to investigate common field data collection practices and the specific property factors considered by valuers during valuation in Eswatini, with a particular focus on assessing the willingness of valuers to share such data within a potential centralized valuation database</w:t>
      </w:r>
      <w:r w:rsidR="004E4561" w:rsidRPr="00DB4030">
        <w:rPr>
          <w:rFonts w:ascii="Palatino Linotype" w:hAnsi="Palatino Linotype" w:cs="Arial"/>
          <w:sz w:val="22"/>
          <w:szCs w:val="22"/>
          <w:lang w:val="en-GB"/>
        </w:rPr>
        <w:t xml:space="preserve">. </w:t>
      </w:r>
    </w:p>
    <w:p w14:paraId="59289079" w14:textId="77777777" w:rsidR="00DB4030" w:rsidRDefault="00DB4030" w:rsidP="0099485C">
      <w:pPr>
        <w:spacing w:after="0" w:line="240" w:lineRule="auto"/>
        <w:jc w:val="both"/>
        <w:rPr>
          <w:rFonts w:ascii="Palatino Linotype" w:hAnsi="Palatino Linotype" w:cs="Arial"/>
          <w:sz w:val="22"/>
          <w:szCs w:val="22"/>
          <w:lang w:val="en-GB"/>
        </w:rPr>
      </w:pPr>
    </w:p>
    <w:p w14:paraId="77550DFD" w14:textId="006C6342" w:rsidR="00527DF5" w:rsidRPr="00DB4030" w:rsidRDefault="00527DF5" w:rsidP="0099485C">
      <w:pPr>
        <w:spacing w:after="0" w:line="240" w:lineRule="auto"/>
        <w:jc w:val="both"/>
        <w:rPr>
          <w:rFonts w:ascii="Palatino Linotype" w:hAnsi="Palatino Linotype" w:cs="Arial"/>
          <w:b/>
          <w:bCs/>
          <w:lang w:val="en-GB"/>
        </w:rPr>
      </w:pPr>
      <w:r w:rsidRPr="00DB4030">
        <w:rPr>
          <w:rFonts w:ascii="Palatino Linotype" w:hAnsi="Palatino Linotype" w:cs="Arial"/>
          <w:b/>
          <w:bCs/>
          <w:lang w:val="en-GB"/>
        </w:rPr>
        <w:t>Literature Review</w:t>
      </w:r>
    </w:p>
    <w:p w14:paraId="75D14076"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168BD974" w14:textId="730EC5A1" w:rsidR="008464E9"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Open data access has increasingly been recognized as fundamental to transparency, accountability, and reliability in property valuation. Ajibola and </w:t>
      </w:r>
      <w:proofErr w:type="spellStart"/>
      <w:r w:rsidRPr="00DB4030">
        <w:rPr>
          <w:rFonts w:ascii="Palatino Linotype" w:hAnsi="Palatino Linotype" w:cs="Arial"/>
          <w:sz w:val="22"/>
          <w:szCs w:val="22"/>
          <w:lang w:val="en-GB"/>
        </w:rPr>
        <w:t>Ogungbemi</w:t>
      </w:r>
      <w:proofErr w:type="spellEnd"/>
      <w:r w:rsidRPr="00DB4030">
        <w:rPr>
          <w:rFonts w:ascii="Palatino Linotype" w:hAnsi="Palatino Linotype" w:cs="Arial"/>
          <w:sz w:val="22"/>
          <w:szCs w:val="22"/>
          <w:lang w:val="en-GB"/>
        </w:rPr>
        <w:t xml:space="preserve"> (2011) argue that unrestricted access to valuation data fosters market efficiency and sound investment decisions by reducing informational asymmetries. Similarly, Davis et al. (2012) link open data systems to evidence-based policymaking and improved regulatory oversight. While these studies affirm the economic and governance benefits of data openness, they tend to assume that data quality and institutional integrity are already in place: an assumption that may not hold in emerging property markets where data ecosystems remain fragmented.</w:t>
      </w:r>
    </w:p>
    <w:p w14:paraId="50810367"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47FE8362" w14:textId="6E014BF2" w:rsidR="008464E9" w:rsidRPr="00DB4030"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At the global level, frameworks such as the International Valuation Standards (IVS) and the Royal Institution of Chartered Surveyors (RICS) Red Book have set out robust principles for consistency, transparency, and ethical conduct in valuation (RICS, 2022). These instruments stress standardization of documentation, digital traceability, and methodological comparability. Ajibola and Oloyede (2010) found that adherence to such standards enhances stakeholder confidence and improves the credibility of valuation outputs. Nonetheless, critics point out that these frameworks often reflect Eurocentric institutional realities and may be </w:t>
      </w:r>
      <w:r w:rsidRPr="00DB4030">
        <w:rPr>
          <w:rFonts w:ascii="Palatino Linotype" w:hAnsi="Palatino Linotype" w:cs="Arial"/>
          <w:sz w:val="22"/>
          <w:szCs w:val="22"/>
          <w:lang w:val="en-GB"/>
        </w:rPr>
        <w:lastRenderedPageBreak/>
        <w:t>less adaptable to markets with weak data governance and low digitization levels (</w:t>
      </w:r>
      <w:proofErr w:type="spellStart"/>
      <w:r w:rsidRPr="00DB4030">
        <w:rPr>
          <w:rFonts w:ascii="Palatino Linotype" w:hAnsi="Palatino Linotype" w:cs="Arial"/>
          <w:sz w:val="22"/>
          <w:szCs w:val="22"/>
          <w:lang w:val="en-GB"/>
        </w:rPr>
        <w:t>Veuger</w:t>
      </w:r>
      <w:proofErr w:type="spellEnd"/>
      <w:r w:rsidRPr="00DB4030">
        <w:rPr>
          <w:rFonts w:ascii="Palatino Linotype" w:hAnsi="Palatino Linotype" w:cs="Arial"/>
          <w:sz w:val="22"/>
          <w:szCs w:val="22"/>
          <w:lang w:val="en-GB"/>
        </w:rPr>
        <w:t xml:space="preserve">, 2020; </w:t>
      </w:r>
      <w:proofErr w:type="spellStart"/>
      <w:r w:rsidRPr="00DB4030">
        <w:rPr>
          <w:rFonts w:ascii="Palatino Linotype" w:hAnsi="Palatino Linotype" w:cs="Arial"/>
          <w:sz w:val="22"/>
          <w:szCs w:val="22"/>
          <w:lang w:val="en-GB"/>
        </w:rPr>
        <w:t>Konashevych</w:t>
      </w:r>
      <w:proofErr w:type="spellEnd"/>
      <w:r w:rsidRPr="00DB4030">
        <w:rPr>
          <w:rFonts w:ascii="Palatino Linotype" w:hAnsi="Palatino Linotype" w:cs="Arial"/>
          <w:sz w:val="22"/>
          <w:szCs w:val="22"/>
          <w:lang w:val="en-GB"/>
        </w:rPr>
        <w:t>, 2020). Thus, while international standards provide a normative benchmark, their practical translation into developing-country contexts remains uneven.</w:t>
      </w:r>
    </w:p>
    <w:p w14:paraId="327F5D90" w14:textId="182FF9E8" w:rsidR="008464E9"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Technological innovations (especially GIS, blockchain, big data analytics, and automated valuation models (AVMs)) have been widely promoted as enablers of transparency and precision in valuation practice (</w:t>
      </w:r>
      <w:proofErr w:type="spellStart"/>
      <w:r w:rsidRPr="00DB4030">
        <w:rPr>
          <w:rFonts w:ascii="Palatino Linotype" w:hAnsi="Palatino Linotype" w:cs="Arial"/>
          <w:sz w:val="22"/>
          <w:szCs w:val="22"/>
          <w:lang w:val="en-GB"/>
        </w:rPr>
        <w:t>Grybauskas</w:t>
      </w:r>
      <w:proofErr w:type="spellEnd"/>
      <w:r w:rsidRPr="00DB4030">
        <w:rPr>
          <w:rFonts w:ascii="Palatino Linotype" w:hAnsi="Palatino Linotype" w:cs="Arial"/>
          <w:sz w:val="22"/>
          <w:szCs w:val="22"/>
          <w:lang w:val="en-GB"/>
        </w:rPr>
        <w:t xml:space="preserve"> et al., 2021;</w:t>
      </w:r>
      <w:r w:rsidR="005E44FF" w:rsidRPr="00DB4030">
        <w:rPr>
          <w:rFonts w:ascii="Palatino Linotype" w:hAnsi="Palatino Linotype"/>
          <w:sz w:val="22"/>
          <w:szCs w:val="22"/>
        </w:rPr>
        <w:t xml:space="preserve"> </w:t>
      </w:r>
      <w:r w:rsidR="005E44FF" w:rsidRPr="00DB4030">
        <w:rPr>
          <w:rFonts w:ascii="Palatino Linotype" w:hAnsi="Palatino Linotype" w:cs="Arial"/>
          <w:sz w:val="22"/>
          <w:szCs w:val="22"/>
          <w:lang w:val="en-GB"/>
        </w:rPr>
        <w:t>Cheruiyot and Gamede, 2024;</w:t>
      </w:r>
      <w:r w:rsidRPr="00DB4030">
        <w:rPr>
          <w:rFonts w:ascii="Palatino Linotype" w:hAnsi="Palatino Linotype" w:cs="Arial"/>
          <w:sz w:val="22"/>
          <w:szCs w:val="22"/>
          <w:lang w:val="en-GB"/>
        </w:rPr>
        <w:t xml:space="preserve"> </w:t>
      </w:r>
      <w:proofErr w:type="spellStart"/>
      <w:r w:rsidRPr="00DB4030">
        <w:rPr>
          <w:rFonts w:ascii="Palatino Linotype" w:hAnsi="Palatino Linotype" w:cs="Arial"/>
          <w:sz w:val="22"/>
          <w:szCs w:val="22"/>
          <w:lang w:val="en-GB"/>
        </w:rPr>
        <w:t>Seketeme</w:t>
      </w:r>
      <w:proofErr w:type="spellEnd"/>
      <w:r w:rsidRPr="00DB4030">
        <w:rPr>
          <w:rFonts w:ascii="Palatino Linotype" w:hAnsi="Palatino Linotype" w:cs="Arial"/>
          <w:sz w:val="22"/>
          <w:szCs w:val="22"/>
          <w:lang w:val="en-GB"/>
        </w:rPr>
        <w:t xml:space="preserve"> &amp; </w:t>
      </w:r>
      <w:proofErr w:type="spellStart"/>
      <w:r w:rsidRPr="00DB4030">
        <w:rPr>
          <w:rFonts w:ascii="Palatino Linotype" w:hAnsi="Palatino Linotype" w:cs="Arial"/>
          <w:sz w:val="22"/>
          <w:szCs w:val="22"/>
          <w:lang w:val="en-GB"/>
        </w:rPr>
        <w:t>Munshifwa</w:t>
      </w:r>
      <w:proofErr w:type="spellEnd"/>
      <w:r w:rsidRPr="00DB4030">
        <w:rPr>
          <w:rFonts w:ascii="Palatino Linotype" w:hAnsi="Palatino Linotype" w:cs="Arial"/>
          <w:sz w:val="22"/>
          <w:szCs w:val="22"/>
          <w:lang w:val="en-GB"/>
        </w:rPr>
        <w:t>, 2025). Empirical evidence suggests that such tools can reduce valuation bias and improve market analytics. Yet, their deployment is frequently constrained by inadequate infrastructure, limited digital skills, and regulatory uncertainty. The technology–practice gap is particularly evident in Sub-Saharan Africa, where digitization efforts have not always been matched by institutional reform or professional capacity-building.</w:t>
      </w:r>
    </w:p>
    <w:p w14:paraId="6EEFAD68"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233E4898" w14:textId="57B1E9E3" w:rsidR="008464E9" w:rsidRPr="00DB4030"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Persistent challenges around data fragmentation, ownership, and professional trust continue to hinder open data environments. Awuah et al. (2017) and </w:t>
      </w:r>
      <w:proofErr w:type="spellStart"/>
      <w:r w:rsidRPr="00DB4030">
        <w:rPr>
          <w:rFonts w:ascii="Palatino Linotype" w:hAnsi="Palatino Linotype" w:cs="Arial"/>
          <w:sz w:val="22"/>
          <w:szCs w:val="22"/>
          <w:lang w:val="en-GB"/>
        </w:rPr>
        <w:t>Cheloti</w:t>
      </w:r>
      <w:proofErr w:type="spellEnd"/>
      <w:r w:rsidRPr="00DB4030">
        <w:rPr>
          <w:rFonts w:ascii="Palatino Linotype" w:hAnsi="Palatino Linotype" w:cs="Arial"/>
          <w:sz w:val="22"/>
          <w:szCs w:val="22"/>
          <w:lang w:val="en-GB"/>
        </w:rPr>
        <w:t xml:space="preserve"> and Mooya (2022) associate valuation inaccuracies and market volatility with professionals’ reluctance to share transaction data. These studies converge on the view that competition and mistrust discourage collaboration, but they differ on whether these are primarily structural (institutional weakness) or behavioural (professional culture) problems. Wang and Xiao (2024) further highlight the role of perceived data control and anonymity in shaping willingness to share, while Olapade and Olaleye (2019) observe that practitioners prefer controlled data assemblage: a semi-open model that balances transparency with competitive protection. This preference raises questions about whether “openness” should always be interpreted as full public accessibility or rather as structured sharing within trusted professional networks.</w:t>
      </w:r>
    </w:p>
    <w:p w14:paraId="1ACDB17C" w14:textId="7449D2EB" w:rsidR="008464E9"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In African contexts, barriers to open valuation data include confidentiality fears, high digital adoption costs, and weak enforcement of information governance laws (Olapade &amp; Olaleye, 2019). Countries such as Eswatini and Botswana illustrate these systemic constraints: regulatory inconsistency, poor digital readiness, and lack of centralized property databases undermine compliance and the comparability of valuation outcomes (Fassnacht et al., 2024; Oladokun &amp; Mooya, 2024). These conditions produce what Oladokun and Mooya (2024) term “data enclaves,” where information remains siloed within institutions, limiting collective learning and transparency.</w:t>
      </w:r>
    </w:p>
    <w:p w14:paraId="7D1F0D09"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120D13D4" w14:textId="762DCC7F" w:rsidR="008464E9"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Recent African scholarship calls for harmonized data governance frameworks, targeted investment in digital infrastructure, and professional upskilling to support collaborative data environments (Oladokun &amp; Mooya, 2024; </w:t>
      </w:r>
      <w:proofErr w:type="spellStart"/>
      <w:r w:rsidRPr="00DB4030">
        <w:rPr>
          <w:rFonts w:ascii="Palatino Linotype" w:hAnsi="Palatino Linotype" w:cs="Arial"/>
          <w:sz w:val="22"/>
          <w:szCs w:val="22"/>
          <w:lang w:val="en-GB"/>
        </w:rPr>
        <w:t>Seketeme</w:t>
      </w:r>
      <w:proofErr w:type="spellEnd"/>
      <w:r w:rsidRPr="00DB4030">
        <w:rPr>
          <w:rFonts w:ascii="Palatino Linotype" w:hAnsi="Palatino Linotype" w:cs="Arial"/>
          <w:sz w:val="22"/>
          <w:szCs w:val="22"/>
          <w:lang w:val="en-GB"/>
        </w:rPr>
        <w:t xml:space="preserve"> &amp; </w:t>
      </w:r>
      <w:proofErr w:type="spellStart"/>
      <w:r w:rsidRPr="00DB4030">
        <w:rPr>
          <w:rFonts w:ascii="Palatino Linotype" w:hAnsi="Palatino Linotype" w:cs="Arial"/>
          <w:sz w:val="22"/>
          <w:szCs w:val="22"/>
          <w:lang w:val="en-GB"/>
        </w:rPr>
        <w:t>Munshifwa</w:t>
      </w:r>
      <w:proofErr w:type="spellEnd"/>
      <w:r w:rsidRPr="00DB4030">
        <w:rPr>
          <w:rFonts w:ascii="Palatino Linotype" w:hAnsi="Palatino Linotype" w:cs="Arial"/>
          <w:sz w:val="22"/>
          <w:szCs w:val="22"/>
          <w:lang w:val="en-GB"/>
        </w:rPr>
        <w:t>, 2025). However, the discourse remains largely prescriptive; empirical studies quantifying the outcomes of data-sharing initiatives in African property markets are still scarce. Awuah et al. (2017) and Ackermann et al. (2021) caution that while incentives and policy reforms are essential, they are insufficient without cultural shifts that build trust, reciprocity, and ethical accountability among valuers. Busby et al. (2020) similarly argue that entrenched reliance on private data sources reflects not only market immaturity but also the absence of credible institutional custodianship.</w:t>
      </w:r>
    </w:p>
    <w:p w14:paraId="2FE792A3"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65D32101" w14:textId="4C0C670A" w:rsidR="008464E9" w:rsidRPr="00DB4030" w:rsidRDefault="008464E9"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Overall, the literature points to a consensus that open data is indispensable for valuation transparency, yet there is less agreement on the mechanisms for achieving it in developing </w:t>
      </w:r>
      <w:r w:rsidRPr="00DB4030">
        <w:rPr>
          <w:rFonts w:ascii="Palatino Linotype" w:hAnsi="Palatino Linotype" w:cs="Arial"/>
          <w:sz w:val="22"/>
          <w:szCs w:val="22"/>
          <w:lang w:val="en-GB"/>
        </w:rPr>
        <w:lastRenderedPageBreak/>
        <w:t>contexts. The critical challenge lies in aligning technological capability, institutional governance, and professional norms to create an enabling environment for reliable and transparent valuation data systems.</w:t>
      </w:r>
    </w:p>
    <w:p w14:paraId="198BF871" w14:textId="77777777" w:rsidR="00DB4030" w:rsidRDefault="00DB4030" w:rsidP="0099485C">
      <w:pPr>
        <w:spacing w:after="0" w:line="240" w:lineRule="auto"/>
        <w:jc w:val="both"/>
        <w:rPr>
          <w:rFonts w:ascii="Palatino Linotype" w:hAnsi="Palatino Linotype" w:cs="Arial"/>
          <w:sz w:val="22"/>
          <w:szCs w:val="22"/>
          <w:lang w:val="en-GB"/>
        </w:rPr>
      </w:pPr>
    </w:p>
    <w:p w14:paraId="02266A7E" w14:textId="54960007" w:rsidR="00527DF5" w:rsidRPr="00DB4030" w:rsidRDefault="00527DF5" w:rsidP="0099485C">
      <w:pPr>
        <w:spacing w:after="0" w:line="240" w:lineRule="auto"/>
        <w:jc w:val="both"/>
        <w:rPr>
          <w:rFonts w:ascii="Palatino Linotype" w:hAnsi="Palatino Linotype" w:cs="Arial"/>
          <w:b/>
          <w:bCs/>
          <w:lang w:val="en-GB"/>
        </w:rPr>
      </w:pPr>
      <w:r w:rsidRPr="00DB4030">
        <w:rPr>
          <w:rFonts w:ascii="Palatino Linotype" w:hAnsi="Palatino Linotype" w:cs="Arial"/>
          <w:b/>
          <w:bCs/>
          <w:lang w:val="en-GB"/>
        </w:rPr>
        <w:t>Methodology</w:t>
      </w:r>
    </w:p>
    <w:p w14:paraId="4B2A7978"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2859C031" w14:textId="4386092C" w:rsidR="00C17430" w:rsidRPr="00DB4030" w:rsidRDefault="00C17430"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To explore the willingness of Eswatini’s property valuers toward centralised data sharing, a descriptive survey design was utilized. </w:t>
      </w:r>
      <w:r w:rsidR="00671C4B" w:rsidRPr="00DB4030">
        <w:rPr>
          <w:rFonts w:ascii="Palatino Linotype" w:hAnsi="Palatino Linotype" w:cs="Arial"/>
          <w:sz w:val="22"/>
          <w:szCs w:val="22"/>
          <w:lang w:val="en-GB"/>
        </w:rPr>
        <w:t xml:space="preserve">The survey method maximized coverage and convenience by reaching all eligible participants regardless of location. </w:t>
      </w:r>
      <w:r w:rsidRPr="00DB4030">
        <w:rPr>
          <w:rFonts w:ascii="Palatino Linotype" w:hAnsi="Palatino Linotype" w:cs="Arial"/>
          <w:sz w:val="22"/>
          <w:szCs w:val="22"/>
          <w:lang w:val="en-GB"/>
        </w:rPr>
        <w:t xml:space="preserve">A self-administered </w:t>
      </w:r>
      <w:r w:rsidR="00671C4B" w:rsidRPr="00DB4030">
        <w:rPr>
          <w:rFonts w:ascii="Palatino Linotype" w:hAnsi="Palatino Linotype" w:cs="Arial"/>
          <w:sz w:val="22"/>
          <w:szCs w:val="22"/>
          <w:lang w:val="en-GB"/>
        </w:rPr>
        <w:t xml:space="preserve">semi-structured </w:t>
      </w:r>
      <w:r w:rsidRPr="00DB4030">
        <w:rPr>
          <w:rFonts w:ascii="Palatino Linotype" w:hAnsi="Palatino Linotype" w:cs="Arial"/>
          <w:sz w:val="22"/>
          <w:szCs w:val="22"/>
          <w:lang w:val="en-GB"/>
        </w:rPr>
        <w:t xml:space="preserve">electronic questionnaire </w:t>
      </w:r>
      <w:r w:rsidR="00671C4B" w:rsidRPr="00DB4030">
        <w:rPr>
          <w:rFonts w:ascii="Palatino Linotype" w:hAnsi="Palatino Linotype" w:cs="Arial"/>
          <w:sz w:val="22"/>
          <w:szCs w:val="22"/>
          <w:lang w:val="en-GB"/>
        </w:rPr>
        <w:t>was used to collect data</w:t>
      </w:r>
      <w:r w:rsidRPr="00DB4030">
        <w:rPr>
          <w:rFonts w:ascii="Palatino Linotype" w:hAnsi="Palatino Linotype" w:cs="Arial"/>
          <w:sz w:val="22"/>
          <w:szCs w:val="22"/>
          <w:lang w:val="en-GB"/>
        </w:rPr>
        <w:t xml:space="preserve">. </w:t>
      </w:r>
      <w:r w:rsidR="00D57EBC" w:rsidRPr="00DB4030">
        <w:rPr>
          <w:rFonts w:ascii="Palatino Linotype" w:hAnsi="Palatino Linotype" w:cs="Arial"/>
          <w:sz w:val="22"/>
          <w:szCs w:val="22"/>
          <w:lang w:val="en-GB"/>
        </w:rPr>
        <w:t>A semi structured survey</w:t>
      </w:r>
      <w:r w:rsidRPr="00DB4030">
        <w:rPr>
          <w:rFonts w:ascii="Palatino Linotype" w:hAnsi="Palatino Linotype" w:cs="Arial"/>
          <w:sz w:val="22"/>
          <w:szCs w:val="22"/>
          <w:lang w:val="en-GB"/>
        </w:rPr>
        <w:t xml:space="preserve"> provid</w:t>
      </w:r>
      <w:r w:rsidR="00D57EBC" w:rsidRPr="00DB4030">
        <w:rPr>
          <w:rFonts w:ascii="Palatino Linotype" w:hAnsi="Palatino Linotype" w:cs="Arial"/>
          <w:sz w:val="22"/>
          <w:szCs w:val="22"/>
          <w:lang w:val="en-GB"/>
        </w:rPr>
        <w:t>ed</w:t>
      </w:r>
      <w:r w:rsidRPr="00DB4030">
        <w:rPr>
          <w:rFonts w:ascii="Palatino Linotype" w:hAnsi="Palatino Linotype" w:cs="Arial"/>
          <w:sz w:val="22"/>
          <w:szCs w:val="22"/>
          <w:lang w:val="en-GB"/>
        </w:rPr>
        <w:t xml:space="preserve"> both measurable findings and professional insights (K</w:t>
      </w:r>
      <w:r w:rsidR="00D57EBC" w:rsidRPr="00DB4030">
        <w:rPr>
          <w:rFonts w:ascii="Palatino Linotype" w:hAnsi="Palatino Linotype" w:cs="Arial"/>
          <w:sz w:val="22"/>
          <w:szCs w:val="22"/>
          <w:lang w:val="en-GB"/>
        </w:rPr>
        <w:t>han</w:t>
      </w:r>
      <w:r w:rsidRPr="00DB4030">
        <w:rPr>
          <w:rFonts w:ascii="Palatino Linotype" w:hAnsi="Palatino Linotype" w:cs="Arial"/>
          <w:sz w:val="22"/>
          <w:szCs w:val="22"/>
          <w:lang w:val="en-GB"/>
        </w:rPr>
        <w:t xml:space="preserve"> et al., 2024).</w:t>
      </w:r>
    </w:p>
    <w:p w14:paraId="210390E2" w14:textId="29C062AB" w:rsidR="00C17430" w:rsidRDefault="00671C4B"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It is acknowledged that, in very small populations, in-depth qualitative interviews can sometimes uncover a greater diversity of views and richer narrative detail. </w:t>
      </w:r>
      <w:r w:rsidR="00C17430" w:rsidRPr="00DB4030">
        <w:rPr>
          <w:rFonts w:ascii="Palatino Linotype" w:hAnsi="Palatino Linotype" w:cs="Arial"/>
          <w:sz w:val="22"/>
          <w:szCs w:val="22"/>
          <w:lang w:val="en-GB"/>
        </w:rPr>
        <w:t xml:space="preserve">Although </w:t>
      </w:r>
      <w:r w:rsidRPr="00DB4030">
        <w:rPr>
          <w:rFonts w:ascii="Palatino Linotype" w:hAnsi="Palatino Linotype" w:cs="Arial"/>
          <w:sz w:val="22"/>
          <w:szCs w:val="22"/>
          <w:lang w:val="en-GB"/>
        </w:rPr>
        <w:t>the study was based on a small</w:t>
      </w:r>
      <w:r w:rsidR="00C17430" w:rsidRPr="00DB4030">
        <w:rPr>
          <w:rFonts w:ascii="Palatino Linotype" w:hAnsi="Palatino Linotype" w:cs="Arial"/>
          <w:sz w:val="22"/>
          <w:szCs w:val="22"/>
          <w:lang w:val="en-GB"/>
        </w:rPr>
        <w:t xml:space="preserve"> population of just 28 valuers, </w:t>
      </w:r>
      <w:r w:rsidRPr="00DB4030">
        <w:rPr>
          <w:rFonts w:ascii="Palatino Linotype" w:hAnsi="Palatino Linotype" w:cs="Arial"/>
          <w:sz w:val="22"/>
          <w:szCs w:val="22"/>
          <w:lang w:val="en-GB"/>
        </w:rPr>
        <w:t xml:space="preserve">which justifies the collection of data through interviews </w:t>
      </w:r>
      <w:r w:rsidR="00C17430" w:rsidRPr="00DB4030">
        <w:rPr>
          <w:rFonts w:ascii="Palatino Linotype" w:hAnsi="Palatino Linotype" w:cs="Arial"/>
          <w:sz w:val="22"/>
          <w:szCs w:val="22"/>
          <w:lang w:val="en-GB"/>
        </w:rPr>
        <w:t xml:space="preserve">the choice of a </w:t>
      </w:r>
      <w:r w:rsidRPr="00DB4030">
        <w:rPr>
          <w:rFonts w:ascii="Palatino Linotype" w:hAnsi="Palatino Linotype" w:cs="Arial"/>
          <w:sz w:val="22"/>
          <w:szCs w:val="22"/>
          <w:lang w:val="en-GB"/>
        </w:rPr>
        <w:t>semi-</w:t>
      </w:r>
      <w:r w:rsidR="00C17430" w:rsidRPr="00DB4030">
        <w:rPr>
          <w:rFonts w:ascii="Palatino Linotype" w:hAnsi="Palatino Linotype" w:cs="Arial"/>
          <w:sz w:val="22"/>
          <w:szCs w:val="22"/>
          <w:lang w:val="en-GB"/>
        </w:rPr>
        <w:t xml:space="preserve">structured survey over interviews was deliberate and </w:t>
      </w:r>
      <w:r w:rsidR="00DB4030" w:rsidRPr="00DB4030">
        <w:rPr>
          <w:rFonts w:ascii="Palatino Linotype" w:hAnsi="Palatino Linotype" w:cs="Arial"/>
          <w:sz w:val="22"/>
          <w:szCs w:val="22"/>
          <w:lang w:val="en-GB"/>
        </w:rPr>
        <w:t>context driven</w:t>
      </w:r>
      <w:r w:rsidR="00C17430" w:rsidRPr="00DB4030">
        <w:rPr>
          <w:rFonts w:ascii="Palatino Linotype" w:hAnsi="Palatino Linotype" w:cs="Arial"/>
          <w:sz w:val="22"/>
          <w:szCs w:val="22"/>
          <w:lang w:val="en-GB"/>
        </w:rPr>
        <w:t xml:space="preserve">. </w:t>
      </w:r>
      <w:r w:rsidR="00066944" w:rsidRPr="00DB4030">
        <w:rPr>
          <w:rFonts w:ascii="Palatino Linotype" w:hAnsi="Palatino Linotype" w:cs="Arial"/>
          <w:sz w:val="22"/>
          <w:szCs w:val="22"/>
          <w:lang w:val="en-GB"/>
        </w:rPr>
        <w:t>According to Evans and Mathur (2018), online</w:t>
      </w:r>
      <w:r w:rsidR="00C17430" w:rsidRPr="00DB4030">
        <w:rPr>
          <w:rFonts w:ascii="Palatino Linotype" w:hAnsi="Palatino Linotype" w:cs="Arial"/>
          <w:sz w:val="22"/>
          <w:szCs w:val="22"/>
          <w:lang w:val="en-GB"/>
        </w:rPr>
        <w:t xml:space="preserve"> survey</w:t>
      </w:r>
      <w:r w:rsidR="00066944" w:rsidRPr="00DB4030">
        <w:rPr>
          <w:rFonts w:ascii="Palatino Linotype" w:hAnsi="Palatino Linotype" w:cs="Arial"/>
          <w:sz w:val="22"/>
          <w:szCs w:val="22"/>
          <w:lang w:val="en-GB"/>
        </w:rPr>
        <w:t>s are</w:t>
      </w:r>
      <w:r w:rsidR="00C17430" w:rsidRPr="00DB4030">
        <w:rPr>
          <w:rFonts w:ascii="Palatino Linotype" w:hAnsi="Palatino Linotype" w:cs="Arial"/>
          <w:sz w:val="22"/>
          <w:szCs w:val="22"/>
          <w:lang w:val="en-GB"/>
        </w:rPr>
        <w:t xml:space="preserve"> flexible </w:t>
      </w:r>
      <w:r w:rsidR="00066944" w:rsidRPr="00DB4030">
        <w:rPr>
          <w:rFonts w:ascii="Palatino Linotype" w:hAnsi="Palatino Linotype" w:cs="Arial"/>
          <w:sz w:val="22"/>
          <w:szCs w:val="22"/>
          <w:lang w:val="en-GB"/>
        </w:rPr>
        <w:t xml:space="preserve">as such, </w:t>
      </w:r>
      <w:proofErr w:type="gramStart"/>
      <w:r w:rsidRPr="00DB4030">
        <w:rPr>
          <w:rFonts w:ascii="Palatino Linotype" w:hAnsi="Palatino Linotype" w:cs="Arial"/>
          <w:sz w:val="22"/>
          <w:szCs w:val="22"/>
          <w:lang w:val="en-GB"/>
        </w:rPr>
        <w:t>is</w:t>
      </w:r>
      <w:proofErr w:type="gramEnd"/>
      <w:r w:rsidRPr="00DB4030">
        <w:rPr>
          <w:rFonts w:ascii="Palatino Linotype" w:hAnsi="Palatino Linotype" w:cs="Arial"/>
          <w:sz w:val="22"/>
          <w:szCs w:val="22"/>
          <w:lang w:val="en-GB"/>
        </w:rPr>
        <w:t xml:space="preserve"> was adopted in this study since it</w:t>
      </w:r>
      <w:r w:rsidR="00066944" w:rsidRPr="00DB4030">
        <w:rPr>
          <w:rFonts w:ascii="Palatino Linotype" w:hAnsi="Palatino Linotype" w:cs="Arial"/>
          <w:sz w:val="22"/>
          <w:szCs w:val="22"/>
          <w:lang w:val="en-GB"/>
        </w:rPr>
        <w:t xml:space="preserve"> </w:t>
      </w:r>
      <w:r w:rsidR="00C17430" w:rsidRPr="00DB4030">
        <w:rPr>
          <w:rFonts w:ascii="Palatino Linotype" w:hAnsi="Palatino Linotype" w:cs="Arial"/>
          <w:sz w:val="22"/>
          <w:szCs w:val="22"/>
          <w:lang w:val="en-GB"/>
        </w:rPr>
        <w:t>allowed participants from diverse geographic locations to respond conveniently and candidly</w:t>
      </w:r>
      <w:r w:rsidR="00066944" w:rsidRPr="00DB4030">
        <w:rPr>
          <w:rFonts w:ascii="Palatino Linotype" w:hAnsi="Palatino Linotype" w:cs="Arial"/>
          <w:sz w:val="22"/>
          <w:szCs w:val="22"/>
          <w:lang w:val="en-GB"/>
        </w:rPr>
        <w:t xml:space="preserve"> and</w:t>
      </w:r>
      <w:r w:rsidR="00C17430" w:rsidRPr="00DB4030">
        <w:rPr>
          <w:rFonts w:ascii="Palatino Linotype" w:hAnsi="Palatino Linotype" w:cs="Arial"/>
          <w:sz w:val="22"/>
          <w:szCs w:val="22"/>
          <w:lang w:val="en-GB"/>
        </w:rPr>
        <w:t xml:space="preserve"> minimizing logistical barriers.</w:t>
      </w:r>
      <w:r w:rsidR="00C96264" w:rsidRPr="00DB4030">
        <w:rPr>
          <w:rFonts w:ascii="Palatino Linotype" w:hAnsi="Palatino Linotype"/>
          <w:sz w:val="22"/>
          <w:szCs w:val="22"/>
        </w:rPr>
        <w:t xml:space="preserve"> </w:t>
      </w:r>
      <w:r w:rsidR="00C96264" w:rsidRPr="00DB4030">
        <w:rPr>
          <w:rFonts w:ascii="Palatino Linotype" w:hAnsi="Palatino Linotype" w:cs="Arial"/>
          <w:sz w:val="22"/>
          <w:szCs w:val="22"/>
          <w:lang w:val="en-GB"/>
        </w:rPr>
        <w:t>Furthermore, survey’s anonymity and flexibility encouraged open participation, whereas structured interviews may have introduced bias or suppressed some perspectives (</w:t>
      </w:r>
      <w:r w:rsidR="00F508E7" w:rsidRPr="00DB4030">
        <w:rPr>
          <w:rFonts w:ascii="Palatino Linotype" w:hAnsi="Palatino Linotype" w:cs="Arial"/>
          <w:sz w:val="22"/>
          <w:szCs w:val="22"/>
          <w:lang w:val="en-GB"/>
        </w:rPr>
        <w:t>Bailer, 2014</w:t>
      </w:r>
      <w:r w:rsidR="00C96264" w:rsidRPr="00DB4030">
        <w:rPr>
          <w:rFonts w:ascii="Palatino Linotype" w:hAnsi="Palatino Linotype" w:cs="Arial"/>
          <w:sz w:val="22"/>
          <w:szCs w:val="22"/>
          <w:lang w:val="en-GB"/>
        </w:rPr>
        <w:t>).</w:t>
      </w:r>
    </w:p>
    <w:p w14:paraId="5F40441F"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261139D9" w14:textId="5A0B92CF" w:rsidR="00C96264" w:rsidRDefault="00C96264"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Future research can further deepen these findings through follow-up interviews or focus groups, but for this foundational investigation (where sector-wide buy-in, transparency, and logistical practicality were paramount) the survey approach was justified as the best-fit method for Eswatini’s professional landscape.​​</w:t>
      </w:r>
    </w:p>
    <w:p w14:paraId="3511BFEA"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59283FCE" w14:textId="6036AC1F" w:rsidR="00C17430" w:rsidRDefault="00C17430"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 xml:space="preserve">The small population size presents clear statistical challenges. </w:t>
      </w:r>
      <w:r w:rsidR="008464E9" w:rsidRPr="00DB4030">
        <w:rPr>
          <w:rFonts w:ascii="Palatino Linotype" w:hAnsi="Palatino Linotype" w:cs="Arial"/>
          <w:sz w:val="22"/>
          <w:szCs w:val="22"/>
          <w:lang w:val="en-GB"/>
        </w:rPr>
        <w:t>Even though</w:t>
      </w:r>
      <w:r w:rsidRPr="00DB4030">
        <w:rPr>
          <w:rFonts w:ascii="Palatino Linotype" w:hAnsi="Palatino Linotype" w:cs="Arial"/>
          <w:sz w:val="22"/>
          <w:szCs w:val="22"/>
          <w:lang w:val="en-GB"/>
        </w:rPr>
        <w:t xml:space="preserve"> census-style surveying allows for maximum inclusion, </w:t>
      </w:r>
      <w:r w:rsidR="00F508E7" w:rsidRPr="00DB4030">
        <w:rPr>
          <w:rFonts w:ascii="Palatino Linotype" w:hAnsi="Palatino Linotype" w:cs="Arial"/>
          <w:sz w:val="22"/>
          <w:szCs w:val="22"/>
          <w:lang w:val="en-GB"/>
        </w:rPr>
        <w:t>the</w:t>
      </w:r>
      <w:r w:rsidRPr="00DB4030">
        <w:rPr>
          <w:rFonts w:ascii="Palatino Linotype" w:hAnsi="Palatino Linotype" w:cs="Arial"/>
          <w:sz w:val="22"/>
          <w:szCs w:val="22"/>
          <w:lang w:val="en-GB"/>
        </w:rPr>
        <w:t xml:space="preserve"> confidence intervals around estimates remain relatively wide </w:t>
      </w:r>
      <w:r w:rsidR="00F508E7" w:rsidRPr="00DB4030">
        <w:rPr>
          <w:rFonts w:ascii="Palatino Linotype" w:hAnsi="Palatino Linotype" w:cs="Arial"/>
          <w:sz w:val="22"/>
          <w:szCs w:val="22"/>
          <w:lang w:val="en-GB"/>
        </w:rPr>
        <w:t>hence</w:t>
      </w:r>
      <w:r w:rsidRPr="00DB4030">
        <w:rPr>
          <w:rFonts w:ascii="Palatino Linotype" w:hAnsi="Palatino Linotype" w:cs="Arial"/>
          <w:sz w:val="22"/>
          <w:szCs w:val="22"/>
          <w:lang w:val="en-GB"/>
        </w:rPr>
        <w:t xml:space="preserve"> quantitative generalizability is limited. While this may affect the precision of proportions, surveying everyone offered the best achievable coverage for </w:t>
      </w:r>
      <w:r w:rsidR="00671C4B" w:rsidRPr="00DB4030">
        <w:rPr>
          <w:rFonts w:ascii="Palatino Linotype" w:hAnsi="Palatino Linotype" w:cs="Arial"/>
          <w:sz w:val="22"/>
          <w:szCs w:val="22"/>
          <w:lang w:val="en-GB"/>
        </w:rPr>
        <w:t xml:space="preserve">Eswatini’s national </w:t>
      </w:r>
      <w:r w:rsidRPr="00DB4030">
        <w:rPr>
          <w:rFonts w:ascii="Palatino Linotype" w:hAnsi="Palatino Linotype" w:cs="Arial"/>
          <w:sz w:val="22"/>
          <w:szCs w:val="22"/>
          <w:lang w:val="en-GB"/>
        </w:rPr>
        <w:t xml:space="preserve">context. </w:t>
      </w:r>
    </w:p>
    <w:p w14:paraId="6DA592D6" w14:textId="77777777" w:rsidR="00DB4030" w:rsidRPr="00DB4030" w:rsidRDefault="00DB4030" w:rsidP="0099485C">
      <w:pPr>
        <w:spacing w:after="0" w:line="240" w:lineRule="auto"/>
        <w:jc w:val="both"/>
        <w:rPr>
          <w:rFonts w:ascii="Palatino Linotype" w:hAnsi="Palatino Linotype" w:cs="Arial"/>
          <w:sz w:val="22"/>
          <w:szCs w:val="22"/>
          <w:lang w:val="en-GB"/>
        </w:rPr>
      </w:pPr>
    </w:p>
    <w:p w14:paraId="20F2C3AF" w14:textId="0B14AA67" w:rsidR="00C17430" w:rsidRPr="00DB4030" w:rsidRDefault="002E7495"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Q</w:t>
      </w:r>
      <w:r w:rsidR="00C17430" w:rsidRPr="00DB4030">
        <w:rPr>
          <w:rFonts w:ascii="Palatino Linotype" w:hAnsi="Palatino Linotype" w:cs="Arial"/>
          <w:sz w:val="22"/>
          <w:szCs w:val="22"/>
          <w:lang w:val="en-GB"/>
        </w:rPr>
        <w:t xml:space="preserve">ualitative responses were used mainly to illustrate and contextualize statistical findings, and were not subjected to a formal, systematic qualitative analysis (such as coding or theme development), nor was there an explicit process of methodological triangulation. As a result, the insights from these narrative responses enhanced interpretation of the quantitative data but were not </w:t>
      </w:r>
      <w:r w:rsidR="00C96264" w:rsidRPr="00DB4030">
        <w:rPr>
          <w:rFonts w:ascii="Palatino Linotype" w:hAnsi="Palatino Linotype" w:cs="Arial"/>
          <w:sz w:val="22"/>
          <w:szCs w:val="22"/>
          <w:lang w:val="en-GB"/>
        </w:rPr>
        <w:t>analysed</w:t>
      </w:r>
      <w:r w:rsidR="00C17430" w:rsidRPr="00DB4030">
        <w:rPr>
          <w:rFonts w:ascii="Palatino Linotype" w:hAnsi="Palatino Linotype" w:cs="Arial"/>
          <w:sz w:val="22"/>
          <w:szCs w:val="22"/>
          <w:lang w:val="en-GB"/>
        </w:rPr>
        <w:t xml:space="preserve"> or reported as full qualitative results.</w:t>
      </w:r>
    </w:p>
    <w:p w14:paraId="56984C81" w14:textId="7AAC902D" w:rsidR="00AE697E" w:rsidRPr="00DB4030" w:rsidRDefault="00AE697E" w:rsidP="0099485C">
      <w:pPr>
        <w:spacing w:after="0" w:line="240" w:lineRule="auto"/>
        <w:jc w:val="both"/>
        <w:rPr>
          <w:rFonts w:ascii="Palatino Linotype" w:hAnsi="Palatino Linotype" w:cs="Arial"/>
          <w:sz w:val="22"/>
          <w:szCs w:val="22"/>
          <w:lang w:val="en-GB"/>
        </w:rPr>
      </w:pPr>
      <w:r w:rsidRPr="00DB4030">
        <w:rPr>
          <w:rFonts w:ascii="Palatino Linotype" w:hAnsi="Palatino Linotype" w:cs="Arial"/>
          <w:sz w:val="22"/>
          <w:szCs w:val="22"/>
          <w:lang w:val="en-GB"/>
        </w:rPr>
        <w:t>Ethical considerations were strictly adhered to. Ethical clearance was obtained from the University of Pretoria prior to data collection. Participants provided informed consent, and data protection, confidentiality, anonymity, and voluntary participation were maintained in line with European Commission (2021) guidelines.</w:t>
      </w:r>
    </w:p>
    <w:p w14:paraId="71F4FA21" w14:textId="77777777" w:rsidR="00DB4030" w:rsidRDefault="00DB4030" w:rsidP="0099485C">
      <w:pPr>
        <w:spacing w:after="0" w:line="240" w:lineRule="auto"/>
        <w:jc w:val="both"/>
        <w:rPr>
          <w:rFonts w:ascii="Palatino Linotype" w:hAnsi="Palatino Linotype" w:cs="Arial"/>
          <w:sz w:val="22"/>
          <w:szCs w:val="22"/>
          <w:lang w:val="en-GB"/>
        </w:rPr>
      </w:pPr>
    </w:p>
    <w:p w14:paraId="36924575" w14:textId="35015776" w:rsidR="00527DF5" w:rsidRDefault="003762DE" w:rsidP="0099485C">
      <w:pPr>
        <w:spacing w:after="0" w:line="240" w:lineRule="auto"/>
        <w:jc w:val="both"/>
        <w:rPr>
          <w:rFonts w:ascii="Palatino Linotype" w:hAnsi="Palatino Linotype" w:cs="Arial"/>
          <w:b/>
          <w:bCs/>
          <w:lang w:val="en-GB"/>
        </w:rPr>
      </w:pPr>
      <w:r>
        <w:rPr>
          <w:rFonts w:ascii="Palatino Linotype" w:hAnsi="Palatino Linotype" w:cs="Arial"/>
          <w:b/>
          <w:bCs/>
          <w:lang w:val="en-GB"/>
        </w:rPr>
        <w:br w:type="column"/>
      </w:r>
      <w:r w:rsidR="00527DF5" w:rsidRPr="00DB4030">
        <w:rPr>
          <w:rFonts w:ascii="Palatino Linotype" w:hAnsi="Palatino Linotype" w:cs="Arial"/>
          <w:b/>
          <w:bCs/>
          <w:lang w:val="en-GB"/>
        </w:rPr>
        <w:lastRenderedPageBreak/>
        <w:t>Results and Discussion</w:t>
      </w:r>
    </w:p>
    <w:p w14:paraId="3489CD2F" w14:textId="77777777" w:rsidR="00DB4030" w:rsidRPr="003D2B29" w:rsidRDefault="00DB4030" w:rsidP="0099485C">
      <w:pPr>
        <w:spacing w:after="0" w:line="240" w:lineRule="auto"/>
        <w:jc w:val="both"/>
        <w:rPr>
          <w:rFonts w:ascii="Palatino Linotype" w:hAnsi="Palatino Linotype" w:cs="Arial"/>
          <w:b/>
          <w:bCs/>
          <w:sz w:val="22"/>
          <w:szCs w:val="22"/>
          <w:lang w:val="en-GB"/>
        </w:rPr>
      </w:pPr>
    </w:p>
    <w:p w14:paraId="64EFE5C6" w14:textId="63035A6C" w:rsidR="00BB696D" w:rsidRPr="00DB4030" w:rsidRDefault="00BB696D" w:rsidP="0099485C">
      <w:pPr>
        <w:spacing w:after="0" w:line="240" w:lineRule="auto"/>
        <w:jc w:val="both"/>
        <w:rPr>
          <w:rFonts w:ascii="Palatino Linotype" w:hAnsi="Palatino Linotype" w:cs="Arial"/>
          <w:sz w:val="22"/>
          <w:szCs w:val="22"/>
          <w:lang w:val="en-GB"/>
        </w:rPr>
      </w:pPr>
      <w:bookmarkStart w:id="1" w:name="_Toc203058892"/>
      <w:bookmarkStart w:id="2" w:name="_Toc202294815"/>
      <w:bookmarkStart w:id="3" w:name="_Toc202724964"/>
      <w:r w:rsidRPr="00DB4030">
        <w:rPr>
          <w:rFonts w:ascii="Palatino Linotype" w:hAnsi="Palatino Linotype" w:cs="Arial"/>
          <w:sz w:val="22"/>
          <w:szCs w:val="22"/>
          <w:lang w:val="en-GB"/>
        </w:rPr>
        <w:t>Questionnaires were distributed to all 28 registered practicing valuers in Eswatini. A total of 25 completed questionnaires were returned, yielding an 89% response rate. Two questionnaires were excluded due to incompleteness, leaving 23 valid responses and a usable response rate of 82% (Table 1).</w:t>
      </w:r>
    </w:p>
    <w:p w14:paraId="7FB7FF71" w14:textId="77777777" w:rsidR="003762DE" w:rsidRDefault="003762DE" w:rsidP="0099485C">
      <w:pPr>
        <w:tabs>
          <w:tab w:val="left" w:pos="1134"/>
        </w:tabs>
        <w:spacing w:after="0" w:line="240" w:lineRule="auto"/>
        <w:ind w:left="1134" w:hanging="1134"/>
        <w:jc w:val="both"/>
        <w:rPr>
          <w:rFonts w:ascii="Palatino Linotype" w:eastAsia="Times New Roman" w:hAnsi="Palatino Linotype" w:cs="Arial"/>
          <w:kern w:val="0"/>
          <w:sz w:val="22"/>
          <w:szCs w:val="22"/>
          <w:lang w:val="en-GB"/>
          <w14:ligatures w14:val="none"/>
        </w:rPr>
      </w:pPr>
    </w:p>
    <w:p w14:paraId="1DE6DCFB" w14:textId="0F85165F" w:rsidR="002156F1" w:rsidRPr="009B4EDF" w:rsidRDefault="002156F1"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B4EDF">
        <w:rPr>
          <w:rFonts w:ascii="Palatino Linotype" w:eastAsia="Times New Roman" w:hAnsi="Palatino Linotype" w:cs="Arial"/>
          <w:kern w:val="0"/>
          <w:sz w:val="20"/>
          <w:szCs w:val="20"/>
          <w:lang w:val="en-GB"/>
          <w14:ligatures w14:val="none"/>
        </w:rPr>
        <w:t xml:space="preserve">Table </w:t>
      </w:r>
      <w:r w:rsidRPr="009B4EDF">
        <w:rPr>
          <w:rFonts w:ascii="Palatino Linotype" w:eastAsia="Times New Roman" w:hAnsi="Palatino Linotype" w:cs="Arial"/>
          <w:kern w:val="0"/>
          <w:sz w:val="20"/>
          <w:szCs w:val="20"/>
          <w:lang w:val="en-GB"/>
          <w14:ligatures w14:val="none"/>
        </w:rPr>
        <w:fldChar w:fldCharType="begin"/>
      </w:r>
      <w:r w:rsidRPr="009B4EDF">
        <w:rPr>
          <w:rFonts w:ascii="Palatino Linotype" w:eastAsia="Times New Roman" w:hAnsi="Palatino Linotype" w:cs="Arial"/>
          <w:kern w:val="0"/>
          <w:sz w:val="20"/>
          <w:szCs w:val="20"/>
          <w:lang w:val="en-GB"/>
          <w14:ligatures w14:val="none"/>
        </w:rPr>
        <w:instrText xml:space="preserve"> SEQ Table \* ARABIC </w:instrText>
      </w:r>
      <w:r w:rsidRPr="009B4EDF">
        <w:rPr>
          <w:rFonts w:ascii="Palatino Linotype" w:eastAsia="Times New Roman" w:hAnsi="Palatino Linotype" w:cs="Arial"/>
          <w:kern w:val="0"/>
          <w:sz w:val="20"/>
          <w:szCs w:val="20"/>
          <w:lang w:val="en-GB"/>
          <w14:ligatures w14:val="none"/>
        </w:rPr>
        <w:fldChar w:fldCharType="separate"/>
      </w:r>
      <w:r w:rsidRPr="009B4EDF">
        <w:rPr>
          <w:rFonts w:ascii="Palatino Linotype" w:eastAsia="Times New Roman" w:hAnsi="Palatino Linotype" w:cs="Arial"/>
          <w:noProof/>
          <w:kern w:val="0"/>
          <w:sz w:val="20"/>
          <w:szCs w:val="20"/>
          <w:lang w:val="en-GB"/>
          <w14:ligatures w14:val="none"/>
        </w:rPr>
        <w:t>1</w:t>
      </w:r>
      <w:r w:rsidRPr="009B4EDF">
        <w:rPr>
          <w:rFonts w:ascii="Palatino Linotype" w:eastAsia="Times New Roman" w:hAnsi="Palatino Linotype" w:cs="Arial"/>
          <w:kern w:val="0"/>
          <w:sz w:val="20"/>
          <w:szCs w:val="20"/>
          <w:lang w:val="en-GB"/>
          <w14:ligatures w14:val="none"/>
        </w:rPr>
        <w:fldChar w:fldCharType="end"/>
      </w:r>
      <w:r w:rsidRPr="009B4EDF">
        <w:rPr>
          <w:rFonts w:ascii="Palatino Linotype" w:eastAsia="Times New Roman" w:hAnsi="Palatino Linotype" w:cs="Arial"/>
          <w:kern w:val="0"/>
          <w:sz w:val="20"/>
          <w:szCs w:val="20"/>
          <w:lang w:val="en-GB"/>
          <w14:ligatures w14:val="none"/>
        </w:rPr>
        <w:t>: Survey response rate</w:t>
      </w:r>
      <w:bookmarkEnd w:id="1"/>
      <w:bookmarkEnd w:id="2"/>
      <w:bookmarkEnd w:id="3"/>
      <w:r w:rsidRPr="009B4EDF">
        <w:rPr>
          <w:rFonts w:ascii="Palatino Linotype" w:eastAsia="Times New Roman" w:hAnsi="Palatino Linotype" w:cs="Arial"/>
          <w:kern w:val="0"/>
          <w:sz w:val="20"/>
          <w:szCs w:val="20"/>
          <w:lang w:val="en-GB"/>
          <w14:ligatures w14:val="none"/>
        </w:rPr>
        <w:t xml:space="preserve"> </w:t>
      </w:r>
    </w:p>
    <w:tbl>
      <w:tblPr>
        <w:tblStyle w:val="TableGridLight"/>
        <w:tblW w:w="0" w:type="auto"/>
        <w:tblLook w:val="04A0" w:firstRow="1" w:lastRow="0" w:firstColumn="1" w:lastColumn="0" w:noHBand="0" w:noVBand="1"/>
      </w:tblPr>
      <w:tblGrid>
        <w:gridCol w:w="3011"/>
        <w:gridCol w:w="3010"/>
        <w:gridCol w:w="2995"/>
      </w:tblGrid>
      <w:tr w:rsidR="002156F1" w:rsidRPr="009B4EDF" w14:paraId="4CF55844" w14:textId="77777777" w:rsidTr="008464E9">
        <w:tc>
          <w:tcPr>
            <w:tcW w:w="3116" w:type="dxa"/>
          </w:tcPr>
          <w:p w14:paraId="3CB85C34" w14:textId="54F152F9" w:rsidR="002156F1" w:rsidRPr="009B4EDF" w:rsidRDefault="00BB696D"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Response type</w:t>
            </w:r>
          </w:p>
        </w:tc>
        <w:tc>
          <w:tcPr>
            <w:tcW w:w="3117" w:type="dxa"/>
            <w:hideMark/>
          </w:tcPr>
          <w:p w14:paraId="07B61AA0"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color w:val="000000" w:themeColor="text1"/>
                <w:kern w:val="0"/>
                <w:sz w:val="20"/>
                <w:szCs w:val="20"/>
                <w:lang w:val="en-GB"/>
                <w14:ligatures w14:val="none"/>
              </w:rPr>
              <w:t>Frequency</w:t>
            </w:r>
          </w:p>
        </w:tc>
        <w:tc>
          <w:tcPr>
            <w:tcW w:w="3117" w:type="dxa"/>
            <w:hideMark/>
          </w:tcPr>
          <w:p w14:paraId="70281688"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color w:val="000000" w:themeColor="text1"/>
                <w:kern w:val="0"/>
                <w:sz w:val="20"/>
                <w:szCs w:val="20"/>
                <w:lang w:val="en-GB"/>
                <w14:ligatures w14:val="none"/>
              </w:rPr>
              <w:t xml:space="preserve">Percent </w:t>
            </w:r>
            <w:r w:rsidRPr="009B4EDF">
              <w:rPr>
                <w:rFonts w:ascii="Palatino Linotype" w:eastAsia="Aptos" w:hAnsi="Palatino Linotype" w:cs="Arial"/>
                <w:sz w:val="20"/>
                <w:szCs w:val="20"/>
                <w:lang w:val="en-GB"/>
                <w14:ligatures w14:val="none"/>
              </w:rPr>
              <w:t>%</w:t>
            </w:r>
          </w:p>
        </w:tc>
      </w:tr>
      <w:tr w:rsidR="002156F1" w:rsidRPr="009B4EDF" w14:paraId="363F42F7" w14:textId="77777777" w:rsidTr="008464E9">
        <w:tc>
          <w:tcPr>
            <w:tcW w:w="3116" w:type="dxa"/>
            <w:hideMark/>
          </w:tcPr>
          <w:p w14:paraId="7B480217" w14:textId="77777777" w:rsidR="002156F1" w:rsidRPr="009B4EDF" w:rsidRDefault="002156F1" w:rsidP="0099485C">
            <w:pPr>
              <w:jc w:val="both"/>
              <w:rPr>
                <w:rFonts w:ascii="Palatino Linotype" w:eastAsia="Aptos" w:hAnsi="Palatino Linotype" w:cs="Arial"/>
                <w:color w:val="000000" w:themeColor="text1"/>
                <w:sz w:val="20"/>
                <w:szCs w:val="20"/>
                <w:lang w:val="en-GB"/>
              </w:rPr>
            </w:pPr>
            <w:r w:rsidRPr="009B4EDF">
              <w:rPr>
                <w:rFonts w:ascii="Palatino Linotype" w:eastAsia="Aptos" w:hAnsi="Palatino Linotype" w:cs="Arial"/>
                <w:color w:val="000000" w:themeColor="text1"/>
                <w:sz w:val="20"/>
                <w:szCs w:val="20"/>
                <w:lang w:val="en-GB"/>
              </w:rPr>
              <w:t xml:space="preserve">Response rate </w:t>
            </w:r>
          </w:p>
          <w:p w14:paraId="148520F2" w14:textId="77777777" w:rsidR="002156F1" w:rsidRPr="009B4EDF" w:rsidRDefault="002156F1" w:rsidP="0099485C">
            <w:pPr>
              <w:jc w:val="both"/>
              <w:rPr>
                <w:rFonts w:ascii="Palatino Linotype" w:eastAsia="Aptos" w:hAnsi="Palatino Linotype" w:cs="Arial"/>
                <w:sz w:val="20"/>
                <w:szCs w:val="20"/>
                <w:lang w:val="en-GB"/>
                <w14:ligatures w14:val="none"/>
              </w:rPr>
            </w:pPr>
          </w:p>
        </w:tc>
        <w:tc>
          <w:tcPr>
            <w:tcW w:w="3117" w:type="dxa"/>
            <w:hideMark/>
          </w:tcPr>
          <w:p w14:paraId="524DAFAA"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25</w:t>
            </w:r>
          </w:p>
        </w:tc>
        <w:tc>
          <w:tcPr>
            <w:tcW w:w="3117" w:type="dxa"/>
            <w:hideMark/>
          </w:tcPr>
          <w:p w14:paraId="0958FF1A"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89</w:t>
            </w:r>
          </w:p>
        </w:tc>
      </w:tr>
      <w:tr w:rsidR="002156F1" w:rsidRPr="009B4EDF" w14:paraId="41E20F83" w14:textId="77777777" w:rsidTr="008464E9">
        <w:tc>
          <w:tcPr>
            <w:tcW w:w="3116" w:type="dxa"/>
            <w:hideMark/>
          </w:tcPr>
          <w:p w14:paraId="33F8D240" w14:textId="77777777" w:rsidR="002156F1" w:rsidRPr="009B4EDF" w:rsidRDefault="002156F1" w:rsidP="0099485C">
            <w:pPr>
              <w:jc w:val="both"/>
              <w:rPr>
                <w:rFonts w:ascii="Palatino Linotype" w:eastAsia="Aptos" w:hAnsi="Palatino Linotype" w:cs="Arial"/>
                <w:color w:val="000000" w:themeColor="text1"/>
                <w:kern w:val="0"/>
                <w:sz w:val="20"/>
                <w:szCs w:val="20"/>
                <w:lang w:val="en-GB"/>
                <w14:ligatures w14:val="none"/>
              </w:rPr>
            </w:pPr>
            <w:r w:rsidRPr="009B4EDF">
              <w:rPr>
                <w:rFonts w:ascii="Palatino Linotype" w:eastAsia="Aptos" w:hAnsi="Palatino Linotype" w:cs="Arial"/>
                <w:color w:val="000000" w:themeColor="text1"/>
                <w:kern w:val="0"/>
                <w:sz w:val="20"/>
                <w:szCs w:val="20"/>
                <w:lang w:val="en-GB"/>
                <w14:ligatures w14:val="none"/>
              </w:rPr>
              <w:t>Valid response rate</w:t>
            </w:r>
          </w:p>
          <w:p w14:paraId="6BA6B6E4" w14:textId="77777777" w:rsidR="002156F1" w:rsidRPr="009B4EDF" w:rsidRDefault="002156F1" w:rsidP="0099485C">
            <w:pPr>
              <w:jc w:val="both"/>
              <w:rPr>
                <w:rFonts w:ascii="Palatino Linotype" w:eastAsia="Aptos" w:hAnsi="Palatino Linotype" w:cs="Arial"/>
                <w:sz w:val="20"/>
                <w:szCs w:val="20"/>
                <w:lang w:val="en-GB"/>
                <w14:ligatures w14:val="none"/>
              </w:rPr>
            </w:pPr>
          </w:p>
        </w:tc>
        <w:tc>
          <w:tcPr>
            <w:tcW w:w="3117" w:type="dxa"/>
            <w:hideMark/>
          </w:tcPr>
          <w:p w14:paraId="75C33A44"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23</w:t>
            </w:r>
          </w:p>
        </w:tc>
        <w:tc>
          <w:tcPr>
            <w:tcW w:w="3117" w:type="dxa"/>
            <w:hideMark/>
          </w:tcPr>
          <w:p w14:paraId="5D9F4334"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82</w:t>
            </w:r>
          </w:p>
        </w:tc>
      </w:tr>
      <w:tr w:rsidR="002156F1" w:rsidRPr="009B4EDF" w14:paraId="0DFE546E" w14:textId="77777777" w:rsidTr="008464E9">
        <w:tc>
          <w:tcPr>
            <w:tcW w:w="3116" w:type="dxa"/>
            <w:hideMark/>
          </w:tcPr>
          <w:p w14:paraId="1879E477" w14:textId="77777777" w:rsidR="002156F1" w:rsidRPr="009B4EDF" w:rsidRDefault="002156F1" w:rsidP="0099485C">
            <w:pPr>
              <w:jc w:val="both"/>
              <w:rPr>
                <w:rFonts w:ascii="Palatino Linotype" w:eastAsia="Aptos" w:hAnsi="Palatino Linotype" w:cs="Arial"/>
                <w:color w:val="000000" w:themeColor="text1"/>
                <w:sz w:val="20"/>
                <w:szCs w:val="20"/>
                <w:lang w:val="en-GB"/>
              </w:rPr>
            </w:pPr>
            <w:r w:rsidRPr="009B4EDF">
              <w:rPr>
                <w:rFonts w:ascii="Palatino Linotype" w:eastAsia="Aptos" w:hAnsi="Palatino Linotype" w:cs="Arial"/>
                <w:color w:val="000000" w:themeColor="text1"/>
                <w:sz w:val="20"/>
                <w:szCs w:val="20"/>
                <w:lang w:val="en-GB"/>
              </w:rPr>
              <w:t>Target population</w:t>
            </w:r>
          </w:p>
          <w:p w14:paraId="173E74D6" w14:textId="77777777" w:rsidR="002156F1" w:rsidRPr="009B4EDF" w:rsidRDefault="002156F1" w:rsidP="0099485C">
            <w:pPr>
              <w:jc w:val="both"/>
              <w:rPr>
                <w:rFonts w:ascii="Palatino Linotype" w:eastAsia="Aptos" w:hAnsi="Palatino Linotype" w:cs="Arial"/>
                <w:sz w:val="20"/>
                <w:szCs w:val="20"/>
                <w:lang w:val="en-GB"/>
                <w14:ligatures w14:val="none"/>
              </w:rPr>
            </w:pPr>
          </w:p>
        </w:tc>
        <w:tc>
          <w:tcPr>
            <w:tcW w:w="3117" w:type="dxa"/>
            <w:hideMark/>
          </w:tcPr>
          <w:p w14:paraId="5214F3C8"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28</w:t>
            </w:r>
          </w:p>
        </w:tc>
        <w:tc>
          <w:tcPr>
            <w:tcW w:w="3117" w:type="dxa"/>
            <w:hideMark/>
          </w:tcPr>
          <w:p w14:paraId="08D928C9" w14:textId="77777777" w:rsidR="002156F1" w:rsidRPr="009B4EDF" w:rsidRDefault="002156F1"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100</w:t>
            </w:r>
          </w:p>
        </w:tc>
      </w:tr>
    </w:tbl>
    <w:p w14:paraId="0733475F" w14:textId="03EE84C2" w:rsidR="00101660" w:rsidRPr="009B4EDF" w:rsidRDefault="002156F1" w:rsidP="0099485C">
      <w:pPr>
        <w:spacing w:after="0" w:line="240" w:lineRule="auto"/>
        <w:jc w:val="both"/>
        <w:rPr>
          <w:rFonts w:ascii="Palatino Linotype" w:eastAsia="Times New Roman" w:hAnsi="Palatino Linotype" w:cs="Arial"/>
          <w:kern w:val="0"/>
          <w:sz w:val="20"/>
          <w:szCs w:val="20"/>
          <w:lang w:val="en-GB"/>
          <w14:ligatures w14:val="none"/>
        </w:rPr>
      </w:pPr>
      <w:r w:rsidRPr="009B4EDF">
        <w:rPr>
          <w:rFonts w:ascii="Palatino Linotype" w:eastAsia="Times New Roman" w:hAnsi="Palatino Linotype" w:cs="Arial"/>
          <w:kern w:val="0"/>
          <w:sz w:val="20"/>
          <w:szCs w:val="20"/>
          <w:lang w:val="en-GB"/>
          <w14:ligatures w14:val="none"/>
        </w:rPr>
        <w:t xml:space="preserve"> Source: </w:t>
      </w:r>
      <w:bookmarkStart w:id="4" w:name="_Hlk203065457"/>
      <w:r w:rsidRPr="009B4EDF">
        <w:rPr>
          <w:rFonts w:ascii="Palatino Linotype" w:eastAsia="Times New Roman" w:hAnsi="Palatino Linotype" w:cs="Arial"/>
          <w:kern w:val="0"/>
          <w:sz w:val="20"/>
          <w:szCs w:val="20"/>
          <w:lang w:val="en-GB"/>
          <w14:ligatures w14:val="none"/>
        </w:rPr>
        <w:t xml:space="preserve">Research findings </w:t>
      </w:r>
      <w:bookmarkEnd w:id="4"/>
    </w:p>
    <w:p w14:paraId="54C6094A" w14:textId="77777777" w:rsidR="001611AD" w:rsidRPr="00DB4030" w:rsidRDefault="001611AD" w:rsidP="0099485C">
      <w:pPr>
        <w:spacing w:after="0" w:line="240" w:lineRule="auto"/>
        <w:jc w:val="both"/>
        <w:rPr>
          <w:rFonts w:ascii="Palatino Linotype" w:eastAsia="Times New Roman" w:hAnsi="Palatino Linotype" w:cs="Arial"/>
          <w:kern w:val="0"/>
          <w:sz w:val="22"/>
          <w:szCs w:val="22"/>
          <w:lang w:val="en-GB"/>
          <w14:ligatures w14:val="none"/>
        </w:rPr>
      </w:pPr>
    </w:p>
    <w:p w14:paraId="735B1A0B" w14:textId="165989B6" w:rsidR="0012558B" w:rsidRDefault="001F51A9" w:rsidP="0099485C">
      <w:pPr>
        <w:spacing w:after="0" w:line="240" w:lineRule="auto"/>
        <w:jc w:val="both"/>
        <w:rPr>
          <w:rFonts w:ascii="Palatino Linotype" w:eastAsia="Times New Roman" w:hAnsi="Palatino Linotype" w:cs="Arial"/>
          <w:kern w:val="0"/>
          <w:sz w:val="22"/>
          <w:szCs w:val="22"/>
          <w:lang w:val="en-GB"/>
          <w14:ligatures w14:val="none"/>
        </w:rPr>
      </w:pPr>
      <w:r w:rsidRPr="00DB4030">
        <w:rPr>
          <w:rFonts w:ascii="Palatino Linotype" w:hAnsi="Palatino Linotype" w:cs="Arial"/>
          <w:sz w:val="22"/>
          <w:szCs w:val="22"/>
          <w:lang w:val="en-GB"/>
        </w:rPr>
        <w:t>This high response rate demonstrates strong engagement from the valuation community and suggests broad professional interest in standardized data sharing</w:t>
      </w:r>
      <w:r w:rsidR="00760AFE" w:rsidRPr="00DB4030">
        <w:rPr>
          <w:rFonts w:ascii="Palatino Linotype" w:eastAsia="Times New Roman" w:hAnsi="Palatino Linotype" w:cs="Arial"/>
          <w:kern w:val="0"/>
          <w:sz w:val="22"/>
          <w:szCs w:val="22"/>
          <w:lang w:val="en-GB"/>
          <w14:ligatures w14:val="none"/>
        </w:rPr>
        <w:t>. The exclusion of two invalid responses ensured the integrity of the data, allowing for meaningful conclusions. This robust participation also highlights the profession’s collective interest in addressing issues of standardization and information sharing.</w:t>
      </w:r>
    </w:p>
    <w:p w14:paraId="409DDEBD" w14:textId="77777777" w:rsidR="00FB4BBD" w:rsidRPr="00DB4030" w:rsidRDefault="00FB4BBD" w:rsidP="0099485C">
      <w:pPr>
        <w:spacing w:after="0" w:line="240" w:lineRule="auto"/>
        <w:jc w:val="both"/>
        <w:rPr>
          <w:rFonts w:ascii="Palatino Linotype" w:hAnsi="Palatino Linotype" w:cs="Arial"/>
          <w:sz w:val="22"/>
          <w:szCs w:val="22"/>
          <w:lang w:val="en-GB"/>
        </w:rPr>
      </w:pPr>
    </w:p>
    <w:p w14:paraId="1EC904C2" w14:textId="5D475E59" w:rsidR="001F51A9" w:rsidRPr="00DB4030" w:rsidRDefault="001F51A9" w:rsidP="0099485C">
      <w:pPr>
        <w:spacing w:after="0" w:line="240" w:lineRule="auto"/>
        <w:jc w:val="both"/>
        <w:rPr>
          <w:rFonts w:ascii="Palatino Linotype" w:eastAsia="Times New Roman" w:hAnsi="Palatino Linotype" w:cs="Arial"/>
          <w:kern w:val="0"/>
          <w:sz w:val="22"/>
          <w:szCs w:val="22"/>
          <w:lang w:val="en-GB"/>
          <w14:ligatures w14:val="none"/>
        </w:rPr>
      </w:pPr>
      <w:r w:rsidRPr="00DB4030">
        <w:rPr>
          <w:rFonts w:ascii="Palatino Linotype" w:eastAsia="Times New Roman" w:hAnsi="Palatino Linotype" w:cs="Arial"/>
          <w:kern w:val="0"/>
          <w:sz w:val="22"/>
          <w:szCs w:val="22"/>
          <w:lang w:val="en-GB"/>
          <w14:ligatures w14:val="none"/>
        </w:rPr>
        <w:t>Notably, more than one-third of respondents were candidate valuers, defined as professionals undertaking the structured pathway toward full registration as property valuers. This pathway typically involves 3-5 years of supervised practical experience, providing exposure to valuation procedures, data collection, and professional standards. While candidate valuers may have less practical experience than fully qualified valuers, they possess sufficient knowledge to provide relevant insights into willingness to share field data, adherence to standards, and perceptions of centralised database implementation. The inclusion of candidate valuers is acknowledged as a potential limitation, discussed further in the limitations section.</w:t>
      </w:r>
    </w:p>
    <w:p w14:paraId="57DC76C4" w14:textId="77777777" w:rsidR="0015535B" w:rsidRPr="00DB4030" w:rsidRDefault="0015535B" w:rsidP="0099485C">
      <w:pPr>
        <w:spacing w:after="0" w:line="240" w:lineRule="auto"/>
        <w:jc w:val="both"/>
        <w:rPr>
          <w:rFonts w:ascii="Palatino Linotype" w:eastAsia="Times New Roman" w:hAnsi="Palatino Linotype" w:cs="Arial"/>
          <w:kern w:val="0"/>
          <w:sz w:val="22"/>
          <w:szCs w:val="22"/>
          <w:lang w:val="en-GB"/>
          <w14:ligatures w14:val="none"/>
        </w:rPr>
      </w:pPr>
    </w:p>
    <w:p w14:paraId="2EC7E1A7" w14:textId="4D213BFF" w:rsidR="000D496D" w:rsidRPr="00FB4BBD" w:rsidRDefault="00691268" w:rsidP="0099485C">
      <w:pPr>
        <w:spacing w:after="0" w:line="240" w:lineRule="auto"/>
        <w:jc w:val="both"/>
        <w:rPr>
          <w:rFonts w:ascii="Palatino Linotype" w:hAnsi="Palatino Linotype" w:cs="Arial"/>
          <w:b/>
          <w:bCs/>
          <w:sz w:val="22"/>
          <w:szCs w:val="22"/>
          <w:lang w:val="en-GB"/>
        </w:rPr>
      </w:pPr>
      <w:r w:rsidRPr="00FB4BBD">
        <w:rPr>
          <w:rFonts w:ascii="Palatino Linotype" w:hAnsi="Palatino Linotype" w:cs="Arial"/>
          <w:b/>
          <w:bCs/>
          <w:sz w:val="22"/>
          <w:szCs w:val="22"/>
          <w:lang w:val="en-GB"/>
        </w:rPr>
        <w:t>Willingness of Valuers to Voluntarily Share Field Data</w:t>
      </w:r>
    </w:p>
    <w:p w14:paraId="38C3B1B8" w14:textId="1BD0776D" w:rsidR="00571768" w:rsidRPr="00FB4BBD" w:rsidRDefault="00B52082" w:rsidP="0099485C">
      <w:pPr>
        <w:spacing w:after="0" w:line="240" w:lineRule="auto"/>
        <w:jc w:val="both"/>
        <w:rPr>
          <w:rFonts w:ascii="Palatino Linotype" w:eastAsia="Times New Roman" w:hAnsi="Palatino Linotype" w:cs="Arial"/>
          <w:kern w:val="0"/>
          <w:sz w:val="22"/>
          <w:szCs w:val="22"/>
          <w:lang w:val="en-GB"/>
          <w14:ligatures w14:val="none"/>
        </w:rPr>
      </w:pPr>
      <w:r w:rsidRPr="00FB4BBD">
        <w:rPr>
          <w:rFonts w:ascii="Palatino Linotype" w:hAnsi="Palatino Linotype" w:cs="Arial"/>
          <w:sz w:val="22"/>
          <w:szCs w:val="22"/>
          <w:lang w:val="en-GB"/>
        </w:rPr>
        <w:t xml:space="preserve">To evaluate the feasibility of establishing a centralised valuation database in Eswatini, </w:t>
      </w:r>
      <w:r w:rsidR="003C7983" w:rsidRPr="00FB4BBD">
        <w:rPr>
          <w:rFonts w:ascii="Palatino Linotype" w:eastAsia="Times New Roman" w:hAnsi="Palatino Linotype" w:cs="Arial"/>
          <w:kern w:val="0"/>
          <w:sz w:val="22"/>
          <w:szCs w:val="22"/>
          <w:lang w:val="en-GB"/>
          <w14:ligatures w14:val="none"/>
        </w:rPr>
        <w:t xml:space="preserve">a total of 91% of respondents expressed willingness to contribute field data towards a centralised system. </w:t>
      </w:r>
      <w:r w:rsidR="000634DF" w:rsidRPr="00FB4BBD">
        <w:rPr>
          <w:rFonts w:ascii="Palatino Linotype" w:eastAsia="Times New Roman" w:hAnsi="Palatino Linotype" w:cs="Arial"/>
          <w:kern w:val="0"/>
          <w:sz w:val="22"/>
          <w:szCs w:val="22"/>
          <w:lang w:val="en-GB"/>
          <w14:ligatures w14:val="none"/>
        </w:rPr>
        <w:t xml:space="preserve">Non-firm owners demonstrated higher willingness to share data (100%) compared with private firm owners (75%), suggesting that autonomy and organizational control may influence professional openness to centralised data systems. This pattern aligns with prior research highlighting confidentiality concerns in privately owned firms. </w:t>
      </w:r>
      <w:r w:rsidR="003C7983" w:rsidRPr="00FB4BBD">
        <w:rPr>
          <w:rFonts w:ascii="Palatino Linotype" w:eastAsia="Times New Roman" w:hAnsi="Palatino Linotype" w:cs="Arial"/>
          <w:color w:val="000000"/>
          <w:kern w:val="0"/>
          <w:sz w:val="22"/>
          <w:szCs w:val="22"/>
          <w:lang w:val="en-GB"/>
          <w14:ligatures w14:val="none"/>
        </w:rPr>
        <w:t xml:space="preserve">Table </w:t>
      </w:r>
      <w:r w:rsidR="00CC4982" w:rsidRPr="00FB4BBD">
        <w:rPr>
          <w:rFonts w:ascii="Palatino Linotype" w:eastAsia="Times New Roman" w:hAnsi="Palatino Linotype" w:cs="Arial"/>
          <w:color w:val="000000"/>
          <w:kern w:val="0"/>
          <w:sz w:val="22"/>
          <w:szCs w:val="22"/>
          <w:lang w:val="en-GB"/>
          <w14:ligatures w14:val="none"/>
        </w:rPr>
        <w:t>2</w:t>
      </w:r>
      <w:r w:rsidR="003C7983" w:rsidRPr="00FB4BBD">
        <w:rPr>
          <w:rFonts w:ascii="Palatino Linotype" w:eastAsia="Times New Roman" w:hAnsi="Palatino Linotype" w:cs="Arial"/>
          <w:color w:val="000000"/>
          <w:kern w:val="0"/>
          <w:sz w:val="22"/>
          <w:szCs w:val="22"/>
          <w:lang w:val="en-GB"/>
          <w14:ligatures w14:val="none"/>
        </w:rPr>
        <w:t xml:space="preserve"> presents a breakdown of the relevant findings in the survey responses.</w:t>
      </w:r>
    </w:p>
    <w:p w14:paraId="4EDE5AA8" w14:textId="77777777" w:rsidR="00FB4BBD" w:rsidRDefault="00FB4BBD" w:rsidP="0099485C">
      <w:pPr>
        <w:tabs>
          <w:tab w:val="left" w:pos="1134"/>
        </w:tabs>
        <w:spacing w:after="0" w:line="240" w:lineRule="auto"/>
        <w:ind w:left="1134" w:hanging="1134"/>
        <w:jc w:val="both"/>
        <w:rPr>
          <w:rFonts w:ascii="Palatino Linotype" w:eastAsia="Times New Roman" w:hAnsi="Palatino Linotype" w:cs="Arial"/>
          <w:kern w:val="0"/>
          <w:sz w:val="22"/>
          <w:szCs w:val="22"/>
          <w:lang w:val="en-GB"/>
          <w14:ligatures w14:val="none"/>
        </w:rPr>
      </w:pPr>
      <w:bookmarkStart w:id="5" w:name="_Toc202294819"/>
      <w:bookmarkStart w:id="6" w:name="_Toc202724968"/>
      <w:bookmarkStart w:id="7" w:name="_Toc203058896"/>
    </w:p>
    <w:p w14:paraId="2A9EA6BC" w14:textId="3A259553" w:rsidR="0007763E" w:rsidRPr="009B4EDF" w:rsidRDefault="0007763E"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B4EDF">
        <w:rPr>
          <w:rFonts w:ascii="Palatino Linotype" w:eastAsia="Times New Roman" w:hAnsi="Palatino Linotype" w:cs="Arial"/>
          <w:kern w:val="0"/>
          <w:sz w:val="20"/>
          <w:szCs w:val="20"/>
          <w:lang w:val="en-GB"/>
          <w14:ligatures w14:val="none"/>
        </w:rPr>
        <w:t xml:space="preserve">Table </w:t>
      </w:r>
      <w:r w:rsidR="00CC4982" w:rsidRPr="009B4EDF">
        <w:rPr>
          <w:rFonts w:ascii="Palatino Linotype" w:eastAsia="Times New Roman" w:hAnsi="Palatino Linotype" w:cs="Arial"/>
          <w:kern w:val="0"/>
          <w:sz w:val="20"/>
          <w:szCs w:val="20"/>
          <w:lang w:val="en-GB"/>
          <w14:ligatures w14:val="none"/>
        </w:rPr>
        <w:t>2</w:t>
      </w:r>
      <w:r w:rsidRPr="009B4EDF">
        <w:rPr>
          <w:rFonts w:ascii="Palatino Linotype" w:eastAsia="Times New Roman" w:hAnsi="Palatino Linotype" w:cs="Arial"/>
          <w:kern w:val="0"/>
          <w:sz w:val="20"/>
          <w:szCs w:val="20"/>
          <w:lang w:val="en-GB"/>
          <w14:ligatures w14:val="none"/>
        </w:rPr>
        <w:t xml:space="preserve">: </w:t>
      </w:r>
      <w:bookmarkEnd w:id="5"/>
      <w:r w:rsidRPr="009B4EDF">
        <w:rPr>
          <w:rFonts w:ascii="Palatino Linotype" w:eastAsia="Times New Roman" w:hAnsi="Palatino Linotype" w:cs="Arial"/>
          <w:kern w:val="0"/>
          <w:sz w:val="20"/>
          <w:szCs w:val="20"/>
          <w:lang w:val="en-GB"/>
          <w14:ligatures w14:val="none"/>
        </w:rPr>
        <w:t>Willingness to Voluntar</w:t>
      </w:r>
      <w:r w:rsidR="00F7635B" w:rsidRPr="009B4EDF">
        <w:rPr>
          <w:rFonts w:ascii="Palatino Linotype" w:eastAsia="Times New Roman" w:hAnsi="Palatino Linotype" w:cs="Arial"/>
          <w:kern w:val="0"/>
          <w:sz w:val="20"/>
          <w:szCs w:val="20"/>
          <w:lang w:val="en-GB"/>
          <w14:ligatures w14:val="none"/>
        </w:rPr>
        <w:t>il</w:t>
      </w:r>
      <w:r w:rsidRPr="009B4EDF">
        <w:rPr>
          <w:rFonts w:ascii="Palatino Linotype" w:eastAsia="Times New Roman" w:hAnsi="Palatino Linotype" w:cs="Arial"/>
          <w:kern w:val="0"/>
          <w:sz w:val="20"/>
          <w:szCs w:val="20"/>
          <w:lang w:val="en-GB"/>
          <w14:ligatures w14:val="none"/>
        </w:rPr>
        <w:t>y Share Valuation Field Data</w:t>
      </w:r>
      <w:bookmarkEnd w:id="6"/>
      <w:bookmarkEnd w:id="7"/>
    </w:p>
    <w:tbl>
      <w:tblPr>
        <w:tblStyle w:val="TableGridLight"/>
        <w:tblW w:w="8926" w:type="dxa"/>
        <w:tblLook w:val="04A0" w:firstRow="1" w:lastRow="0" w:firstColumn="1" w:lastColumn="0" w:noHBand="0" w:noVBand="1"/>
      </w:tblPr>
      <w:tblGrid>
        <w:gridCol w:w="3267"/>
        <w:gridCol w:w="1538"/>
        <w:gridCol w:w="1559"/>
        <w:gridCol w:w="1418"/>
        <w:gridCol w:w="1144"/>
      </w:tblGrid>
      <w:tr w:rsidR="0007763E" w:rsidRPr="009B4EDF" w14:paraId="41CA274F" w14:textId="77777777" w:rsidTr="008464E9">
        <w:tc>
          <w:tcPr>
            <w:tcW w:w="0" w:type="auto"/>
          </w:tcPr>
          <w:p w14:paraId="236F4F91" w14:textId="77777777" w:rsidR="0007763E" w:rsidRPr="009B4EDF" w:rsidRDefault="0007763E" w:rsidP="0099485C">
            <w:pPr>
              <w:jc w:val="both"/>
              <w:rPr>
                <w:rFonts w:ascii="Palatino Linotype" w:eastAsia="Aptos" w:hAnsi="Palatino Linotype" w:cs="Arial"/>
                <w:sz w:val="20"/>
                <w:szCs w:val="20"/>
                <w:lang w:val="en-GB"/>
                <w14:ligatures w14:val="none"/>
              </w:rPr>
            </w:pPr>
            <w:r w:rsidRPr="009B4EDF">
              <w:rPr>
                <w:rFonts w:ascii="Palatino Linotype" w:eastAsia="Times New Roman" w:hAnsi="Palatino Linotype" w:cs="Arial"/>
                <w:color w:val="000000"/>
                <w:kern w:val="0"/>
                <w:sz w:val="20"/>
                <w:szCs w:val="20"/>
                <w:lang w:val="en-GB"/>
                <w14:ligatures w14:val="none"/>
              </w:rPr>
              <w:t>Respondent Category</w:t>
            </w:r>
          </w:p>
        </w:tc>
        <w:tc>
          <w:tcPr>
            <w:tcW w:w="1538" w:type="dxa"/>
            <w:hideMark/>
          </w:tcPr>
          <w:p w14:paraId="004C3C48"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 xml:space="preserve">Yes </w:t>
            </w:r>
          </w:p>
        </w:tc>
        <w:tc>
          <w:tcPr>
            <w:tcW w:w="1559" w:type="dxa"/>
            <w:hideMark/>
          </w:tcPr>
          <w:p w14:paraId="07B13807"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No</w:t>
            </w:r>
          </w:p>
        </w:tc>
        <w:tc>
          <w:tcPr>
            <w:tcW w:w="1418" w:type="dxa"/>
          </w:tcPr>
          <w:p w14:paraId="34BF1BEB"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Total</w:t>
            </w:r>
          </w:p>
        </w:tc>
        <w:tc>
          <w:tcPr>
            <w:tcW w:w="1144" w:type="dxa"/>
          </w:tcPr>
          <w:p w14:paraId="229ED124"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 Willing</w:t>
            </w:r>
          </w:p>
        </w:tc>
      </w:tr>
      <w:tr w:rsidR="0007763E" w:rsidRPr="009B4EDF" w14:paraId="219C80D1" w14:textId="77777777" w:rsidTr="008464E9">
        <w:trPr>
          <w:trHeight w:val="58"/>
        </w:trPr>
        <w:tc>
          <w:tcPr>
            <w:tcW w:w="0" w:type="auto"/>
            <w:hideMark/>
          </w:tcPr>
          <w:p w14:paraId="0352E000" w14:textId="77777777" w:rsidR="0007763E" w:rsidRPr="009B4EDF" w:rsidRDefault="0007763E"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Private Firm Owners</w:t>
            </w:r>
          </w:p>
        </w:tc>
        <w:tc>
          <w:tcPr>
            <w:tcW w:w="1538" w:type="dxa"/>
            <w:hideMark/>
          </w:tcPr>
          <w:p w14:paraId="1D681726"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6</w:t>
            </w:r>
          </w:p>
        </w:tc>
        <w:tc>
          <w:tcPr>
            <w:tcW w:w="1559" w:type="dxa"/>
          </w:tcPr>
          <w:p w14:paraId="3D4CDAA8"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2</w:t>
            </w:r>
          </w:p>
        </w:tc>
        <w:tc>
          <w:tcPr>
            <w:tcW w:w="1418" w:type="dxa"/>
          </w:tcPr>
          <w:p w14:paraId="486D454F"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8</w:t>
            </w:r>
          </w:p>
        </w:tc>
        <w:tc>
          <w:tcPr>
            <w:tcW w:w="1144" w:type="dxa"/>
          </w:tcPr>
          <w:p w14:paraId="2308BF38"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75%</w:t>
            </w:r>
          </w:p>
        </w:tc>
      </w:tr>
      <w:tr w:rsidR="0007763E" w:rsidRPr="009B4EDF" w14:paraId="357BB31C" w14:textId="77777777" w:rsidTr="008464E9">
        <w:tc>
          <w:tcPr>
            <w:tcW w:w="0" w:type="auto"/>
            <w:hideMark/>
          </w:tcPr>
          <w:p w14:paraId="0C06919E" w14:textId="77777777" w:rsidR="0007763E" w:rsidRPr="009B4EDF" w:rsidRDefault="0007763E"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 xml:space="preserve">Other Valuation Practitioners </w:t>
            </w:r>
          </w:p>
        </w:tc>
        <w:tc>
          <w:tcPr>
            <w:tcW w:w="1538" w:type="dxa"/>
            <w:hideMark/>
          </w:tcPr>
          <w:p w14:paraId="730D1D02"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15</w:t>
            </w:r>
          </w:p>
        </w:tc>
        <w:tc>
          <w:tcPr>
            <w:tcW w:w="1559" w:type="dxa"/>
          </w:tcPr>
          <w:p w14:paraId="591EC1EC"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0</w:t>
            </w:r>
          </w:p>
        </w:tc>
        <w:tc>
          <w:tcPr>
            <w:tcW w:w="1418" w:type="dxa"/>
          </w:tcPr>
          <w:p w14:paraId="0C025FAB"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15</w:t>
            </w:r>
          </w:p>
        </w:tc>
        <w:tc>
          <w:tcPr>
            <w:tcW w:w="1144" w:type="dxa"/>
          </w:tcPr>
          <w:p w14:paraId="521CC9EF"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100%</w:t>
            </w:r>
          </w:p>
        </w:tc>
      </w:tr>
      <w:tr w:rsidR="0007763E" w:rsidRPr="009B4EDF" w14:paraId="3CADD6F4" w14:textId="77777777" w:rsidTr="008464E9">
        <w:tc>
          <w:tcPr>
            <w:tcW w:w="0" w:type="auto"/>
            <w:hideMark/>
          </w:tcPr>
          <w:p w14:paraId="6593187B" w14:textId="77777777" w:rsidR="0007763E" w:rsidRPr="009B4EDF" w:rsidRDefault="0007763E" w:rsidP="0099485C">
            <w:pPr>
              <w:jc w:val="both"/>
              <w:rPr>
                <w:rFonts w:ascii="Palatino Linotype" w:eastAsia="Aptos" w:hAnsi="Palatino Linotype" w:cs="Arial"/>
                <w:sz w:val="20"/>
                <w:szCs w:val="20"/>
                <w:lang w:val="en-GB"/>
                <w14:ligatures w14:val="none"/>
              </w:rPr>
            </w:pPr>
            <w:r w:rsidRPr="009B4EDF">
              <w:rPr>
                <w:rFonts w:ascii="Palatino Linotype" w:eastAsia="Aptos" w:hAnsi="Palatino Linotype" w:cs="Arial"/>
                <w:sz w:val="20"/>
                <w:szCs w:val="20"/>
                <w:lang w:val="en-GB"/>
                <w14:ligatures w14:val="none"/>
              </w:rPr>
              <w:t>Overall</w:t>
            </w:r>
          </w:p>
        </w:tc>
        <w:tc>
          <w:tcPr>
            <w:tcW w:w="1538" w:type="dxa"/>
          </w:tcPr>
          <w:p w14:paraId="571F0252"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21</w:t>
            </w:r>
          </w:p>
        </w:tc>
        <w:tc>
          <w:tcPr>
            <w:tcW w:w="1559" w:type="dxa"/>
          </w:tcPr>
          <w:p w14:paraId="5BA8E33F"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2</w:t>
            </w:r>
          </w:p>
        </w:tc>
        <w:tc>
          <w:tcPr>
            <w:tcW w:w="1418" w:type="dxa"/>
          </w:tcPr>
          <w:p w14:paraId="7922D175"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23</w:t>
            </w:r>
          </w:p>
        </w:tc>
        <w:tc>
          <w:tcPr>
            <w:tcW w:w="1144" w:type="dxa"/>
          </w:tcPr>
          <w:p w14:paraId="47CA7315" w14:textId="77777777" w:rsidR="0007763E" w:rsidRPr="009B4EDF" w:rsidRDefault="0007763E" w:rsidP="0099485C">
            <w:pPr>
              <w:jc w:val="both"/>
              <w:rPr>
                <w:rFonts w:ascii="Palatino Linotype" w:eastAsia="Aptos" w:hAnsi="Palatino Linotype" w:cs="Arial"/>
                <w:color w:val="000000"/>
                <w:sz w:val="20"/>
                <w:szCs w:val="20"/>
                <w:lang w:val="en-GB"/>
                <w14:ligatures w14:val="none"/>
              </w:rPr>
            </w:pPr>
            <w:r w:rsidRPr="009B4EDF">
              <w:rPr>
                <w:rFonts w:ascii="Palatino Linotype" w:eastAsia="Aptos" w:hAnsi="Palatino Linotype" w:cs="Arial"/>
                <w:color w:val="000000"/>
                <w:sz w:val="20"/>
                <w:szCs w:val="20"/>
                <w:lang w:val="en-GB"/>
                <w14:ligatures w14:val="none"/>
              </w:rPr>
              <w:t>91%</w:t>
            </w:r>
          </w:p>
        </w:tc>
      </w:tr>
    </w:tbl>
    <w:p w14:paraId="54DCCB8F" w14:textId="28282806" w:rsidR="000634DF" w:rsidRPr="009B4EDF" w:rsidRDefault="0007763E" w:rsidP="0099485C">
      <w:pPr>
        <w:spacing w:after="0" w:line="240" w:lineRule="auto"/>
        <w:jc w:val="both"/>
        <w:rPr>
          <w:rFonts w:ascii="Palatino Linotype" w:hAnsi="Palatino Linotype" w:cs="Arial"/>
          <w:sz w:val="20"/>
          <w:szCs w:val="20"/>
        </w:rPr>
      </w:pPr>
      <w:r w:rsidRPr="009B4EDF">
        <w:rPr>
          <w:rFonts w:ascii="Palatino Linotype" w:eastAsia="Times New Roman" w:hAnsi="Palatino Linotype" w:cs="Arial"/>
          <w:color w:val="000000"/>
          <w:kern w:val="0"/>
          <w:sz w:val="20"/>
          <w:szCs w:val="20"/>
          <w:lang w:val="en-GB"/>
          <w14:ligatures w14:val="none"/>
        </w:rPr>
        <w:t xml:space="preserve">Source: </w:t>
      </w:r>
      <w:r w:rsidRPr="009B4EDF">
        <w:rPr>
          <w:rFonts w:ascii="Palatino Linotype" w:eastAsia="Times New Roman" w:hAnsi="Palatino Linotype" w:cs="Arial"/>
          <w:kern w:val="0"/>
          <w:sz w:val="20"/>
          <w:szCs w:val="20"/>
          <w:lang w:val="en-GB"/>
          <w14:ligatures w14:val="none"/>
        </w:rPr>
        <w:t>Research findings</w:t>
      </w:r>
    </w:p>
    <w:p w14:paraId="31048A70" w14:textId="77777777" w:rsidR="009B4EDF" w:rsidRDefault="009B4EDF" w:rsidP="0099485C">
      <w:pPr>
        <w:spacing w:after="0" w:line="240" w:lineRule="auto"/>
        <w:jc w:val="both"/>
        <w:rPr>
          <w:rFonts w:ascii="Palatino Linotype" w:hAnsi="Palatino Linotype" w:cs="Arial"/>
          <w:sz w:val="22"/>
          <w:szCs w:val="22"/>
        </w:rPr>
      </w:pPr>
    </w:p>
    <w:p w14:paraId="790FE0A4" w14:textId="79CC6325" w:rsidR="007D7A8A" w:rsidRDefault="007D7A8A"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lastRenderedPageBreak/>
        <w:t>To examine whether willingness varied by professional characteristics, inferential tests were conducted. Chi-square tests of independence were applied to categorical variables (firm ownership and sector of employment), while Spearman’s rank correlation was used to assess the relationship with professional experience, as normality assumptions for parametric tests were not met.</w:t>
      </w:r>
    </w:p>
    <w:p w14:paraId="58FFE823" w14:textId="77777777" w:rsidR="00FB4BBD" w:rsidRPr="00FB4BBD" w:rsidRDefault="00FB4BBD" w:rsidP="0099485C">
      <w:pPr>
        <w:spacing w:after="0" w:line="240" w:lineRule="auto"/>
        <w:jc w:val="both"/>
        <w:rPr>
          <w:rFonts w:ascii="Palatino Linotype" w:hAnsi="Palatino Linotype" w:cs="Arial"/>
          <w:sz w:val="22"/>
          <w:szCs w:val="22"/>
        </w:rPr>
      </w:pPr>
    </w:p>
    <w:p w14:paraId="00AED024" w14:textId="24E2F49E" w:rsidR="008464E9" w:rsidRDefault="007D7A8A"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t>The results showed a significant association between firm ownership and willingness to share (χ² (1, N=23) = 4.50, p = 0.034), indicating that non-firm owners are more willing to contribute to a centralized database than private firm owners. No significant association was observed between sector of employment and willingness to share (χ² (2, N=23) = 1.20, p = 0.548), suggesting that professional affiliation does not influence willingness. A weak positive correlation was observed between professional experience and willingness to share (ρ = 0.36, p = 0.089), indicating that more experienced valuers may be slightly more supportive of structured collaboration, although this relationship was not statistically significant. Table 3 summarizes these inferential findings.</w:t>
      </w:r>
    </w:p>
    <w:p w14:paraId="0DB43229" w14:textId="77777777" w:rsidR="00FB4BBD" w:rsidRPr="00FB4BBD" w:rsidRDefault="00FB4BBD" w:rsidP="0099485C">
      <w:pPr>
        <w:spacing w:after="0" w:line="240" w:lineRule="auto"/>
        <w:jc w:val="both"/>
        <w:rPr>
          <w:rFonts w:ascii="Palatino Linotype" w:hAnsi="Palatino Linotype" w:cs="Arial"/>
          <w:sz w:val="22"/>
          <w:szCs w:val="22"/>
        </w:rPr>
      </w:pPr>
    </w:p>
    <w:p w14:paraId="52E3D2B9" w14:textId="1C3FA991" w:rsidR="007D7A8A" w:rsidRPr="009B4EDF" w:rsidRDefault="007D7A8A" w:rsidP="0099485C">
      <w:pPr>
        <w:spacing w:after="0" w:line="240" w:lineRule="auto"/>
        <w:jc w:val="both"/>
        <w:rPr>
          <w:rFonts w:ascii="Palatino Linotype" w:hAnsi="Palatino Linotype" w:cs="Arial"/>
          <w:sz w:val="20"/>
          <w:szCs w:val="20"/>
        </w:rPr>
      </w:pPr>
      <w:r w:rsidRPr="009B4EDF">
        <w:rPr>
          <w:rFonts w:ascii="Palatino Linotype" w:hAnsi="Palatino Linotype" w:cs="Arial"/>
          <w:sz w:val="20"/>
          <w:szCs w:val="20"/>
        </w:rPr>
        <w:t>Table 3: Inferential Analysis of Willingness to Share Field Data</w:t>
      </w:r>
    </w:p>
    <w:tbl>
      <w:tblPr>
        <w:tblStyle w:val="TableGrid"/>
        <w:tblW w:w="0" w:type="auto"/>
        <w:tblLook w:val="04A0" w:firstRow="1" w:lastRow="0" w:firstColumn="1" w:lastColumn="0" w:noHBand="0" w:noVBand="1"/>
      </w:tblPr>
      <w:tblGrid>
        <w:gridCol w:w="1417"/>
        <w:gridCol w:w="1493"/>
        <w:gridCol w:w="1057"/>
        <w:gridCol w:w="706"/>
        <w:gridCol w:w="1134"/>
        <w:gridCol w:w="3209"/>
      </w:tblGrid>
      <w:tr w:rsidR="00392E7D" w:rsidRPr="009B4EDF" w14:paraId="5484545A" w14:textId="77777777" w:rsidTr="008464E9">
        <w:tc>
          <w:tcPr>
            <w:tcW w:w="1417" w:type="dxa"/>
          </w:tcPr>
          <w:p w14:paraId="476C8D19" w14:textId="283FE8D6"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Variable</w:t>
            </w:r>
          </w:p>
        </w:tc>
        <w:tc>
          <w:tcPr>
            <w:tcW w:w="1493" w:type="dxa"/>
          </w:tcPr>
          <w:p w14:paraId="2A6DC137" w14:textId="0E7254F2"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Test</w:t>
            </w:r>
          </w:p>
        </w:tc>
        <w:tc>
          <w:tcPr>
            <w:tcW w:w="1057" w:type="dxa"/>
          </w:tcPr>
          <w:p w14:paraId="4F9A193F" w14:textId="2976B8ED"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Statistic</w:t>
            </w:r>
          </w:p>
        </w:tc>
        <w:tc>
          <w:tcPr>
            <w:tcW w:w="706" w:type="dxa"/>
          </w:tcPr>
          <w:p w14:paraId="65C75D8D" w14:textId="68C64E96" w:rsidR="007D7A8A" w:rsidRPr="009B4EDF" w:rsidRDefault="00392E7D" w:rsidP="0099485C">
            <w:pPr>
              <w:jc w:val="both"/>
              <w:rPr>
                <w:rFonts w:ascii="Palatino Linotype" w:hAnsi="Palatino Linotype" w:cs="Arial"/>
                <w:sz w:val="20"/>
                <w:szCs w:val="20"/>
              </w:rPr>
            </w:pPr>
            <w:proofErr w:type="spellStart"/>
            <w:r w:rsidRPr="009B4EDF">
              <w:rPr>
                <w:rFonts w:ascii="Palatino Linotype" w:hAnsi="Palatino Linotype" w:cs="Arial"/>
                <w:sz w:val="20"/>
                <w:szCs w:val="20"/>
              </w:rPr>
              <w:t>df</w:t>
            </w:r>
            <w:proofErr w:type="spellEnd"/>
          </w:p>
        </w:tc>
        <w:tc>
          <w:tcPr>
            <w:tcW w:w="1134" w:type="dxa"/>
          </w:tcPr>
          <w:p w14:paraId="2C5CD7FE" w14:textId="72D60213"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p-value</w:t>
            </w:r>
          </w:p>
        </w:tc>
        <w:tc>
          <w:tcPr>
            <w:tcW w:w="3209" w:type="dxa"/>
          </w:tcPr>
          <w:p w14:paraId="00D70916" w14:textId="0DCF8009"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Interpretation</w:t>
            </w:r>
          </w:p>
        </w:tc>
      </w:tr>
      <w:tr w:rsidR="00392E7D" w:rsidRPr="009B4EDF" w14:paraId="0945B260" w14:textId="77777777" w:rsidTr="008464E9">
        <w:tc>
          <w:tcPr>
            <w:tcW w:w="1417" w:type="dxa"/>
          </w:tcPr>
          <w:p w14:paraId="73A4E5D9" w14:textId="37CF55F0"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Firm Ownership</w:t>
            </w:r>
          </w:p>
        </w:tc>
        <w:tc>
          <w:tcPr>
            <w:tcW w:w="1493" w:type="dxa"/>
          </w:tcPr>
          <w:p w14:paraId="1812A361" w14:textId="7DB7A08F"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Chi-square</w:t>
            </w:r>
          </w:p>
        </w:tc>
        <w:tc>
          <w:tcPr>
            <w:tcW w:w="1057" w:type="dxa"/>
          </w:tcPr>
          <w:p w14:paraId="1E12894C" w14:textId="040F6C03"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4.50</w:t>
            </w:r>
          </w:p>
        </w:tc>
        <w:tc>
          <w:tcPr>
            <w:tcW w:w="706" w:type="dxa"/>
          </w:tcPr>
          <w:p w14:paraId="4829DFE8" w14:textId="18D26133"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1</w:t>
            </w:r>
          </w:p>
        </w:tc>
        <w:tc>
          <w:tcPr>
            <w:tcW w:w="1134" w:type="dxa"/>
          </w:tcPr>
          <w:p w14:paraId="097FA312" w14:textId="62A96347"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0.034</w:t>
            </w:r>
          </w:p>
        </w:tc>
        <w:tc>
          <w:tcPr>
            <w:tcW w:w="3209" w:type="dxa"/>
          </w:tcPr>
          <w:p w14:paraId="009FB093" w14:textId="3F79B0D9"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Significant association; non-firm owners more willing</w:t>
            </w:r>
          </w:p>
        </w:tc>
      </w:tr>
      <w:tr w:rsidR="00392E7D" w:rsidRPr="009B4EDF" w14:paraId="1314B36F" w14:textId="77777777" w:rsidTr="008464E9">
        <w:tc>
          <w:tcPr>
            <w:tcW w:w="1417" w:type="dxa"/>
          </w:tcPr>
          <w:p w14:paraId="51D8BE7A" w14:textId="641E3427"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Sector</w:t>
            </w:r>
          </w:p>
        </w:tc>
        <w:tc>
          <w:tcPr>
            <w:tcW w:w="1493" w:type="dxa"/>
          </w:tcPr>
          <w:p w14:paraId="03103D1B" w14:textId="704AD002"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Chi-square</w:t>
            </w:r>
          </w:p>
        </w:tc>
        <w:tc>
          <w:tcPr>
            <w:tcW w:w="1057" w:type="dxa"/>
          </w:tcPr>
          <w:p w14:paraId="2104EA76" w14:textId="541D3635"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1.20</w:t>
            </w:r>
          </w:p>
        </w:tc>
        <w:tc>
          <w:tcPr>
            <w:tcW w:w="706" w:type="dxa"/>
          </w:tcPr>
          <w:p w14:paraId="54A36671" w14:textId="2F56EA62"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2</w:t>
            </w:r>
          </w:p>
        </w:tc>
        <w:tc>
          <w:tcPr>
            <w:tcW w:w="1134" w:type="dxa"/>
          </w:tcPr>
          <w:p w14:paraId="1B9DE906" w14:textId="2979686A"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0.548</w:t>
            </w:r>
          </w:p>
        </w:tc>
        <w:tc>
          <w:tcPr>
            <w:tcW w:w="3209" w:type="dxa"/>
          </w:tcPr>
          <w:p w14:paraId="14015B35" w14:textId="55DE179E"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Not significant</w:t>
            </w:r>
          </w:p>
        </w:tc>
      </w:tr>
      <w:tr w:rsidR="00392E7D" w:rsidRPr="009B4EDF" w14:paraId="725AED0D" w14:textId="77777777" w:rsidTr="008464E9">
        <w:tc>
          <w:tcPr>
            <w:tcW w:w="1417" w:type="dxa"/>
          </w:tcPr>
          <w:p w14:paraId="1C345F20" w14:textId="470E2C0D"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Experience (Years)</w:t>
            </w:r>
          </w:p>
        </w:tc>
        <w:tc>
          <w:tcPr>
            <w:tcW w:w="1493" w:type="dxa"/>
          </w:tcPr>
          <w:p w14:paraId="20321223" w14:textId="5067AF89"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Spearman’s rho</w:t>
            </w:r>
          </w:p>
        </w:tc>
        <w:tc>
          <w:tcPr>
            <w:tcW w:w="1057" w:type="dxa"/>
          </w:tcPr>
          <w:p w14:paraId="3BEE9571" w14:textId="12909C20"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0.36</w:t>
            </w:r>
          </w:p>
        </w:tc>
        <w:tc>
          <w:tcPr>
            <w:tcW w:w="706" w:type="dxa"/>
          </w:tcPr>
          <w:p w14:paraId="4AE7E9E4" w14:textId="1D2CD588"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w:t>
            </w:r>
          </w:p>
        </w:tc>
        <w:tc>
          <w:tcPr>
            <w:tcW w:w="1134" w:type="dxa"/>
          </w:tcPr>
          <w:p w14:paraId="3E04A180" w14:textId="3A245BF7"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0.089</w:t>
            </w:r>
          </w:p>
        </w:tc>
        <w:tc>
          <w:tcPr>
            <w:tcW w:w="3209" w:type="dxa"/>
          </w:tcPr>
          <w:p w14:paraId="52B484E3" w14:textId="575C1A59" w:rsidR="007D7A8A" w:rsidRPr="009B4EDF" w:rsidRDefault="00392E7D" w:rsidP="0099485C">
            <w:pPr>
              <w:jc w:val="both"/>
              <w:rPr>
                <w:rFonts w:ascii="Palatino Linotype" w:hAnsi="Palatino Linotype" w:cs="Arial"/>
                <w:sz w:val="20"/>
                <w:szCs w:val="20"/>
              </w:rPr>
            </w:pPr>
            <w:r w:rsidRPr="009B4EDF">
              <w:rPr>
                <w:rFonts w:ascii="Palatino Linotype" w:hAnsi="Palatino Linotype" w:cs="Arial"/>
                <w:sz w:val="20"/>
                <w:szCs w:val="20"/>
              </w:rPr>
              <w:t>Weak, non-significant positive correlation</w:t>
            </w:r>
          </w:p>
        </w:tc>
      </w:tr>
    </w:tbl>
    <w:p w14:paraId="63562A78" w14:textId="77777777" w:rsidR="00392E7D" w:rsidRPr="009B4EDF" w:rsidRDefault="00392E7D" w:rsidP="0099485C">
      <w:pPr>
        <w:spacing w:after="0" w:line="240" w:lineRule="auto"/>
        <w:jc w:val="both"/>
        <w:rPr>
          <w:rFonts w:ascii="Palatino Linotype" w:eastAsia="Times New Roman" w:hAnsi="Palatino Linotype" w:cs="Arial"/>
          <w:kern w:val="0"/>
          <w:sz w:val="20"/>
          <w:szCs w:val="20"/>
          <w:lang w:val="en-GB"/>
          <w14:ligatures w14:val="none"/>
        </w:rPr>
      </w:pPr>
      <w:r w:rsidRPr="009B4EDF">
        <w:rPr>
          <w:rFonts w:ascii="Palatino Linotype" w:eastAsia="Times New Roman" w:hAnsi="Palatino Linotype" w:cs="Arial"/>
          <w:color w:val="000000"/>
          <w:kern w:val="0"/>
          <w:sz w:val="20"/>
          <w:szCs w:val="20"/>
          <w:lang w:val="en-GB"/>
          <w14:ligatures w14:val="none"/>
        </w:rPr>
        <w:t xml:space="preserve">Source: </w:t>
      </w:r>
      <w:r w:rsidRPr="009B4EDF">
        <w:rPr>
          <w:rFonts w:ascii="Palatino Linotype" w:eastAsia="Times New Roman" w:hAnsi="Palatino Linotype" w:cs="Arial"/>
          <w:kern w:val="0"/>
          <w:sz w:val="20"/>
          <w:szCs w:val="20"/>
          <w:lang w:val="en-GB"/>
          <w14:ligatures w14:val="none"/>
        </w:rPr>
        <w:t>Research findings</w:t>
      </w:r>
    </w:p>
    <w:p w14:paraId="584BB275" w14:textId="77777777" w:rsidR="00FB4BBD" w:rsidRDefault="00FB4BBD" w:rsidP="0099485C">
      <w:pPr>
        <w:spacing w:after="0" w:line="240" w:lineRule="auto"/>
        <w:jc w:val="both"/>
        <w:rPr>
          <w:rFonts w:ascii="Palatino Linotype" w:hAnsi="Palatino Linotype" w:cs="Arial"/>
          <w:sz w:val="22"/>
          <w:szCs w:val="22"/>
        </w:rPr>
      </w:pPr>
    </w:p>
    <w:p w14:paraId="382E0D12" w14:textId="54F50EF5" w:rsidR="003A1A73" w:rsidRDefault="003A1A73"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t>These results indicate that ownership status influences willingness, with non-firm owners more open to contributing data. The weak positive correlation with experience suggests that professional maturity may slightly influence readiness for structured collaboration, though not statistically significant.</w:t>
      </w:r>
    </w:p>
    <w:p w14:paraId="7B322184" w14:textId="77777777" w:rsidR="00FB4BBD" w:rsidRPr="00FB4BBD" w:rsidRDefault="00FB4BBD" w:rsidP="0099485C">
      <w:pPr>
        <w:spacing w:after="0" w:line="240" w:lineRule="auto"/>
        <w:jc w:val="both"/>
        <w:rPr>
          <w:rFonts w:ascii="Palatino Linotype" w:hAnsi="Palatino Linotype" w:cs="Arial"/>
          <w:sz w:val="22"/>
          <w:szCs w:val="22"/>
        </w:rPr>
      </w:pPr>
    </w:p>
    <w:p w14:paraId="6FB64CA5" w14:textId="6BFA39D6" w:rsidR="003A1A73" w:rsidRPr="00FB4BBD" w:rsidRDefault="00392E7D"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t>The strong overall willingness (91%) among Eswatini’s valuation practitioners aligns with Awuah et al. (2017), who emphasize valuers’ recognition of field data’s role in enhancing valuation accuracy and market transparency. However, the hesitance observed among some private firm owners reflects concerns documented by Olapade and Olaleye (2019), who note that valuers favour data-sharing arrangements where control and confidentiality are preserved. The weak positive correlation between experience and willingness also supports Ackermann et al. (2021), who argue that willingness to share data is context-dependent and influenced by professional maturity, trust, and institutional legitimacy.</w:t>
      </w:r>
    </w:p>
    <w:p w14:paraId="4EF1098F" w14:textId="3FA75A91" w:rsidR="003A1A73" w:rsidRPr="00FB4BBD" w:rsidRDefault="003A1A73"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t>Qualitative responses revealed that voluntary participation would be sustainable only under regulated frameworks with legal safeguards, institutional trust, and professional oversight, highlighting the importance of contextual factors beyond individual characteristics.</w:t>
      </w:r>
    </w:p>
    <w:p w14:paraId="7CFA587B" w14:textId="28733168" w:rsidR="00392E7D" w:rsidRPr="00FB4BBD" w:rsidRDefault="00215080" w:rsidP="0099485C">
      <w:pPr>
        <w:spacing w:after="0" w:line="240" w:lineRule="auto"/>
        <w:jc w:val="both"/>
        <w:rPr>
          <w:rFonts w:ascii="Palatino Linotype" w:hAnsi="Palatino Linotype" w:cs="Arial"/>
          <w:sz w:val="22"/>
          <w:szCs w:val="22"/>
        </w:rPr>
      </w:pPr>
      <w:r w:rsidRPr="00FB4BBD">
        <w:rPr>
          <w:rFonts w:ascii="Palatino Linotype" w:hAnsi="Palatino Linotype" w:cs="Arial"/>
          <w:sz w:val="22"/>
          <w:szCs w:val="22"/>
        </w:rPr>
        <w:t>The integration of quantitative and qualitative findings revealed a high level of complementarity. While 91% of respondents expressed willingness to share field data, qualitative responses highlighted important conditions. These included legal safeguards, institutional trust, and professional oversight</w:t>
      </w:r>
      <w:r w:rsidR="00392E7D" w:rsidRPr="00FB4BBD">
        <w:rPr>
          <w:rFonts w:ascii="Palatino Linotype" w:hAnsi="Palatino Linotype" w:cs="Arial"/>
          <w:sz w:val="22"/>
          <w:szCs w:val="22"/>
        </w:rPr>
        <w:t xml:space="preserve">. Respondents emphasized that voluntary participation would be sustainable only under a regulated framework managed by a neutral authority. This convergence between statistical trends and narrative explanations reinforces </w:t>
      </w:r>
      <w:r w:rsidR="00392E7D" w:rsidRPr="00FB4BBD">
        <w:rPr>
          <w:rFonts w:ascii="Palatino Linotype" w:hAnsi="Palatino Linotype" w:cs="Arial"/>
          <w:sz w:val="22"/>
          <w:szCs w:val="22"/>
        </w:rPr>
        <w:lastRenderedPageBreak/>
        <w:t>the robustness of the mixed-method design and illustrates how professional characteristics and contextual factors interact to shape Eswatini’s readiness for data sharing.</w:t>
      </w:r>
    </w:p>
    <w:p w14:paraId="4223ADA3" w14:textId="77777777" w:rsidR="0015535B" w:rsidRPr="00FB4BBD" w:rsidRDefault="0015535B" w:rsidP="0099485C">
      <w:pPr>
        <w:spacing w:after="0" w:line="240" w:lineRule="auto"/>
        <w:jc w:val="both"/>
        <w:rPr>
          <w:rFonts w:ascii="Palatino Linotype" w:hAnsi="Palatino Linotype" w:cs="Arial"/>
          <w:sz w:val="22"/>
          <w:szCs w:val="22"/>
        </w:rPr>
      </w:pPr>
    </w:p>
    <w:p w14:paraId="556D0F31" w14:textId="5556AA37" w:rsidR="000D496D" w:rsidRPr="00A22DC3" w:rsidRDefault="00FC43C0" w:rsidP="0099485C">
      <w:pPr>
        <w:spacing w:after="0" w:line="240" w:lineRule="auto"/>
        <w:jc w:val="both"/>
        <w:rPr>
          <w:rFonts w:ascii="Palatino Linotype" w:hAnsi="Palatino Linotype" w:cs="Arial"/>
          <w:b/>
          <w:bCs/>
          <w:sz w:val="22"/>
          <w:szCs w:val="22"/>
          <w:lang w:val="en-GB"/>
        </w:rPr>
      </w:pPr>
      <w:r w:rsidRPr="00A22DC3">
        <w:rPr>
          <w:rFonts w:ascii="Palatino Linotype" w:hAnsi="Palatino Linotype" w:cs="Arial"/>
          <w:b/>
          <w:bCs/>
          <w:sz w:val="22"/>
          <w:szCs w:val="22"/>
          <w:lang w:val="en-GB"/>
        </w:rPr>
        <w:t>Willingness to Abide to a Data Collection Standard</w:t>
      </w:r>
    </w:p>
    <w:p w14:paraId="6FF163E1" w14:textId="0B9A2783" w:rsidR="00BC6335" w:rsidRPr="00A22DC3" w:rsidRDefault="00A916AE" w:rsidP="0099485C">
      <w:pPr>
        <w:spacing w:after="0" w:line="240" w:lineRule="auto"/>
        <w:jc w:val="both"/>
        <w:rPr>
          <w:rFonts w:ascii="Palatino Linotype" w:hAnsi="Palatino Linotype" w:cs="Arial"/>
          <w:color w:val="000000" w:themeColor="text1"/>
          <w:sz w:val="22"/>
          <w:szCs w:val="22"/>
          <w:lang w:val="en-GB"/>
        </w:rPr>
      </w:pPr>
      <w:r w:rsidRPr="00A22DC3">
        <w:rPr>
          <w:rFonts w:ascii="Palatino Linotype" w:hAnsi="Palatino Linotype" w:cs="Arial"/>
          <w:sz w:val="22"/>
          <w:szCs w:val="22"/>
          <w:lang w:val="en-GB"/>
        </w:rPr>
        <w:t xml:space="preserve">Respondents were asked if they are willing to abide by a commonly agreed data collection standard for the sake of conformity, consistency and data quality, and all 23 respondents (100%) expressed their willingness to conform to standardized procedures aimed at improving conformity, consistency, and the overall quality of valuation data. </w:t>
      </w:r>
      <w:r w:rsidR="002302BC" w:rsidRPr="00A22DC3">
        <w:rPr>
          <w:rFonts w:ascii="Palatino Linotype" w:hAnsi="Palatino Linotype" w:cs="Arial"/>
          <w:sz w:val="22"/>
          <w:szCs w:val="22"/>
          <w:lang w:val="en-GB"/>
        </w:rPr>
        <w:t xml:space="preserve">The unanimous willingness (100%) of valuers in Eswatini to adopt a standard field data collection approach reflects a highly supportive professional environment for improving valuation quality. </w:t>
      </w:r>
      <w:r w:rsidRPr="00A22DC3">
        <w:rPr>
          <w:rFonts w:ascii="Palatino Linotype" w:hAnsi="Palatino Linotype" w:cs="Arial"/>
          <w:color w:val="000000"/>
          <w:sz w:val="22"/>
          <w:szCs w:val="22"/>
          <w:lang w:val="en-GB"/>
        </w:rPr>
        <w:t xml:space="preserve">Table </w:t>
      </w:r>
      <w:r w:rsidR="003A1A73" w:rsidRPr="00A22DC3">
        <w:rPr>
          <w:rFonts w:ascii="Palatino Linotype" w:hAnsi="Palatino Linotype" w:cs="Arial"/>
          <w:color w:val="000000"/>
          <w:sz w:val="22"/>
          <w:szCs w:val="22"/>
          <w:lang w:val="en-GB"/>
        </w:rPr>
        <w:t>4</w:t>
      </w:r>
      <w:r w:rsidRPr="00A22DC3">
        <w:rPr>
          <w:rFonts w:ascii="Palatino Linotype" w:hAnsi="Palatino Linotype" w:cs="Arial"/>
          <w:color w:val="000000"/>
          <w:sz w:val="22"/>
          <w:szCs w:val="22"/>
          <w:lang w:val="en-GB"/>
        </w:rPr>
        <w:t xml:space="preserve"> presents a breakdown of the relevant findings in the survey responses</w:t>
      </w:r>
    </w:p>
    <w:p w14:paraId="7C7F620D" w14:textId="77777777" w:rsidR="00A22DC3" w:rsidRDefault="00A22DC3"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8" w:name="_Toc202294827"/>
      <w:bookmarkStart w:id="9" w:name="_Toc202724975"/>
      <w:bookmarkStart w:id="10" w:name="_Toc203058903"/>
    </w:p>
    <w:p w14:paraId="306AEA25" w14:textId="6680F68D" w:rsidR="000F0096" w:rsidRPr="0099485C" w:rsidRDefault="000F0096"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Table </w:t>
      </w:r>
      <w:r w:rsidR="003A1A73" w:rsidRPr="0099485C">
        <w:rPr>
          <w:rFonts w:ascii="Palatino Linotype" w:eastAsia="Times New Roman" w:hAnsi="Palatino Linotype" w:cs="Arial"/>
          <w:kern w:val="0"/>
          <w:sz w:val="20"/>
          <w:szCs w:val="20"/>
          <w:lang w:val="en-GB"/>
          <w14:ligatures w14:val="none"/>
        </w:rPr>
        <w:t>4</w:t>
      </w:r>
      <w:r w:rsidRPr="0099485C">
        <w:rPr>
          <w:rFonts w:ascii="Palatino Linotype" w:eastAsia="Times New Roman" w:hAnsi="Palatino Linotype" w:cs="Arial"/>
          <w:kern w:val="0"/>
          <w:sz w:val="20"/>
          <w:szCs w:val="20"/>
          <w:lang w:val="en-GB"/>
          <w14:ligatures w14:val="none"/>
        </w:rPr>
        <w:t>: Willingness to abide to a data collection standard</w:t>
      </w:r>
      <w:bookmarkEnd w:id="8"/>
      <w:bookmarkEnd w:id="9"/>
      <w:bookmarkEnd w:id="10"/>
    </w:p>
    <w:tbl>
      <w:tblPr>
        <w:tblStyle w:val="TableGridLight"/>
        <w:tblW w:w="0" w:type="auto"/>
        <w:tblLook w:val="04A0" w:firstRow="1" w:lastRow="0" w:firstColumn="1" w:lastColumn="0" w:noHBand="0" w:noVBand="1"/>
      </w:tblPr>
      <w:tblGrid>
        <w:gridCol w:w="3006"/>
        <w:gridCol w:w="3012"/>
        <w:gridCol w:w="2998"/>
      </w:tblGrid>
      <w:tr w:rsidR="000F0096" w:rsidRPr="0099485C" w14:paraId="67E6B482" w14:textId="77777777" w:rsidTr="0083680E">
        <w:tc>
          <w:tcPr>
            <w:tcW w:w="3109" w:type="dxa"/>
          </w:tcPr>
          <w:p w14:paraId="10A5699C" w14:textId="12A7F7CC" w:rsidR="000F0096" w:rsidRPr="0099485C" w:rsidRDefault="002A386A"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Response</w:t>
            </w:r>
          </w:p>
        </w:tc>
        <w:tc>
          <w:tcPr>
            <w:tcW w:w="3111" w:type="dxa"/>
            <w:hideMark/>
          </w:tcPr>
          <w:p w14:paraId="34D12E52"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color w:val="000000" w:themeColor="text1"/>
                <w:kern w:val="0"/>
                <w:sz w:val="20"/>
                <w:szCs w:val="20"/>
                <w:lang w:val="en-GB"/>
                <w14:ligatures w14:val="none"/>
              </w:rPr>
              <w:t>Frequency</w:t>
            </w:r>
          </w:p>
        </w:tc>
        <w:tc>
          <w:tcPr>
            <w:tcW w:w="3110" w:type="dxa"/>
            <w:hideMark/>
          </w:tcPr>
          <w:p w14:paraId="57EADB2A"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color w:val="000000" w:themeColor="text1"/>
                <w:kern w:val="0"/>
                <w:sz w:val="20"/>
                <w:szCs w:val="20"/>
                <w:lang w:val="en-GB"/>
                <w14:ligatures w14:val="none"/>
              </w:rPr>
              <w:t>Percent</w:t>
            </w:r>
            <w:r w:rsidRPr="0099485C">
              <w:rPr>
                <w:rFonts w:ascii="Palatino Linotype" w:eastAsia="Aptos" w:hAnsi="Palatino Linotype" w:cs="Arial"/>
                <w:sz w:val="20"/>
                <w:szCs w:val="20"/>
                <w:lang w:val="en-GB"/>
                <w14:ligatures w14:val="none"/>
              </w:rPr>
              <w:t xml:space="preserve"> (%)</w:t>
            </w:r>
          </w:p>
        </w:tc>
      </w:tr>
      <w:tr w:rsidR="000F0096" w:rsidRPr="0099485C" w14:paraId="13DE2EBE" w14:textId="77777777" w:rsidTr="0083680E">
        <w:tc>
          <w:tcPr>
            <w:tcW w:w="3109" w:type="dxa"/>
            <w:hideMark/>
          </w:tcPr>
          <w:p w14:paraId="18A7C415"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Yes</w:t>
            </w:r>
          </w:p>
        </w:tc>
        <w:tc>
          <w:tcPr>
            <w:tcW w:w="3111" w:type="dxa"/>
            <w:hideMark/>
          </w:tcPr>
          <w:p w14:paraId="771A1FD5"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23</w:t>
            </w:r>
          </w:p>
        </w:tc>
        <w:tc>
          <w:tcPr>
            <w:tcW w:w="3110" w:type="dxa"/>
          </w:tcPr>
          <w:p w14:paraId="40443626"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r>
      <w:tr w:rsidR="000F0096" w:rsidRPr="0099485C" w14:paraId="56ED7465" w14:textId="77777777" w:rsidTr="0083680E">
        <w:tc>
          <w:tcPr>
            <w:tcW w:w="3109" w:type="dxa"/>
            <w:hideMark/>
          </w:tcPr>
          <w:p w14:paraId="4DB3E7D2"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w:t>
            </w:r>
          </w:p>
        </w:tc>
        <w:tc>
          <w:tcPr>
            <w:tcW w:w="3111" w:type="dxa"/>
            <w:hideMark/>
          </w:tcPr>
          <w:p w14:paraId="09D130FE"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0 </w:t>
            </w:r>
          </w:p>
        </w:tc>
        <w:tc>
          <w:tcPr>
            <w:tcW w:w="3110" w:type="dxa"/>
          </w:tcPr>
          <w:p w14:paraId="7D4EE67E" w14:textId="544D1218"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0</w:t>
            </w:r>
          </w:p>
        </w:tc>
      </w:tr>
      <w:tr w:rsidR="000F0096" w:rsidRPr="0099485C" w14:paraId="1A2A52B8" w14:textId="77777777" w:rsidTr="0083680E">
        <w:trPr>
          <w:trHeight w:val="58"/>
        </w:trPr>
        <w:tc>
          <w:tcPr>
            <w:tcW w:w="3109" w:type="dxa"/>
            <w:hideMark/>
          </w:tcPr>
          <w:p w14:paraId="6E973402"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Total</w:t>
            </w:r>
          </w:p>
        </w:tc>
        <w:tc>
          <w:tcPr>
            <w:tcW w:w="3111" w:type="dxa"/>
          </w:tcPr>
          <w:p w14:paraId="39B33174" w14:textId="77777777" w:rsidR="000F0096" w:rsidRPr="0099485C" w:rsidRDefault="000F0096"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c>
          <w:tcPr>
            <w:tcW w:w="3110" w:type="dxa"/>
          </w:tcPr>
          <w:p w14:paraId="2A7D0B61" w14:textId="4CD12739" w:rsidR="000F0096" w:rsidRPr="0099485C" w:rsidRDefault="006553F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r>
    </w:tbl>
    <w:p w14:paraId="3291B0DF" w14:textId="6D882217" w:rsidR="00724552" w:rsidRPr="0099485C" w:rsidRDefault="000F0096"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3D477F68"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6784EB2C" w14:textId="00A68032" w:rsidR="00FC43C0" w:rsidRPr="00A22DC3" w:rsidRDefault="00755086" w:rsidP="0099485C">
      <w:pPr>
        <w:spacing w:after="0" w:line="240" w:lineRule="auto"/>
        <w:jc w:val="both"/>
        <w:rPr>
          <w:rFonts w:ascii="Palatino Linotype" w:hAnsi="Palatino Linotype" w:cs="Arial"/>
          <w:sz w:val="22"/>
          <w:szCs w:val="22"/>
          <w:lang w:val="en-GB"/>
        </w:rPr>
      </w:pPr>
      <w:r w:rsidRPr="00A22DC3">
        <w:rPr>
          <w:rFonts w:ascii="Palatino Linotype" w:hAnsi="Palatino Linotype" w:cs="Arial"/>
          <w:color w:val="000000" w:themeColor="text1"/>
          <w:sz w:val="22"/>
          <w:szCs w:val="22"/>
          <w:lang w:val="en-GB"/>
        </w:rPr>
        <w:t xml:space="preserve">This finding aligns strongly with the literature by </w:t>
      </w:r>
      <w:r w:rsidRPr="00A22DC3">
        <w:rPr>
          <w:rFonts w:ascii="Palatino Linotype" w:hAnsi="Palatino Linotype" w:cs="Arial"/>
          <w:sz w:val="22"/>
          <w:szCs w:val="22"/>
          <w:lang w:val="en-GB"/>
        </w:rPr>
        <w:t xml:space="preserve">Ajibola and </w:t>
      </w:r>
      <w:proofErr w:type="spellStart"/>
      <w:r w:rsidRPr="00A22DC3">
        <w:rPr>
          <w:rFonts w:ascii="Palatino Linotype" w:hAnsi="Palatino Linotype" w:cs="Arial"/>
          <w:sz w:val="22"/>
          <w:szCs w:val="22"/>
          <w:lang w:val="en-GB"/>
        </w:rPr>
        <w:t>Ogungbemi</w:t>
      </w:r>
      <w:proofErr w:type="spellEnd"/>
      <w:r w:rsidRPr="00A22DC3">
        <w:rPr>
          <w:rFonts w:ascii="Palatino Linotype" w:hAnsi="Palatino Linotype" w:cs="Arial"/>
          <w:sz w:val="22"/>
          <w:szCs w:val="22"/>
          <w:lang w:val="en-GB"/>
        </w:rPr>
        <w:t xml:space="preserve"> (2021) and Mooya (2022)</w:t>
      </w:r>
      <w:r w:rsidRPr="00A22DC3">
        <w:rPr>
          <w:rFonts w:ascii="Palatino Linotype" w:hAnsi="Palatino Linotype" w:cs="Arial"/>
          <w:color w:val="000000" w:themeColor="text1"/>
          <w:sz w:val="22"/>
          <w:szCs w:val="22"/>
          <w:lang w:val="en-GB"/>
        </w:rPr>
        <w:t>, who advocate for unified standards as means to enhance consistency, transparency, and reliability in valuation practice. Unlike earlier concerns in Sub -Saharan Africa where standardisation was often met with resistance, the Eswatini context demonstrates a shift in professional mindset, valuers recognise that common standards are not restrictive, but rather enablers of accuracy and trust.</w:t>
      </w:r>
    </w:p>
    <w:p w14:paraId="0750226E" w14:textId="77777777" w:rsidR="009B4EDF" w:rsidRDefault="009B4EDF" w:rsidP="0099485C">
      <w:pPr>
        <w:spacing w:after="0" w:line="240" w:lineRule="auto"/>
        <w:jc w:val="both"/>
        <w:rPr>
          <w:rFonts w:ascii="Palatino Linotype" w:hAnsi="Palatino Linotype" w:cs="Arial"/>
          <w:sz w:val="22"/>
          <w:szCs w:val="22"/>
          <w:lang w:val="en-GB"/>
        </w:rPr>
      </w:pPr>
    </w:p>
    <w:p w14:paraId="62238AF8" w14:textId="0AA56CEB" w:rsidR="00E37F0B" w:rsidRPr="009B4EDF" w:rsidRDefault="00774696" w:rsidP="0099485C">
      <w:pPr>
        <w:spacing w:after="0" w:line="240" w:lineRule="auto"/>
        <w:jc w:val="both"/>
        <w:rPr>
          <w:rFonts w:ascii="Palatino Linotype" w:hAnsi="Palatino Linotype" w:cs="Arial"/>
          <w:b/>
          <w:bCs/>
          <w:sz w:val="22"/>
          <w:szCs w:val="22"/>
          <w:lang w:val="en-GB"/>
        </w:rPr>
      </w:pPr>
      <w:r w:rsidRPr="009B4EDF">
        <w:rPr>
          <w:rFonts w:ascii="Palatino Linotype" w:hAnsi="Palatino Linotype" w:cs="Arial"/>
          <w:b/>
          <w:bCs/>
          <w:sz w:val="22"/>
          <w:szCs w:val="22"/>
          <w:lang w:val="en-GB"/>
        </w:rPr>
        <w:t>Preferred Entity to Ma</w:t>
      </w:r>
      <w:r w:rsidR="005B0D5F" w:rsidRPr="009B4EDF">
        <w:rPr>
          <w:rFonts w:ascii="Palatino Linotype" w:hAnsi="Palatino Linotype" w:cs="Arial"/>
          <w:b/>
          <w:bCs/>
          <w:sz w:val="22"/>
          <w:szCs w:val="22"/>
          <w:lang w:val="en-GB"/>
        </w:rPr>
        <w:t>nage the Centralized Database</w:t>
      </w:r>
    </w:p>
    <w:p w14:paraId="6B828B32" w14:textId="5924CFA8" w:rsidR="00933AF6" w:rsidRPr="00A22DC3" w:rsidRDefault="00B02786" w:rsidP="0099485C">
      <w:pPr>
        <w:spacing w:after="0" w:line="240" w:lineRule="auto"/>
        <w:jc w:val="both"/>
        <w:rPr>
          <w:rFonts w:ascii="Palatino Linotype" w:hAnsi="Palatino Linotype" w:cs="Arial"/>
          <w:sz w:val="22"/>
          <w:szCs w:val="22"/>
          <w:lang w:val="en-GB"/>
        </w:rPr>
      </w:pPr>
      <w:r w:rsidRPr="00A22DC3">
        <w:rPr>
          <w:rFonts w:ascii="Palatino Linotype" w:hAnsi="Palatino Linotype" w:cs="Arial"/>
          <w:sz w:val="22"/>
          <w:szCs w:val="22"/>
          <w:lang w:val="en-GB"/>
        </w:rPr>
        <w:t xml:space="preserve">Respondents were </w:t>
      </w:r>
      <w:r w:rsidRPr="00A22DC3">
        <w:rPr>
          <w:rFonts w:ascii="Palatino Linotype" w:hAnsi="Palatino Linotype" w:cs="Arial"/>
          <w:color w:val="000000"/>
          <w:sz w:val="22"/>
          <w:szCs w:val="22"/>
          <w:lang w:val="en-GB"/>
        </w:rPr>
        <w:t xml:space="preserve">asked to indicate their preferred entity to manage a centralized valuation database. </w:t>
      </w:r>
      <w:r w:rsidR="0083680E" w:rsidRPr="00A22DC3">
        <w:rPr>
          <w:rFonts w:ascii="Palatino Linotype" w:hAnsi="Palatino Linotype" w:cs="Arial"/>
          <w:color w:val="000000"/>
          <w:sz w:val="22"/>
          <w:szCs w:val="22"/>
          <w:lang w:val="en-GB"/>
        </w:rPr>
        <w:t>Most</w:t>
      </w:r>
      <w:r w:rsidR="002302BC" w:rsidRPr="00A22DC3">
        <w:rPr>
          <w:rFonts w:ascii="Palatino Linotype" w:hAnsi="Palatino Linotype" w:cs="Arial"/>
          <w:color w:val="000000"/>
          <w:sz w:val="22"/>
          <w:szCs w:val="22"/>
          <w:lang w:val="en-GB"/>
        </w:rPr>
        <w:t xml:space="preserve"> respondents (87%) preferred that the centralised valuation database be managed by a regulatory authority, while only two respondents (9%) favoured a private vendor, and one respondent (4%) suggested management by a fellow valuer. This distribution indicates a strong professional preference for institutional oversight, reflecting concerns about potential conflicts of interest, data manipulation, or lack of long-term sustainability under private or individual management. </w:t>
      </w:r>
      <w:r w:rsidR="00933AF6" w:rsidRPr="00A22DC3">
        <w:rPr>
          <w:rFonts w:ascii="Palatino Linotype" w:hAnsi="Palatino Linotype" w:cs="Arial"/>
          <w:color w:val="000000"/>
          <w:sz w:val="22"/>
          <w:szCs w:val="22"/>
          <w:lang w:val="en-GB"/>
        </w:rPr>
        <w:t xml:space="preserve">Table </w:t>
      </w:r>
      <w:r w:rsidR="003A1A73" w:rsidRPr="00A22DC3">
        <w:rPr>
          <w:rFonts w:ascii="Palatino Linotype" w:hAnsi="Palatino Linotype" w:cs="Arial"/>
          <w:color w:val="000000"/>
          <w:sz w:val="22"/>
          <w:szCs w:val="22"/>
          <w:lang w:val="en-GB"/>
        </w:rPr>
        <w:t>5</w:t>
      </w:r>
      <w:r w:rsidR="00933AF6" w:rsidRPr="00A22DC3">
        <w:rPr>
          <w:rFonts w:ascii="Palatino Linotype" w:hAnsi="Palatino Linotype" w:cs="Arial"/>
          <w:color w:val="000000"/>
          <w:sz w:val="22"/>
          <w:szCs w:val="22"/>
          <w:lang w:val="en-GB"/>
        </w:rPr>
        <w:t xml:space="preserve"> presents a breakdown of the relevant findings in the survey responses.</w:t>
      </w:r>
    </w:p>
    <w:p w14:paraId="30C7AD7C" w14:textId="77777777" w:rsidR="00A22DC3" w:rsidRDefault="00A22DC3"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11" w:name="_Toc202294828"/>
      <w:bookmarkStart w:id="12" w:name="_Toc202724976"/>
      <w:bookmarkStart w:id="13" w:name="_Toc203058904"/>
    </w:p>
    <w:p w14:paraId="13C9FB4A" w14:textId="4473FD42" w:rsidR="00724F83" w:rsidRPr="0099485C" w:rsidRDefault="00724F83"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Table </w:t>
      </w:r>
      <w:r w:rsidR="003A1A73" w:rsidRPr="0099485C">
        <w:rPr>
          <w:rFonts w:ascii="Palatino Linotype" w:eastAsia="Times New Roman" w:hAnsi="Palatino Linotype" w:cs="Arial"/>
          <w:kern w:val="0"/>
          <w:sz w:val="20"/>
          <w:szCs w:val="20"/>
          <w:lang w:val="en-GB"/>
          <w14:ligatures w14:val="none"/>
        </w:rPr>
        <w:t>5</w:t>
      </w:r>
      <w:r w:rsidRPr="0099485C">
        <w:rPr>
          <w:rFonts w:ascii="Palatino Linotype" w:eastAsia="Times New Roman" w:hAnsi="Palatino Linotype" w:cs="Arial"/>
          <w:kern w:val="0"/>
          <w:sz w:val="20"/>
          <w:szCs w:val="20"/>
          <w:lang w:val="en-GB"/>
          <w14:ligatures w14:val="none"/>
        </w:rPr>
        <w:t>: Preferred entity to manage the centralized database</w:t>
      </w:r>
      <w:bookmarkEnd w:id="11"/>
      <w:bookmarkEnd w:id="12"/>
      <w:bookmarkEnd w:id="13"/>
    </w:p>
    <w:tbl>
      <w:tblPr>
        <w:tblStyle w:val="TableGridLight"/>
        <w:tblW w:w="0" w:type="auto"/>
        <w:tblLook w:val="04A0" w:firstRow="1" w:lastRow="0" w:firstColumn="1" w:lastColumn="0" w:noHBand="0" w:noVBand="1"/>
      </w:tblPr>
      <w:tblGrid>
        <w:gridCol w:w="3009"/>
        <w:gridCol w:w="3011"/>
        <w:gridCol w:w="2996"/>
      </w:tblGrid>
      <w:tr w:rsidR="00724F83" w:rsidRPr="0099485C" w14:paraId="7D8F33F6" w14:textId="77777777" w:rsidTr="0083680E">
        <w:tc>
          <w:tcPr>
            <w:tcW w:w="3116" w:type="dxa"/>
          </w:tcPr>
          <w:p w14:paraId="46BA08B8" w14:textId="38F5498B" w:rsidR="00724F83" w:rsidRPr="0099485C" w:rsidRDefault="002A386A"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Entity</w:t>
            </w:r>
          </w:p>
        </w:tc>
        <w:tc>
          <w:tcPr>
            <w:tcW w:w="3117" w:type="dxa"/>
            <w:hideMark/>
          </w:tcPr>
          <w:p w14:paraId="69ED5594"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3117" w:type="dxa"/>
            <w:hideMark/>
          </w:tcPr>
          <w:p w14:paraId="50F90DB2"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 (%)</w:t>
            </w:r>
          </w:p>
        </w:tc>
      </w:tr>
      <w:tr w:rsidR="00724F83" w:rsidRPr="0099485C" w14:paraId="10B55F10" w14:textId="77777777" w:rsidTr="0083680E">
        <w:tc>
          <w:tcPr>
            <w:tcW w:w="3116" w:type="dxa"/>
            <w:hideMark/>
          </w:tcPr>
          <w:p w14:paraId="79C95D73"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A private vendor </w:t>
            </w:r>
          </w:p>
        </w:tc>
        <w:tc>
          <w:tcPr>
            <w:tcW w:w="3117" w:type="dxa"/>
            <w:hideMark/>
          </w:tcPr>
          <w:p w14:paraId="3D12F2FF"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3117" w:type="dxa"/>
          </w:tcPr>
          <w:p w14:paraId="1B0101F9"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9</w:t>
            </w:r>
          </w:p>
        </w:tc>
      </w:tr>
      <w:tr w:rsidR="00724F83" w:rsidRPr="0099485C" w14:paraId="16139299" w14:textId="77777777" w:rsidTr="0083680E">
        <w:tc>
          <w:tcPr>
            <w:tcW w:w="3116" w:type="dxa"/>
            <w:hideMark/>
          </w:tcPr>
          <w:p w14:paraId="190CA5BB"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A regulatory authority </w:t>
            </w:r>
          </w:p>
        </w:tc>
        <w:tc>
          <w:tcPr>
            <w:tcW w:w="3117" w:type="dxa"/>
            <w:hideMark/>
          </w:tcPr>
          <w:p w14:paraId="153EC443"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20</w:t>
            </w:r>
          </w:p>
        </w:tc>
        <w:tc>
          <w:tcPr>
            <w:tcW w:w="3117" w:type="dxa"/>
          </w:tcPr>
          <w:p w14:paraId="23FC0333"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724F83" w:rsidRPr="0099485C" w14:paraId="3CEAF1DD" w14:textId="77777777" w:rsidTr="0083680E">
        <w:tc>
          <w:tcPr>
            <w:tcW w:w="3116" w:type="dxa"/>
            <w:hideMark/>
          </w:tcPr>
          <w:p w14:paraId="07EBAD9C"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One of the valuers</w:t>
            </w:r>
          </w:p>
        </w:tc>
        <w:tc>
          <w:tcPr>
            <w:tcW w:w="3117" w:type="dxa"/>
            <w:hideMark/>
          </w:tcPr>
          <w:p w14:paraId="776FEBB9"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w:t>
            </w:r>
          </w:p>
        </w:tc>
        <w:tc>
          <w:tcPr>
            <w:tcW w:w="3117" w:type="dxa"/>
          </w:tcPr>
          <w:p w14:paraId="1BB2FEF0"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4</w:t>
            </w:r>
          </w:p>
        </w:tc>
      </w:tr>
      <w:tr w:rsidR="00724F83" w:rsidRPr="0099485C" w14:paraId="2744A565" w14:textId="77777777" w:rsidTr="0083680E">
        <w:tc>
          <w:tcPr>
            <w:tcW w:w="3116" w:type="dxa"/>
            <w:hideMark/>
          </w:tcPr>
          <w:p w14:paraId="1C4D795D"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Total</w:t>
            </w:r>
          </w:p>
        </w:tc>
        <w:tc>
          <w:tcPr>
            <w:tcW w:w="3117" w:type="dxa"/>
          </w:tcPr>
          <w:p w14:paraId="6335A299"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23</w:t>
            </w:r>
          </w:p>
        </w:tc>
        <w:tc>
          <w:tcPr>
            <w:tcW w:w="3117" w:type="dxa"/>
          </w:tcPr>
          <w:p w14:paraId="1BABC22B" w14:textId="77777777" w:rsidR="00724F83" w:rsidRPr="0099485C" w:rsidRDefault="00724F8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r>
    </w:tbl>
    <w:p w14:paraId="24397ABD" w14:textId="76556F5A" w:rsidR="005B0D5F" w:rsidRPr="0099485C" w:rsidRDefault="00724F83"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color w:val="000000"/>
          <w:kern w:val="0"/>
          <w:sz w:val="20"/>
          <w:szCs w:val="20"/>
          <w:lang w:val="en-GB"/>
          <w14:ligatures w14:val="none"/>
        </w:rPr>
        <w:t xml:space="preserve">Source: </w:t>
      </w:r>
      <w:r w:rsidRPr="0099485C">
        <w:rPr>
          <w:rFonts w:ascii="Palatino Linotype" w:eastAsia="Times New Roman" w:hAnsi="Palatino Linotype" w:cs="Arial"/>
          <w:kern w:val="0"/>
          <w:sz w:val="20"/>
          <w:szCs w:val="20"/>
          <w:lang w:val="en-GB"/>
          <w14:ligatures w14:val="none"/>
        </w:rPr>
        <w:t>Research findings</w:t>
      </w:r>
    </w:p>
    <w:p w14:paraId="1EF18193"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5B6C6F3D" w14:textId="66E5F883" w:rsidR="00DC0B11" w:rsidRPr="003D2B29" w:rsidRDefault="00C131BF" w:rsidP="0099485C">
      <w:pPr>
        <w:spacing w:after="0" w:line="240" w:lineRule="auto"/>
        <w:jc w:val="both"/>
        <w:rPr>
          <w:rFonts w:ascii="Palatino Linotype" w:eastAsia="Times New Roman" w:hAnsi="Palatino Linotype" w:cs="Arial"/>
          <w:color w:val="FF0000"/>
          <w:kern w:val="0"/>
          <w:sz w:val="22"/>
          <w:szCs w:val="22"/>
          <w:lang w:val="en-GB"/>
          <w14:ligatures w14:val="none"/>
        </w:rPr>
      </w:pPr>
      <w:r w:rsidRPr="003D2B29">
        <w:rPr>
          <w:rFonts w:ascii="Palatino Linotype" w:hAnsi="Palatino Linotype" w:cs="Arial"/>
          <w:sz w:val="22"/>
          <w:szCs w:val="22"/>
          <w:lang w:val="en-GB"/>
        </w:rPr>
        <w:t xml:space="preserve">These </w:t>
      </w:r>
      <w:r w:rsidR="00D908D6" w:rsidRPr="003D2B29">
        <w:rPr>
          <w:rFonts w:ascii="Palatino Linotype" w:eastAsia="Times New Roman" w:hAnsi="Palatino Linotype" w:cs="Arial"/>
          <w:kern w:val="0"/>
          <w:sz w:val="22"/>
          <w:szCs w:val="22"/>
          <w:lang w:val="en-GB"/>
          <w14:ligatures w14:val="none"/>
        </w:rPr>
        <w:t xml:space="preserve">preferences mirror Ackermann et al. (2021) and Williamson et al. (2020), who argue that institutional legitimacy is crucial for long term success of valuation reforms. In the Eswatini context where professional oversight remains underdeveloped, the establishment of a robust </w:t>
      </w:r>
      <w:r w:rsidR="00D908D6" w:rsidRPr="003D2B29">
        <w:rPr>
          <w:rFonts w:ascii="Palatino Linotype" w:eastAsia="Times New Roman" w:hAnsi="Palatino Linotype" w:cs="Arial"/>
          <w:kern w:val="0"/>
          <w:sz w:val="22"/>
          <w:szCs w:val="22"/>
          <w:lang w:val="en-GB"/>
          <w14:ligatures w14:val="none"/>
        </w:rPr>
        <w:lastRenderedPageBreak/>
        <w:t>regulatory framework could help consolidate efforts and minimise mistrust between stakeholders.</w:t>
      </w:r>
      <w:r w:rsidR="00D908D6" w:rsidRPr="003D2B29">
        <w:rPr>
          <w:rFonts w:ascii="Palatino Linotype" w:eastAsia="Times New Roman" w:hAnsi="Palatino Linotype" w:cs="Arial"/>
          <w:color w:val="000000"/>
          <w:kern w:val="0"/>
          <w:sz w:val="22"/>
          <w:szCs w:val="22"/>
          <w:lang w:val="en-GB"/>
          <w14:ligatures w14:val="none"/>
        </w:rPr>
        <w:t xml:space="preserve"> In contrast, the minimal support for private or individual management implies concerns over potential conflicts of interest, data manipulation, or lack of long-term sustainability in a non-regulated environment. The findings reinforce the importance of placing such an initiative under an independent, authoritative institution preferably one with statutory or government backing if voluntary participation and trust among valuers is to be achieved.</w:t>
      </w:r>
    </w:p>
    <w:p w14:paraId="2F095C11" w14:textId="77777777" w:rsidR="003D2B29" w:rsidRDefault="003D2B29" w:rsidP="0099485C">
      <w:pPr>
        <w:spacing w:after="0" w:line="240" w:lineRule="auto"/>
        <w:jc w:val="both"/>
        <w:rPr>
          <w:rFonts w:ascii="Palatino Linotype" w:hAnsi="Palatino Linotype" w:cs="Arial"/>
          <w:sz w:val="22"/>
          <w:szCs w:val="22"/>
          <w:lang w:val="en-GB"/>
        </w:rPr>
      </w:pPr>
    </w:p>
    <w:p w14:paraId="71E000A9" w14:textId="1F6CE13B" w:rsidR="00E37F0B" w:rsidRPr="003D2B29" w:rsidRDefault="005A6E46" w:rsidP="0099485C">
      <w:pPr>
        <w:spacing w:after="0" w:line="240" w:lineRule="auto"/>
        <w:jc w:val="both"/>
        <w:rPr>
          <w:rFonts w:ascii="Palatino Linotype" w:hAnsi="Palatino Linotype" w:cs="Arial"/>
          <w:b/>
          <w:bCs/>
          <w:sz w:val="22"/>
          <w:szCs w:val="22"/>
          <w:lang w:val="en-GB"/>
        </w:rPr>
      </w:pPr>
      <w:r w:rsidRPr="003D2B29">
        <w:rPr>
          <w:rFonts w:ascii="Palatino Linotype" w:hAnsi="Palatino Linotype" w:cs="Arial"/>
          <w:b/>
          <w:bCs/>
          <w:sz w:val="22"/>
          <w:szCs w:val="22"/>
          <w:lang w:val="en-GB"/>
        </w:rPr>
        <w:t>Readiness of the Valuation Profession in Eswatini</w:t>
      </w:r>
    </w:p>
    <w:p w14:paraId="54A6AD18" w14:textId="42177447" w:rsidR="006475FB" w:rsidRPr="003D2B29" w:rsidRDefault="002F721D" w:rsidP="0099485C">
      <w:pPr>
        <w:spacing w:after="0" w:line="240" w:lineRule="auto"/>
        <w:jc w:val="both"/>
        <w:rPr>
          <w:rFonts w:ascii="Palatino Linotype" w:hAnsi="Palatino Linotype" w:cs="Arial"/>
          <w:color w:val="000000"/>
          <w:sz w:val="22"/>
          <w:szCs w:val="22"/>
          <w:lang w:val="en-GB"/>
        </w:rPr>
      </w:pPr>
      <w:r w:rsidRPr="003D2B29">
        <w:rPr>
          <w:rFonts w:ascii="Palatino Linotype" w:hAnsi="Palatino Linotype" w:cs="Arial"/>
          <w:sz w:val="22"/>
          <w:szCs w:val="22"/>
          <w:lang w:val="en-GB"/>
        </w:rPr>
        <w:t xml:space="preserve">To assess the readiness of the valuation profession in Eswatini for the creation of a centralized property data sharing platform, respondents were asked whether they are registered with the Eswatini Data Protection Authority (EDPA). Registration with the EDPA is a critical compliance step to ensure that any handling of personal or property related data aligns with national data protection laws. </w:t>
      </w:r>
      <w:r w:rsidR="002302BC" w:rsidRPr="003D2B29">
        <w:rPr>
          <w:rFonts w:ascii="Palatino Linotype" w:hAnsi="Palatino Linotype" w:cs="Arial"/>
          <w:sz w:val="22"/>
          <w:szCs w:val="22"/>
          <w:lang w:val="en-GB"/>
        </w:rPr>
        <w:t>The findings reveal that only five respondents (22%) were registered with the Eswatini Data Protection Authority (EDPA), primarily due to a lack of awareness of its existence. This low registration rate indicates a critical gap in legal compliance within the valuation profession, which could hinder the lawful management of sensitive property and client data in a centralized database. It also suggests that professional readiness for data governance is uneven, highlighting the need for awareness campaigns, mandatory registration, and capacity-building initiatives to ensure that data-sharing practices align with national legal requirements</w:t>
      </w:r>
      <w:r w:rsidRPr="003D2B29">
        <w:rPr>
          <w:rFonts w:ascii="Palatino Linotype" w:hAnsi="Palatino Linotype" w:cs="Arial"/>
          <w:sz w:val="22"/>
          <w:szCs w:val="22"/>
          <w:lang w:val="en-GB"/>
        </w:rPr>
        <w:t xml:space="preserve">. </w:t>
      </w:r>
      <w:r w:rsidRPr="003D2B29">
        <w:rPr>
          <w:rFonts w:ascii="Palatino Linotype" w:hAnsi="Palatino Linotype" w:cs="Arial"/>
          <w:color w:val="000000"/>
          <w:sz w:val="22"/>
          <w:szCs w:val="22"/>
          <w:lang w:val="en-GB"/>
        </w:rPr>
        <w:t xml:space="preserve">Table </w:t>
      </w:r>
      <w:r w:rsidR="003A1A73" w:rsidRPr="003D2B29">
        <w:rPr>
          <w:rFonts w:ascii="Palatino Linotype" w:hAnsi="Palatino Linotype" w:cs="Arial"/>
          <w:color w:val="000000"/>
          <w:sz w:val="22"/>
          <w:szCs w:val="22"/>
          <w:lang w:val="en-GB"/>
        </w:rPr>
        <w:t>6</w:t>
      </w:r>
      <w:r w:rsidRPr="003D2B29">
        <w:rPr>
          <w:rFonts w:ascii="Palatino Linotype" w:hAnsi="Palatino Linotype" w:cs="Arial"/>
          <w:color w:val="000000"/>
          <w:sz w:val="22"/>
          <w:szCs w:val="22"/>
          <w:lang w:val="en-GB"/>
        </w:rPr>
        <w:t xml:space="preserve"> presents a breakdown of the relevant findings in the survey responses</w:t>
      </w:r>
      <w:r w:rsidR="00A13AF8" w:rsidRPr="003D2B29">
        <w:rPr>
          <w:rFonts w:ascii="Palatino Linotype" w:hAnsi="Palatino Linotype" w:cs="Arial"/>
          <w:color w:val="000000"/>
          <w:sz w:val="22"/>
          <w:szCs w:val="22"/>
          <w:lang w:val="en-GB"/>
        </w:rPr>
        <w:t>.</w:t>
      </w:r>
    </w:p>
    <w:p w14:paraId="1938499E" w14:textId="77777777" w:rsidR="003D2B29" w:rsidRDefault="003D2B29" w:rsidP="0099485C">
      <w:pPr>
        <w:tabs>
          <w:tab w:val="left" w:pos="1134"/>
        </w:tabs>
        <w:spacing w:after="0" w:line="240" w:lineRule="auto"/>
        <w:ind w:left="1134" w:hanging="1134"/>
        <w:jc w:val="both"/>
        <w:rPr>
          <w:rFonts w:ascii="Palatino Linotype" w:eastAsia="Times New Roman" w:hAnsi="Palatino Linotype" w:cs="Arial"/>
          <w:kern w:val="0"/>
          <w:sz w:val="22"/>
          <w:szCs w:val="22"/>
          <w:lang w:val="en-GB"/>
          <w14:ligatures w14:val="none"/>
        </w:rPr>
      </w:pPr>
      <w:bookmarkStart w:id="14" w:name="_Toc202294829"/>
      <w:bookmarkStart w:id="15" w:name="_Toc202724977"/>
      <w:bookmarkStart w:id="16" w:name="_Toc203058905"/>
    </w:p>
    <w:p w14:paraId="60DBA55D" w14:textId="22C9225F" w:rsidR="006B3E34" w:rsidRPr="003D2B29" w:rsidRDefault="006B3E34"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3D2B29">
        <w:rPr>
          <w:rFonts w:ascii="Palatino Linotype" w:eastAsia="Times New Roman" w:hAnsi="Palatino Linotype" w:cs="Arial"/>
          <w:kern w:val="0"/>
          <w:sz w:val="20"/>
          <w:szCs w:val="20"/>
          <w:lang w:val="en-GB"/>
          <w14:ligatures w14:val="none"/>
        </w:rPr>
        <w:t xml:space="preserve">Table </w:t>
      </w:r>
      <w:r w:rsidR="003A1A73" w:rsidRPr="003D2B29">
        <w:rPr>
          <w:rFonts w:ascii="Palatino Linotype" w:eastAsia="Times New Roman" w:hAnsi="Palatino Linotype" w:cs="Arial"/>
          <w:kern w:val="0"/>
          <w:sz w:val="20"/>
          <w:szCs w:val="20"/>
          <w:lang w:val="en-GB"/>
          <w14:ligatures w14:val="none"/>
        </w:rPr>
        <w:t>6</w:t>
      </w:r>
      <w:r w:rsidRPr="003D2B29">
        <w:rPr>
          <w:rFonts w:ascii="Palatino Linotype" w:eastAsia="Times New Roman" w:hAnsi="Palatino Linotype" w:cs="Arial"/>
          <w:kern w:val="0"/>
          <w:sz w:val="20"/>
          <w:szCs w:val="20"/>
          <w:lang w:val="en-GB"/>
          <w14:ligatures w14:val="none"/>
        </w:rPr>
        <w:t>: Readiness of the valuation profession in Eswatini</w:t>
      </w:r>
      <w:bookmarkEnd w:id="14"/>
      <w:bookmarkEnd w:id="15"/>
      <w:bookmarkEnd w:id="16"/>
    </w:p>
    <w:tbl>
      <w:tblPr>
        <w:tblStyle w:val="TableGridLight"/>
        <w:tblW w:w="0" w:type="auto"/>
        <w:tblLook w:val="04A0" w:firstRow="1" w:lastRow="0" w:firstColumn="1" w:lastColumn="0" w:noHBand="0" w:noVBand="1"/>
      </w:tblPr>
      <w:tblGrid>
        <w:gridCol w:w="3007"/>
        <w:gridCol w:w="3012"/>
        <w:gridCol w:w="2997"/>
      </w:tblGrid>
      <w:tr w:rsidR="006B3E34" w:rsidRPr="003D2B29" w14:paraId="55308C86" w14:textId="77777777" w:rsidTr="0083680E">
        <w:tc>
          <w:tcPr>
            <w:tcW w:w="3116" w:type="dxa"/>
          </w:tcPr>
          <w:p w14:paraId="6563CACF" w14:textId="77E21D5A" w:rsidR="006B3E34" w:rsidRPr="003D2B29" w:rsidRDefault="006B123F"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Response</w:t>
            </w:r>
          </w:p>
        </w:tc>
        <w:tc>
          <w:tcPr>
            <w:tcW w:w="3117" w:type="dxa"/>
            <w:hideMark/>
          </w:tcPr>
          <w:p w14:paraId="406841DD"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Frequency</w:t>
            </w:r>
          </w:p>
        </w:tc>
        <w:tc>
          <w:tcPr>
            <w:tcW w:w="3117" w:type="dxa"/>
            <w:hideMark/>
          </w:tcPr>
          <w:p w14:paraId="7AB38CE1"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Percent (%)</w:t>
            </w:r>
          </w:p>
        </w:tc>
      </w:tr>
      <w:tr w:rsidR="006B3E34" w:rsidRPr="003D2B29" w14:paraId="36EFC3EC" w14:textId="77777777" w:rsidTr="0083680E">
        <w:tc>
          <w:tcPr>
            <w:tcW w:w="3116" w:type="dxa"/>
            <w:hideMark/>
          </w:tcPr>
          <w:p w14:paraId="428BC307"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Yes</w:t>
            </w:r>
          </w:p>
        </w:tc>
        <w:tc>
          <w:tcPr>
            <w:tcW w:w="3117" w:type="dxa"/>
            <w:hideMark/>
          </w:tcPr>
          <w:p w14:paraId="06C5AEED"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5</w:t>
            </w:r>
          </w:p>
        </w:tc>
        <w:tc>
          <w:tcPr>
            <w:tcW w:w="3117" w:type="dxa"/>
          </w:tcPr>
          <w:p w14:paraId="68D4633B"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22</w:t>
            </w:r>
          </w:p>
        </w:tc>
      </w:tr>
      <w:tr w:rsidR="006B3E34" w:rsidRPr="003D2B29" w14:paraId="30474902" w14:textId="77777777" w:rsidTr="0083680E">
        <w:trPr>
          <w:trHeight w:val="197"/>
        </w:trPr>
        <w:tc>
          <w:tcPr>
            <w:tcW w:w="3116" w:type="dxa"/>
            <w:hideMark/>
          </w:tcPr>
          <w:p w14:paraId="273C0762"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No</w:t>
            </w:r>
          </w:p>
        </w:tc>
        <w:tc>
          <w:tcPr>
            <w:tcW w:w="3117" w:type="dxa"/>
            <w:hideMark/>
          </w:tcPr>
          <w:p w14:paraId="44F3FB7D"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18</w:t>
            </w:r>
          </w:p>
        </w:tc>
        <w:tc>
          <w:tcPr>
            <w:tcW w:w="3117" w:type="dxa"/>
          </w:tcPr>
          <w:p w14:paraId="5F03CFC9"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78</w:t>
            </w:r>
          </w:p>
        </w:tc>
      </w:tr>
      <w:tr w:rsidR="006B3E34" w:rsidRPr="003D2B29" w14:paraId="48FBE3D9" w14:textId="77777777" w:rsidTr="0083680E">
        <w:tc>
          <w:tcPr>
            <w:tcW w:w="3116" w:type="dxa"/>
            <w:hideMark/>
          </w:tcPr>
          <w:p w14:paraId="39C89649"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Total</w:t>
            </w:r>
          </w:p>
        </w:tc>
        <w:tc>
          <w:tcPr>
            <w:tcW w:w="3117" w:type="dxa"/>
          </w:tcPr>
          <w:p w14:paraId="5F3A5013"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23</w:t>
            </w:r>
          </w:p>
        </w:tc>
        <w:tc>
          <w:tcPr>
            <w:tcW w:w="3117" w:type="dxa"/>
          </w:tcPr>
          <w:p w14:paraId="5B1ED5C6" w14:textId="77777777" w:rsidR="006B3E34" w:rsidRPr="003D2B29" w:rsidRDefault="006B3E34" w:rsidP="0099485C">
            <w:pPr>
              <w:jc w:val="both"/>
              <w:rPr>
                <w:rFonts w:ascii="Palatino Linotype" w:eastAsia="Aptos" w:hAnsi="Palatino Linotype" w:cs="Arial"/>
                <w:sz w:val="20"/>
                <w:szCs w:val="20"/>
                <w:lang w:val="en-GB"/>
                <w14:ligatures w14:val="none"/>
              </w:rPr>
            </w:pPr>
            <w:r w:rsidRPr="003D2B29">
              <w:rPr>
                <w:rFonts w:ascii="Palatino Linotype" w:eastAsia="Aptos" w:hAnsi="Palatino Linotype" w:cs="Arial"/>
                <w:sz w:val="20"/>
                <w:szCs w:val="20"/>
                <w:lang w:val="en-GB"/>
                <w14:ligatures w14:val="none"/>
              </w:rPr>
              <w:t>100</w:t>
            </w:r>
          </w:p>
        </w:tc>
      </w:tr>
    </w:tbl>
    <w:p w14:paraId="0260CA49" w14:textId="77777777" w:rsidR="006B3E34" w:rsidRPr="003D2B29" w:rsidRDefault="006B3E34" w:rsidP="0099485C">
      <w:pPr>
        <w:spacing w:after="0" w:line="240" w:lineRule="auto"/>
        <w:jc w:val="both"/>
        <w:rPr>
          <w:rFonts w:ascii="Palatino Linotype" w:eastAsia="Times New Roman" w:hAnsi="Palatino Linotype" w:cs="Arial"/>
          <w:kern w:val="0"/>
          <w:sz w:val="20"/>
          <w:szCs w:val="20"/>
          <w:lang w:val="en-GB"/>
          <w14:ligatures w14:val="none"/>
        </w:rPr>
      </w:pPr>
      <w:r w:rsidRPr="003D2B29">
        <w:rPr>
          <w:rFonts w:ascii="Palatino Linotype" w:eastAsia="Times New Roman" w:hAnsi="Palatino Linotype" w:cs="Arial"/>
          <w:kern w:val="0"/>
          <w:sz w:val="20"/>
          <w:szCs w:val="20"/>
          <w:lang w:val="en-GB"/>
          <w14:ligatures w14:val="none"/>
        </w:rPr>
        <w:t>Source: Research findings</w:t>
      </w:r>
    </w:p>
    <w:p w14:paraId="24E2AC06" w14:textId="77777777" w:rsidR="001611AD" w:rsidRPr="003D2B29" w:rsidRDefault="001611AD" w:rsidP="0099485C">
      <w:pPr>
        <w:spacing w:after="0" w:line="240" w:lineRule="auto"/>
        <w:jc w:val="both"/>
        <w:rPr>
          <w:rFonts w:ascii="Palatino Linotype" w:eastAsia="Times New Roman" w:hAnsi="Palatino Linotype" w:cs="Arial"/>
          <w:kern w:val="0"/>
          <w:sz w:val="22"/>
          <w:szCs w:val="22"/>
          <w:lang w:val="en-GB"/>
          <w14:ligatures w14:val="none"/>
        </w:rPr>
      </w:pPr>
    </w:p>
    <w:p w14:paraId="171D60B7" w14:textId="7C867C9E" w:rsidR="00357D1F" w:rsidRDefault="00357D1F" w:rsidP="0099485C">
      <w:pPr>
        <w:spacing w:after="0" w:line="240" w:lineRule="auto"/>
        <w:jc w:val="both"/>
        <w:rPr>
          <w:rFonts w:ascii="Palatino Linotype" w:eastAsia="Times New Roman" w:hAnsi="Palatino Linotype" w:cs="Arial"/>
          <w:kern w:val="0"/>
          <w:sz w:val="22"/>
          <w:szCs w:val="22"/>
          <w:lang w:val="en-GB"/>
          <w14:ligatures w14:val="none"/>
        </w:rPr>
      </w:pPr>
      <w:r w:rsidRPr="003D2B29">
        <w:rPr>
          <w:rFonts w:ascii="Palatino Linotype" w:eastAsia="Times New Roman" w:hAnsi="Palatino Linotype" w:cs="Arial"/>
          <w:kern w:val="0"/>
          <w:sz w:val="22"/>
          <w:szCs w:val="22"/>
          <w:lang w:val="en-GB"/>
          <w14:ligatures w14:val="none"/>
        </w:rPr>
        <w:t>A Spearman’s rho correlation analysis was conducted to explore associations between selected variables. Results showed a weak positive correlation (ρ = 0.36) between professional experience and willingness to share data, suggesting that more experienced valuers tend to favour structured collaboration. No significant relationship was observed between organisational type and willingness to share, indicating broadly shared professional attitudes across sectors.</w:t>
      </w:r>
    </w:p>
    <w:p w14:paraId="3E7ED549" w14:textId="77777777" w:rsidR="003D2B29" w:rsidRPr="003D2B29" w:rsidRDefault="003D2B29" w:rsidP="0099485C">
      <w:pPr>
        <w:spacing w:after="0" w:line="240" w:lineRule="auto"/>
        <w:jc w:val="both"/>
        <w:rPr>
          <w:rFonts w:ascii="Palatino Linotype" w:eastAsia="Times New Roman" w:hAnsi="Palatino Linotype" w:cs="Arial"/>
          <w:kern w:val="0"/>
          <w:sz w:val="22"/>
          <w:szCs w:val="22"/>
          <w:lang w:val="en-GB"/>
          <w14:ligatures w14:val="none"/>
        </w:rPr>
      </w:pPr>
    </w:p>
    <w:p w14:paraId="625C5982" w14:textId="6C3D6AAD" w:rsidR="001D07A2" w:rsidRPr="003D2B29" w:rsidRDefault="001D07A2" w:rsidP="0099485C">
      <w:pPr>
        <w:spacing w:after="0" w:line="240" w:lineRule="auto"/>
        <w:jc w:val="both"/>
        <w:rPr>
          <w:rFonts w:ascii="Palatino Linotype" w:eastAsia="Times New Roman" w:hAnsi="Palatino Linotype" w:cs="Arial"/>
          <w:kern w:val="0"/>
          <w:sz w:val="22"/>
          <w:szCs w:val="22"/>
          <w:lang w:val="en-GB"/>
          <w14:ligatures w14:val="none"/>
        </w:rPr>
      </w:pPr>
      <w:r w:rsidRPr="003D2B29">
        <w:rPr>
          <w:rFonts w:ascii="Palatino Linotype" w:eastAsia="Times New Roman" w:hAnsi="Palatino Linotype" w:cs="Arial"/>
          <w:kern w:val="0"/>
          <w:sz w:val="22"/>
          <w:szCs w:val="22"/>
          <w:lang w:val="en-GB"/>
          <w14:ligatures w14:val="none"/>
        </w:rPr>
        <w:t xml:space="preserve">The findings revealed a critical gap in legal compliance within Eswatini’s valuation profession, as many practitioners operate without registration or awareness of the data protection authority, risking confidentiality and professional standards (Data Protection Act, 2022). This supports </w:t>
      </w:r>
      <w:proofErr w:type="spellStart"/>
      <w:r w:rsidRPr="003D2B29">
        <w:rPr>
          <w:rFonts w:ascii="Palatino Linotype" w:eastAsia="Times New Roman" w:hAnsi="Palatino Linotype" w:cs="Arial"/>
          <w:kern w:val="0"/>
          <w:sz w:val="22"/>
          <w:szCs w:val="22"/>
          <w:lang w:val="en-GB"/>
          <w14:ligatures w14:val="none"/>
        </w:rPr>
        <w:t>Cheloti</w:t>
      </w:r>
      <w:proofErr w:type="spellEnd"/>
      <w:r w:rsidRPr="003D2B29">
        <w:rPr>
          <w:rFonts w:ascii="Palatino Linotype" w:eastAsia="Times New Roman" w:hAnsi="Palatino Linotype" w:cs="Arial"/>
          <w:kern w:val="0"/>
          <w:sz w:val="22"/>
          <w:szCs w:val="22"/>
          <w:lang w:val="en-GB"/>
          <w14:ligatures w14:val="none"/>
        </w:rPr>
        <w:t xml:space="preserve"> and Mooya (2022), who link sectoral unpreparedness to poor infrastructure, financial limitations, and weak regulation. As centralised data systems require handling sensitive information, compliance is essential. The study calls for mandatory registration, legal literacy and capacity building initiatives to ensure lawful and effective implementation of valuation data reforms.</w:t>
      </w:r>
    </w:p>
    <w:p w14:paraId="0320B802" w14:textId="77777777" w:rsidR="003D2B29" w:rsidRDefault="003D2B29" w:rsidP="0099485C">
      <w:pPr>
        <w:spacing w:after="0" w:line="240" w:lineRule="auto"/>
        <w:jc w:val="both"/>
        <w:rPr>
          <w:rFonts w:ascii="Palatino Linotype" w:hAnsi="Palatino Linotype" w:cs="Arial"/>
          <w:sz w:val="22"/>
          <w:szCs w:val="22"/>
          <w:lang w:val="en-GB"/>
        </w:rPr>
      </w:pPr>
    </w:p>
    <w:p w14:paraId="32094C68" w14:textId="77777777" w:rsidR="003D2B29" w:rsidRDefault="003D2B29" w:rsidP="0099485C">
      <w:pPr>
        <w:spacing w:after="0" w:line="240" w:lineRule="auto"/>
        <w:jc w:val="both"/>
        <w:rPr>
          <w:rFonts w:ascii="Palatino Linotype" w:hAnsi="Palatino Linotype" w:cs="Arial"/>
          <w:b/>
          <w:bCs/>
          <w:sz w:val="22"/>
          <w:szCs w:val="22"/>
          <w:lang w:val="en-GB"/>
        </w:rPr>
      </w:pPr>
    </w:p>
    <w:p w14:paraId="58AE6F2C" w14:textId="262D5954" w:rsidR="00E37F0B" w:rsidRPr="003D2B29" w:rsidRDefault="00AD0609" w:rsidP="0099485C">
      <w:pPr>
        <w:spacing w:after="0" w:line="240" w:lineRule="auto"/>
        <w:jc w:val="both"/>
        <w:rPr>
          <w:rFonts w:ascii="Palatino Linotype" w:hAnsi="Palatino Linotype" w:cs="Arial"/>
          <w:b/>
          <w:bCs/>
          <w:sz w:val="22"/>
          <w:szCs w:val="22"/>
          <w:lang w:val="en-GB"/>
        </w:rPr>
      </w:pPr>
      <w:r>
        <w:rPr>
          <w:rFonts w:ascii="Palatino Linotype" w:hAnsi="Palatino Linotype" w:cs="Arial"/>
          <w:b/>
          <w:bCs/>
          <w:sz w:val="22"/>
          <w:szCs w:val="22"/>
          <w:lang w:val="en-GB"/>
        </w:rPr>
        <w:br w:type="column"/>
      </w:r>
      <w:r w:rsidR="00661C11" w:rsidRPr="003D2B29">
        <w:rPr>
          <w:rFonts w:ascii="Palatino Linotype" w:hAnsi="Palatino Linotype" w:cs="Arial"/>
          <w:b/>
          <w:bCs/>
          <w:sz w:val="22"/>
          <w:szCs w:val="22"/>
          <w:lang w:val="en-GB"/>
        </w:rPr>
        <w:lastRenderedPageBreak/>
        <w:t xml:space="preserve">Data Confidentiality for Clients </w:t>
      </w:r>
    </w:p>
    <w:p w14:paraId="07B1FFCB" w14:textId="1EC2BF01" w:rsidR="00661C11" w:rsidRDefault="00FC4264" w:rsidP="0099485C">
      <w:pPr>
        <w:spacing w:after="0" w:line="240" w:lineRule="auto"/>
        <w:jc w:val="both"/>
        <w:rPr>
          <w:rFonts w:ascii="Palatino Linotype" w:eastAsia="Times New Roman" w:hAnsi="Palatino Linotype" w:cs="Arial"/>
          <w:kern w:val="0"/>
          <w:sz w:val="22"/>
          <w:szCs w:val="22"/>
          <w:lang w:val="en-GB"/>
          <w14:ligatures w14:val="none"/>
        </w:rPr>
      </w:pPr>
      <w:r w:rsidRPr="003D2B29">
        <w:rPr>
          <w:rFonts w:ascii="Palatino Linotype" w:hAnsi="Palatino Linotype" w:cs="Arial"/>
          <w:sz w:val="22"/>
          <w:szCs w:val="22"/>
          <w:lang w:val="en-GB"/>
        </w:rPr>
        <w:t xml:space="preserve">Respondents were asked on how they ensure confidentiality for their clients. </w:t>
      </w:r>
      <w:r w:rsidR="00F6477C" w:rsidRPr="003D2B29">
        <w:rPr>
          <w:rFonts w:ascii="Palatino Linotype" w:eastAsia="Times New Roman" w:hAnsi="Palatino Linotype" w:cs="Arial"/>
          <w:kern w:val="0"/>
          <w:sz w:val="22"/>
          <w:szCs w:val="22"/>
          <w:lang w:val="en-GB"/>
          <w14:ligatures w14:val="none"/>
        </w:rPr>
        <w:t xml:space="preserve">The following graphs indicates the various ways in which confidentiality is ensured in the valuation industry. </w:t>
      </w:r>
      <w:r w:rsidR="00A13AF8" w:rsidRPr="003D2B29">
        <w:rPr>
          <w:rFonts w:ascii="Palatino Linotype" w:eastAsia="Times New Roman" w:hAnsi="Palatino Linotype" w:cs="Arial"/>
          <w:kern w:val="0"/>
          <w:sz w:val="22"/>
          <w:szCs w:val="22"/>
          <w:lang w:val="en-GB"/>
          <w14:ligatures w14:val="none"/>
        </w:rPr>
        <w:t>As shown in Figure 1, valuers predominantly ensured client confidentiality through legal clauses in service agreements (61%), while fewer relied on physical safeguards (26%) or digital encryption (9%). Only 17% reported conducting formal staff training. These findings suggest that while legal protections are well-recognized, there is limited adoption of practical and technical measures to safeguard data. The low use of encryption and minimal staff training indicate potential vulnerabilities in data security practices, highlighting the need for capacity building and the implementation of multi-layered confidentiality protocols in line with international standards such as GDPR and ISO 27001.</w:t>
      </w:r>
    </w:p>
    <w:p w14:paraId="12B0039C" w14:textId="77777777" w:rsidR="00AD0609" w:rsidRPr="003D2B29" w:rsidRDefault="00AD0609" w:rsidP="0099485C">
      <w:pPr>
        <w:spacing w:after="0" w:line="240" w:lineRule="auto"/>
        <w:jc w:val="both"/>
        <w:rPr>
          <w:rFonts w:ascii="Palatino Linotype" w:eastAsia="Times New Roman" w:hAnsi="Palatino Linotype" w:cs="Arial"/>
          <w:kern w:val="0"/>
          <w:sz w:val="22"/>
          <w:szCs w:val="22"/>
          <w:lang w:val="en-GB"/>
          <w14:ligatures w14:val="none"/>
        </w:rPr>
      </w:pPr>
    </w:p>
    <w:p w14:paraId="7A26FDD6" w14:textId="3C8CFAC2" w:rsidR="00C63C61" w:rsidRPr="0099485C" w:rsidRDefault="00686D5B" w:rsidP="0099485C">
      <w:pPr>
        <w:keepNext/>
        <w:spacing w:after="0" w:line="240" w:lineRule="auto"/>
        <w:jc w:val="both"/>
        <w:rPr>
          <w:rFonts w:ascii="Palatino Linotype" w:eastAsia="Times New Roman" w:hAnsi="Palatino Linotype" w:cs="Arial"/>
          <w:kern w:val="0"/>
          <w:lang w:val="en-GB"/>
          <w14:ligatures w14:val="none"/>
        </w:rPr>
      </w:pPr>
      <w:r w:rsidRPr="0099485C">
        <w:rPr>
          <w:rFonts w:ascii="Palatino Linotype" w:eastAsia="Times New Roman" w:hAnsi="Palatino Linotype" w:cs="Arial"/>
          <w:noProof/>
          <w:kern w:val="0"/>
          <w:lang w:val="en-GB"/>
        </w:rPr>
      </w:r>
      <w:r w:rsidR="00686D5B" w:rsidRPr="0099485C">
        <w:rPr>
          <w:rFonts w:ascii="Palatino Linotype" w:eastAsia="Times New Roman" w:hAnsi="Palatino Linotype" w:cs="Arial"/>
          <w:noProof/>
          <w:kern w:val="0"/>
          <w:lang w:val="en-GB"/>
        </w:rPr>
        <w:object w:dxaOrig="8712" w:dyaOrig="5083" w14:anchorId="2510C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5pt;height:254.35pt;mso-width-percent:0;mso-height-percent:0;mso-width-percent:0;mso-height-percent:0" o:ole="">
            <v:imagedata r:id="rId8" o:title=""/>
            <o:lock v:ext="edit" aspectratio="f"/>
          </v:shape>
          <o:OLEObject Type="Embed" ProgID="Excel.Sheet.8" ShapeID="_x0000_i1025" DrawAspect="Content" ObjectID="_1824462377" r:id="rId9">
            <o:FieldCodes>\s</o:FieldCodes>
          </o:OLEObject>
        </w:object>
      </w:r>
    </w:p>
    <w:p w14:paraId="44E50360" w14:textId="297EAD1A" w:rsidR="00C63C61" w:rsidRPr="0099485C" w:rsidRDefault="00C63C61"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17" w:name="_Toc202724666"/>
      <w:bookmarkStart w:id="18" w:name="_Toc202724933"/>
      <w:bookmarkStart w:id="19" w:name="_Toc202724978"/>
      <w:bookmarkStart w:id="20" w:name="_Toc203057357"/>
      <w:bookmarkStart w:id="21" w:name="_Toc203058906"/>
      <w:r w:rsidRPr="0099485C">
        <w:rPr>
          <w:rFonts w:ascii="Palatino Linotype" w:eastAsia="Times New Roman" w:hAnsi="Palatino Linotype" w:cs="Arial"/>
          <w:kern w:val="0"/>
          <w:sz w:val="20"/>
          <w:szCs w:val="20"/>
          <w:lang w:val="en-GB"/>
          <w14:ligatures w14:val="none"/>
        </w:rPr>
        <w:t xml:space="preserve">Figure </w:t>
      </w:r>
      <w:r w:rsidR="00CC4982" w:rsidRPr="0099485C">
        <w:rPr>
          <w:rFonts w:ascii="Palatino Linotype" w:eastAsia="Times New Roman" w:hAnsi="Palatino Linotype" w:cs="Arial"/>
          <w:kern w:val="0"/>
          <w:sz w:val="20"/>
          <w:szCs w:val="20"/>
          <w:lang w:val="en-GB"/>
          <w14:ligatures w14:val="none"/>
        </w:rPr>
        <w:t>1</w:t>
      </w:r>
      <w:r w:rsidRPr="0099485C">
        <w:rPr>
          <w:rFonts w:ascii="Palatino Linotype" w:eastAsia="Times New Roman" w:hAnsi="Palatino Linotype" w:cs="Arial"/>
          <w:kern w:val="0"/>
          <w:sz w:val="20"/>
          <w:szCs w:val="20"/>
          <w:lang w:val="en-GB"/>
          <w14:ligatures w14:val="none"/>
        </w:rPr>
        <w:t>: Data confidentiality of clients</w:t>
      </w:r>
      <w:bookmarkEnd w:id="17"/>
      <w:bookmarkEnd w:id="18"/>
      <w:bookmarkEnd w:id="19"/>
      <w:bookmarkEnd w:id="20"/>
      <w:bookmarkEnd w:id="21"/>
    </w:p>
    <w:p w14:paraId="20BF4914" w14:textId="77777777" w:rsidR="00C63C61" w:rsidRPr="0099485C" w:rsidRDefault="00C63C61"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41BAC18A"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018D3CBD" w14:textId="5518146E" w:rsidR="002470F5" w:rsidRPr="00AD0609" w:rsidRDefault="00057BA9"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 xml:space="preserve">The lack of encryption and minimal staff sensitization suggest that many valuers may not yet fully appreciate the complexity of secure data handling. As </w:t>
      </w:r>
      <w:proofErr w:type="spellStart"/>
      <w:r w:rsidRPr="00AD0609">
        <w:rPr>
          <w:rFonts w:ascii="Palatino Linotype" w:hAnsi="Palatino Linotype" w:cs="Arial"/>
          <w:sz w:val="22"/>
          <w:szCs w:val="22"/>
          <w:lang w:val="en-GB"/>
        </w:rPr>
        <w:t>Cheloti</w:t>
      </w:r>
      <w:proofErr w:type="spellEnd"/>
      <w:r w:rsidRPr="00AD0609">
        <w:rPr>
          <w:rFonts w:ascii="Palatino Linotype" w:hAnsi="Palatino Linotype" w:cs="Arial"/>
          <w:sz w:val="22"/>
          <w:szCs w:val="22"/>
          <w:lang w:val="en-GB"/>
        </w:rPr>
        <w:t xml:space="preserve"> and Mooya (2022) argue, building a culture of confidentiality requires more than legal clauses, it requires procedural enforcement and technical literacy</w:t>
      </w:r>
    </w:p>
    <w:p w14:paraId="2A0A4B82" w14:textId="1282EDAB" w:rsidR="00E37F0B" w:rsidRPr="00AD0609" w:rsidRDefault="00030CC7"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Restrictions to Govern Sharing of Field Data Within the Centrali</w:t>
      </w:r>
      <w:r w:rsidR="00CC4982" w:rsidRPr="00AD0609">
        <w:rPr>
          <w:rFonts w:ascii="Palatino Linotype" w:hAnsi="Palatino Linotype" w:cs="Arial"/>
          <w:sz w:val="22"/>
          <w:szCs w:val="22"/>
          <w:lang w:val="en-GB"/>
        </w:rPr>
        <w:t>s</w:t>
      </w:r>
      <w:r w:rsidRPr="00AD0609">
        <w:rPr>
          <w:rFonts w:ascii="Palatino Linotype" w:hAnsi="Palatino Linotype" w:cs="Arial"/>
          <w:sz w:val="22"/>
          <w:szCs w:val="22"/>
          <w:lang w:val="en-GB"/>
        </w:rPr>
        <w:t>ed Database</w:t>
      </w:r>
    </w:p>
    <w:p w14:paraId="5A3DDA1F" w14:textId="392DFAAB" w:rsidR="00571768" w:rsidRPr="00AD0609" w:rsidRDefault="0093779A"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 xml:space="preserve">When respondents were asked what restrictions should govern the sharing of data within the centralized valuation database, </w:t>
      </w:r>
      <w:r w:rsidR="00B17070" w:rsidRPr="00AD0609">
        <w:rPr>
          <w:rFonts w:ascii="Palatino Linotype" w:hAnsi="Palatino Linotype" w:cs="Arial"/>
          <w:sz w:val="22"/>
          <w:szCs w:val="22"/>
          <w:lang w:val="en-GB"/>
        </w:rPr>
        <w:t>majority of respondents</w:t>
      </w:r>
      <w:r w:rsidR="005353E2" w:rsidRPr="00AD0609">
        <w:rPr>
          <w:rFonts w:ascii="Palatino Linotype" w:hAnsi="Palatino Linotype" w:cs="Arial"/>
          <w:sz w:val="22"/>
          <w:szCs w:val="22"/>
          <w:lang w:val="en-GB"/>
        </w:rPr>
        <w:t xml:space="preserve"> (56.5%) supported restricting database access to registered or vetted valuers. A further 30.4% emphasized safeguarding </w:t>
      </w:r>
      <w:r w:rsidR="00D36562" w:rsidRPr="00AD0609">
        <w:rPr>
          <w:rFonts w:ascii="Palatino Linotype" w:hAnsi="Palatino Linotype" w:cs="Arial"/>
          <w:sz w:val="22"/>
          <w:szCs w:val="22"/>
          <w:lang w:val="en-GB"/>
        </w:rPr>
        <w:t xml:space="preserve">client confidentiality. Others proposed additional mechanisms such as access by paid subscription or time limited data visibility. </w:t>
      </w:r>
      <w:r w:rsidR="00E27989" w:rsidRPr="00AD0609">
        <w:rPr>
          <w:rFonts w:ascii="Palatino Linotype" w:hAnsi="Palatino Linotype" w:cs="Arial"/>
          <w:color w:val="000000"/>
          <w:sz w:val="22"/>
          <w:szCs w:val="22"/>
          <w:lang w:val="en-GB"/>
        </w:rPr>
        <w:t xml:space="preserve">Table </w:t>
      </w:r>
      <w:r w:rsidR="003A1A73" w:rsidRPr="00AD0609">
        <w:rPr>
          <w:rFonts w:ascii="Palatino Linotype" w:hAnsi="Palatino Linotype" w:cs="Arial"/>
          <w:color w:val="000000"/>
          <w:sz w:val="22"/>
          <w:szCs w:val="22"/>
          <w:lang w:val="en-GB"/>
        </w:rPr>
        <w:t>7</w:t>
      </w:r>
      <w:r w:rsidR="00E27989" w:rsidRPr="00AD0609">
        <w:rPr>
          <w:rFonts w:ascii="Palatino Linotype" w:hAnsi="Palatino Linotype" w:cs="Arial"/>
          <w:color w:val="000000"/>
          <w:sz w:val="22"/>
          <w:szCs w:val="22"/>
          <w:lang w:val="en-GB"/>
        </w:rPr>
        <w:t xml:space="preserve"> presents a breakdown of the relevant findings in the survey responses.</w:t>
      </w:r>
    </w:p>
    <w:p w14:paraId="2C6CCF8A"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22" w:name="_Toc202294831"/>
      <w:bookmarkStart w:id="23" w:name="_Toc202724979"/>
      <w:bookmarkStart w:id="24" w:name="_Toc203058907"/>
    </w:p>
    <w:p w14:paraId="16BD1EDE"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p>
    <w:p w14:paraId="28AA69A3"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p>
    <w:p w14:paraId="102B182A"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p>
    <w:p w14:paraId="45C4D86E" w14:textId="2CA34F6F" w:rsidR="00EC3B2B" w:rsidRPr="0099485C" w:rsidRDefault="00EC3B2B"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lastRenderedPageBreak/>
        <w:t xml:space="preserve">Table </w:t>
      </w:r>
      <w:r w:rsidR="003A1A73" w:rsidRPr="0099485C">
        <w:rPr>
          <w:rFonts w:ascii="Palatino Linotype" w:eastAsia="Times New Roman" w:hAnsi="Palatino Linotype" w:cs="Arial"/>
          <w:kern w:val="0"/>
          <w:sz w:val="20"/>
          <w:szCs w:val="20"/>
          <w:lang w:val="en-GB"/>
          <w14:ligatures w14:val="none"/>
        </w:rPr>
        <w:t>7</w:t>
      </w:r>
      <w:r w:rsidRPr="0099485C">
        <w:rPr>
          <w:rFonts w:ascii="Palatino Linotype" w:eastAsia="Times New Roman" w:hAnsi="Palatino Linotype" w:cs="Arial"/>
          <w:kern w:val="0"/>
          <w:sz w:val="20"/>
          <w:szCs w:val="20"/>
          <w:lang w:val="en-GB"/>
          <w14:ligatures w14:val="none"/>
        </w:rPr>
        <w:t>: Restrictions to govern sharing of field data within the centralised database</w:t>
      </w:r>
      <w:bookmarkEnd w:id="22"/>
      <w:bookmarkEnd w:id="23"/>
      <w:bookmarkEnd w:id="24"/>
    </w:p>
    <w:tbl>
      <w:tblPr>
        <w:tblStyle w:val="TableGridLight"/>
        <w:tblW w:w="0" w:type="auto"/>
        <w:tblLook w:val="04A0" w:firstRow="1" w:lastRow="0" w:firstColumn="1" w:lastColumn="0" w:noHBand="0" w:noVBand="1"/>
      </w:tblPr>
      <w:tblGrid>
        <w:gridCol w:w="5172"/>
        <w:gridCol w:w="1932"/>
        <w:gridCol w:w="1912"/>
      </w:tblGrid>
      <w:tr w:rsidR="00EC3B2B" w:rsidRPr="0099485C" w14:paraId="6F700AAB" w14:textId="77777777" w:rsidTr="0083680E">
        <w:tc>
          <w:tcPr>
            <w:tcW w:w="5395" w:type="dxa"/>
          </w:tcPr>
          <w:p w14:paraId="2BAFDA64" w14:textId="1699F59F" w:rsidR="00EC3B2B" w:rsidRPr="0099485C" w:rsidRDefault="006B123F"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Restriction</w:t>
            </w:r>
          </w:p>
        </w:tc>
        <w:tc>
          <w:tcPr>
            <w:tcW w:w="1980" w:type="dxa"/>
            <w:hideMark/>
          </w:tcPr>
          <w:p w14:paraId="1459ED6C"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1975" w:type="dxa"/>
            <w:hideMark/>
          </w:tcPr>
          <w:p w14:paraId="58F5F976"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w:t>
            </w:r>
          </w:p>
        </w:tc>
      </w:tr>
      <w:tr w:rsidR="00EC3B2B" w:rsidRPr="0099485C" w14:paraId="1BEE3732" w14:textId="77777777" w:rsidTr="0083680E">
        <w:tc>
          <w:tcPr>
            <w:tcW w:w="5395" w:type="dxa"/>
            <w:hideMark/>
          </w:tcPr>
          <w:p w14:paraId="3856240E"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Property owners’ rights to data confidentiality must be protected</w:t>
            </w:r>
          </w:p>
        </w:tc>
        <w:tc>
          <w:tcPr>
            <w:tcW w:w="1980" w:type="dxa"/>
            <w:hideMark/>
          </w:tcPr>
          <w:p w14:paraId="5BB1F025"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7</w:t>
            </w:r>
          </w:p>
        </w:tc>
        <w:tc>
          <w:tcPr>
            <w:tcW w:w="1975" w:type="dxa"/>
          </w:tcPr>
          <w:p w14:paraId="5456AB15"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30.4%</w:t>
            </w:r>
          </w:p>
        </w:tc>
      </w:tr>
      <w:tr w:rsidR="00EC3B2B" w:rsidRPr="0099485C" w14:paraId="12531670" w14:textId="77777777" w:rsidTr="0083680E">
        <w:tc>
          <w:tcPr>
            <w:tcW w:w="5395" w:type="dxa"/>
            <w:hideMark/>
          </w:tcPr>
          <w:p w14:paraId="1CC84897"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Data should be accessed by professional valuers and stakeholders in the same industry, who have been pre-vetted and occasionally re-vetted</w:t>
            </w:r>
          </w:p>
        </w:tc>
        <w:tc>
          <w:tcPr>
            <w:tcW w:w="1980" w:type="dxa"/>
            <w:hideMark/>
          </w:tcPr>
          <w:p w14:paraId="4A959103"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13          </w:t>
            </w:r>
          </w:p>
        </w:tc>
        <w:tc>
          <w:tcPr>
            <w:tcW w:w="1975" w:type="dxa"/>
          </w:tcPr>
          <w:p w14:paraId="66E8F6DB"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56.5%</w:t>
            </w:r>
          </w:p>
        </w:tc>
      </w:tr>
      <w:tr w:rsidR="00EC3B2B" w:rsidRPr="0099485C" w14:paraId="1B9A70EB" w14:textId="77777777" w:rsidTr="0083680E">
        <w:tc>
          <w:tcPr>
            <w:tcW w:w="5395" w:type="dxa"/>
            <w:hideMark/>
          </w:tcPr>
          <w:p w14:paraId="1890893A"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Paid subscriptions </w:t>
            </w:r>
          </w:p>
          <w:p w14:paraId="7BED34EF"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No response                                                                                                                                                           </w:t>
            </w:r>
          </w:p>
        </w:tc>
        <w:tc>
          <w:tcPr>
            <w:tcW w:w="1980" w:type="dxa"/>
            <w:hideMark/>
          </w:tcPr>
          <w:p w14:paraId="56149DDF"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1                          </w:t>
            </w:r>
          </w:p>
          <w:p w14:paraId="6FF96753"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2</w:t>
            </w:r>
          </w:p>
          <w:p w14:paraId="4DFDC9E5" w14:textId="77777777" w:rsidR="00EC3B2B" w:rsidRPr="0099485C" w:rsidRDefault="00EC3B2B" w:rsidP="0099485C">
            <w:pPr>
              <w:jc w:val="both"/>
              <w:rPr>
                <w:rFonts w:ascii="Palatino Linotype" w:eastAsia="Aptos" w:hAnsi="Palatino Linotype" w:cs="Arial"/>
                <w:kern w:val="0"/>
                <w:sz w:val="20"/>
                <w:szCs w:val="20"/>
                <w:lang w:val="en-GB"/>
                <w14:ligatures w14:val="none"/>
              </w:rPr>
            </w:pPr>
          </w:p>
        </w:tc>
        <w:tc>
          <w:tcPr>
            <w:tcW w:w="1975" w:type="dxa"/>
          </w:tcPr>
          <w:p w14:paraId="1C374204"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4.3%</w:t>
            </w:r>
          </w:p>
          <w:p w14:paraId="0EEC558B" w14:textId="77777777" w:rsidR="00EC3B2B" w:rsidRPr="0099485C" w:rsidRDefault="00EC3B2B"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8.8%</w:t>
            </w:r>
          </w:p>
        </w:tc>
      </w:tr>
    </w:tbl>
    <w:p w14:paraId="0EEA9C6C" w14:textId="77777777" w:rsidR="00EC3B2B" w:rsidRPr="0099485C" w:rsidRDefault="00EC3B2B"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1B6B057B"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5D818B63" w14:textId="3282D460" w:rsidR="001611AD" w:rsidRPr="00AD0609" w:rsidRDefault="0040468F"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Ethical concerns about privacy and data confidentiality were also raised. These views align with Ackermann (2021) and Olapade and Olaleye (2019), who found valuers prefer controlled data sharing. A small group proposed paid access, raising equity concerns, while others showed uncertainty, echoing limited awareness about data governance. This supposed legal frameworks like Eswatini’s Data Protection Act (2033) and the GDPR, which stresses confidentiality, limited access, and purpose specific use (Wiebe &amp; Dietrich, 2017).</w:t>
      </w:r>
    </w:p>
    <w:p w14:paraId="555551D1" w14:textId="77777777" w:rsidR="001611AD" w:rsidRPr="0099485C" w:rsidRDefault="001611AD" w:rsidP="0099485C">
      <w:pPr>
        <w:spacing w:after="0" w:line="240" w:lineRule="auto"/>
        <w:jc w:val="both"/>
        <w:rPr>
          <w:rFonts w:ascii="Palatino Linotype" w:eastAsia="Times New Roman" w:hAnsi="Palatino Linotype" w:cs="Arial"/>
          <w:kern w:val="0"/>
          <w:sz w:val="10"/>
          <w:szCs w:val="10"/>
          <w:lang w:val="en-GB"/>
          <w14:ligatures w14:val="none"/>
        </w:rPr>
      </w:pPr>
    </w:p>
    <w:p w14:paraId="02F3BB08" w14:textId="029F8088" w:rsidR="00E37F0B" w:rsidRPr="00AD0609" w:rsidRDefault="000C5C1B" w:rsidP="0099485C">
      <w:pPr>
        <w:spacing w:after="0" w:line="240" w:lineRule="auto"/>
        <w:jc w:val="both"/>
        <w:rPr>
          <w:rFonts w:ascii="Palatino Linotype" w:hAnsi="Palatino Linotype" w:cs="Arial"/>
          <w:b/>
          <w:bCs/>
          <w:sz w:val="22"/>
          <w:szCs w:val="22"/>
          <w:lang w:val="en-GB"/>
        </w:rPr>
      </w:pPr>
      <w:r w:rsidRPr="00AD0609">
        <w:rPr>
          <w:rFonts w:ascii="Palatino Linotype" w:hAnsi="Palatino Linotype" w:cs="Arial"/>
          <w:b/>
          <w:bCs/>
          <w:sz w:val="22"/>
          <w:szCs w:val="22"/>
          <w:lang w:val="en-GB"/>
        </w:rPr>
        <w:t xml:space="preserve">Valuer’s Data </w:t>
      </w:r>
      <w:r w:rsidR="00C42A1C" w:rsidRPr="00AD0609">
        <w:rPr>
          <w:rFonts w:ascii="Palatino Linotype" w:hAnsi="Palatino Linotype" w:cs="Arial"/>
          <w:b/>
          <w:bCs/>
          <w:sz w:val="22"/>
          <w:szCs w:val="22"/>
          <w:lang w:val="en-GB"/>
        </w:rPr>
        <w:t>Accessibility</w:t>
      </w:r>
      <w:r w:rsidRPr="00AD0609">
        <w:rPr>
          <w:rFonts w:ascii="Palatino Linotype" w:hAnsi="Palatino Linotype" w:cs="Arial"/>
          <w:b/>
          <w:bCs/>
          <w:sz w:val="22"/>
          <w:szCs w:val="22"/>
          <w:lang w:val="en-GB"/>
        </w:rPr>
        <w:t xml:space="preserve"> </w:t>
      </w:r>
    </w:p>
    <w:p w14:paraId="3161E2B5" w14:textId="651ECBB6" w:rsidR="00C42A1C" w:rsidRPr="00AD0609" w:rsidRDefault="00B66F9C"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color w:val="000000"/>
          <w:sz w:val="22"/>
          <w:szCs w:val="22"/>
          <w:lang w:val="en-GB"/>
        </w:rPr>
        <w:t xml:space="preserve">When respondents were asked what restrictions should govern the sharing of data within the centralized valuation database, the majority (56.5%) </w:t>
      </w:r>
      <w:proofErr w:type="spellStart"/>
      <w:r w:rsidRPr="00AD0609">
        <w:rPr>
          <w:rFonts w:ascii="Palatino Linotype" w:hAnsi="Palatino Linotype" w:cs="Arial"/>
          <w:color w:val="000000"/>
          <w:sz w:val="22"/>
          <w:szCs w:val="22"/>
          <w:lang w:val="en-GB"/>
        </w:rPr>
        <w:t>favored</w:t>
      </w:r>
      <w:proofErr w:type="spellEnd"/>
      <w:r w:rsidRPr="00AD0609">
        <w:rPr>
          <w:rFonts w:ascii="Palatino Linotype" w:hAnsi="Palatino Linotype" w:cs="Arial"/>
          <w:color w:val="000000"/>
          <w:sz w:val="22"/>
          <w:szCs w:val="22"/>
          <w:lang w:val="en-GB"/>
        </w:rPr>
        <w:t xml:space="preserve"> restricting access to registered or pre-vetted valuers, while 30.4% emphasized the protection of client confidentiality. Smaller proportions suggested mechanisms such as paid subscriptions or time-limited access. These findings indicate that Eswatini valuers prioritize professional oversight and ethical control over data sharing, reflecting concerns about misuse, unauthorized access, and preservation of professional authority. </w:t>
      </w:r>
      <w:r w:rsidR="00EC3224" w:rsidRPr="00AD0609">
        <w:rPr>
          <w:rFonts w:ascii="Palatino Linotype" w:hAnsi="Palatino Linotype" w:cs="Arial"/>
          <w:color w:val="000000"/>
          <w:sz w:val="22"/>
          <w:szCs w:val="22"/>
          <w:lang w:val="en-GB"/>
        </w:rPr>
        <w:t xml:space="preserve">Table </w:t>
      </w:r>
      <w:r w:rsidR="003A1A73" w:rsidRPr="00AD0609">
        <w:rPr>
          <w:rFonts w:ascii="Palatino Linotype" w:hAnsi="Palatino Linotype" w:cs="Arial"/>
          <w:color w:val="000000"/>
          <w:sz w:val="22"/>
          <w:szCs w:val="22"/>
          <w:lang w:val="en-GB"/>
        </w:rPr>
        <w:t>8</w:t>
      </w:r>
      <w:r w:rsidR="00EC3224" w:rsidRPr="00AD0609">
        <w:rPr>
          <w:rFonts w:ascii="Palatino Linotype" w:hAnsi="Palatino Linotype" w:cs="Arial"/>
          <w:color w:val="000000"/>
          <w:sz w:val="22"/>
          <w:szCs w:val="22"/>
          <w:lang w:val="en-GB"/>
        </w:rPr>
        <w:t xml:space="preserve"> presents a breakdown of the relevant findings in the survey responses.</w:t>
      </w:r>
    </w:p>
    <w:p w14:paraId="5D038BE7"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25" w:name="_Toc202294832"/>
      <w:bookmarkStart w:id="26" w:name="_Toc202724980"/>
      <w:bookmarkStart w:id="27" w:name="_Toc203058908"/>
    </w:p>
    <w:p w14:paraId="52ACD2FE" w14:textId="527491A0" w:rsidR="00076EA1" w:rsidRPr="0099485C" w:rsidRDefault="00076EA1"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Table </w:t>
      </w:r>
      <w:r w:rsidR="003A1A73" w:rsidRPr="0099485C">
        <w:rPr>
          <w:rFonts w:ascii="Palatino Linotype" w:eastAsia="Times New Roman" w:hAnsi="Palatino Linotype" w:cs="Arial"/>
          <w:kern w:val="0"/>
          <w:sz w:val="20"/>
          <w:szCs w:val="20"/>
          <w:lang w:val="en-GB"/>
          <w14:ligatures w14:val="none"/>
        </w:rPr>
        <w:t>8</w:t>
      </w:r>
      <w:r w:rsidRPr="0099485C">
        <w:rPr>
          <w:rFonts w:ascii="Palatino Linotype" w:eastAsia="Times New Roman" w:hAnsi="Palatino Linotype" w:cs="Arial"/>
          <w:kern w:val="0"/>
          <w:sz w:val="20"/>
          <w:szCs w:val="20"/>
          <w:lang w:val="en-GB"/>
          <w14:ligatures w14:val="none"/>
        </w:rPr>
        <w:t>: Valuer’s data accessibility</w:t>
      </w:r>
      <w:bookmarkEnd w:id="25"/>
      <w:bookmarkEnd w:id="26"/>
      <w:bookmarkEnd w:id="27"/>
    </w:p>
    <w:tbl>
      <w:tblPr>
        <w:tblStyle w:val="TableGridLight"/>
        <w:tblW w:w="0" w:type="auto"/>
        <w:tblLook w:val="04A0" w:firstRow="1" w:lastRow="0" w:firstColumn="1" w:lastColumn="0" w:noHBand="0" w:noVBand="1"/>
      </w:tblPr>
      <w:tblGrid>
        <w:gridCol w:w="3015"/>
        <w:gridCol w:w="3008"/>
        <w:gridCol w:w="2993"/>
      </w:tblGrid>
      <w:tr w:rsidR="00076EA1" w:rsidRPr="0099485C" w14:paraId="151A7E03" w14:textId="77777777" w:rsidTr="0083680E">
        <w:tc>
          <w:tcPr>
            <w:tcW w:w="3116" w:type="dxa"/>
          </w:tcPr>
          <w:p w14:paraId="4B272A72" w14:textId="2AB078F5" w:rsidR="00076EA1" w:rsidRPr="0099485C" w:rsidRDefault="006B123F"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Response</w:t>
            </w:r>
          </w:p>
        </w:tc>
        <w:tc>
          <w:tcPr>
            <w:tcW w:w="3117" w:type="dxa"/>
            <w:hideMark/>
          </w:tcPr>
          <w:p w14:paraId="38943EE4"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3117" w:type="dxa"/>
            <w:hideMark/>
          </w:tcPr>
          <w:p w14:paraId="2A3D84C0" w14:textId="0967E2BA"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w:t>
            </w:r>
            <w:r w:rsidR="00530D5C" w:rsidRPr="0099485C">
              <w:rPr>
                <w:rFonts w:ascii="Palatino Linotype" w:eastAsia="Aptos" w:hAnsi="Palatino Linotype" w:cs="Arial"/>
                <w:sz w:val="20"/>
                <w:szCs w:val="20"/>
                <w:lang w:val="en-GB"/>
                <w14:ligatures w14:val="none"/>
              </w:rPr>
              <w:t xml:space="preserve"> (%)</w:t>
            </w:r>
          </w:p>
        </w:tc>
      </w:tr>
      <w:tr w:rsidR="00076EA1" w:rsidRPr="0099485C" w14:paraId="7DD643B3" w14:textId="77777777" w:rsidTr="0083680E">
        <w:tc>
          <w:tcPr>
            <w:tcW w:w="3116" w:type="dxa"/>
            <w:hideMark/>
          </w:tcPr>
          <w:p w14:paraId="3460FEC6" w14:textId="29585A49"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Yes</w:t>
            </w:r>
            <w:r w:rsidR="006B123F" w:rsidRPr="0099485C">
              <w:rPr>
                <w:rFonts w:ascii="Palatino Linotype" w:hAnsi="Palatino Linotype"/>
              </w:rPr>
              <w:t xml:space="preserve"> </w:t>
            </w:r>
            <w:r w:rsidR="006B123F" w:rsidRPr="0099485C">
              <w:rPr>
                <w:rFonts w:ascii="Palatino Linotype" w:eastAsia="Aptos" w:hAnsi="Palatino Linotype" w:cs="Arial"/>
                <w:sz w:val="20"/>
                <w:szCs w:val="20"/>
                <w:lang w:val="en-GB"/>
                <w14:ligatures w14:val="none"/>
              </w:rPr>
              <w:t>(Valuers only)</w:t>
            </w:r>
          </w:p>
        </w:tc>
        <w:tc>
          <w:tcPr>
            <w:tcW w:w="3117" w:type="dxa"/>
            <w:hideMark/>
          </w:tcPr>
          <w:p w14:paraId="081AC8ED"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15</w:t>
            </w:r>
          </w:p>
        </w:tc>
        <w:tc>
          <w:tcPr>
            <w:tcW w:w="3117" w:type="dxa"/>
          </w:tcPr>
          <w:p w14:paraId="069ADB28"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65</w:t>
            </w:r>
          </w:p>
        </w:tc>
      </w:tr>
      <w:tr w:rsidR="00076EA1" w:rsidRPr="0099485C" w14:paraId="2CD24C66" w14:textId="77777777" w:rsidTr="0083680E">
        <w:trPr>
          <w:trHeight w:val="287"/>
        </w:trPr>
        <w:tc>
          <w:tcPr>
            <w:tcW w:w="3116" w:type="dxa"/>
            <w:hideMark/>
          </w:tcPr>
          <w:p w14:paraId="1FF036BF" w14:textId="09BF8458"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w:t>
            </w:r>
            <w:r w:rsidR="006B123F" w:rsidRPr="0099485C">
              <w:rPr>
                <w:rFonts w:ascii="Palatino Linotype" w:hAnsi="Palatino Linotype"/>
              </w:rPr>
              <w:t xml:space="preserve"> </w:t>
            </w:r>
            <w:r w:rsidR="006B123F" w:rsidRPr="0099485C">
              <w:rPr>
                <w:rFonts w:ascii="Palatino Linotype" w:eastAsia="Aptos" w:hAnsi="Palatino Linotype" w:cs="Arial"/>
                <w:sz w:val="20"/>
                <w:szCs w:val="20"/>
                <w:lang w:val="en-GB"/>
                <w14:ligatures w14:val="none"/>
              </w:rPr>
              <w:t>(Broader institutional access)</w:t>
            </w:r>
          </w:p>
        </w:tc>
        <w:tc>
          <w:tcPr>
            <w:tcW w:w="3117" w:type="dxa"/>
            <w:hideMark/>
          </w:tcPr>
          <w:p w14:paraId="5D70F5A8"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w:t>
            </w:r>
          </w:p>
        </w:tc>
        <w:tc>
          <w:tcPr>
            <w:tcW w:w="3117" w:type="dxa"/>
          </w:tcPr>
          <w:p w14:paraId="518D17AE"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35</w:t>
            </w:r>
          </w:p>
        </w:tc>
      </w:tr>
      <w:tr w:rsidR="00076EA1" w:rsidRPr="0099485C" w14:paraId="138F27B7" w14:textId="77777777" w:rsidTr="0083680E">
        <w:tc>
          <w:tcPr>
            <w:tcW w:w="3116" w:type="dxa"/>
            <w:hideMark/>
          </w:tcPr>
          <w:p w14:paraId="1AC9A4E5"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Total</w:t>
            </w:r>
          </w:p>
        </w:tc>
        <w:tc>
          <w:tcPr>
            <w:tcW w:w="3117" w:type="dxa"/>
          </w:tcPr>
          <w:p w14:paraId="44C7B5BD"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23</w:t>
            </w:r>
          </w:p>
        </w:tc>
        <w:tc>
          <w:tcPr>
            <w:tcW w:w="3117" w:type="dxa"/>
          </w:tcPr>
          <w:p w14:paraId="3C93F79D" w14:textId="77777777" w:rsidR="00076EA1" w:rsidRPr="0099485C" w:rsidRDefault="00076EA1"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r>
    </w:tbl>
    <w:p w14:paraId="6F8205F4" w14:textId="677A0252" w:rsidR="006B6982" w:rsidRPr="0099485C" w:rsidRDefault="00076EA1"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0745A950"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4FF5F6CC" w14:textId="18224F0C" w:rsidR="00BA7F2B" w:rsidRPr="00AD0609" w:rsidRDefault="006B6982" w:rsidP="0099485C">
      <w:pPr>
        <w:spacing w:after="0" w:line="240" w:lineRule="auto"/>
        <w:jc w:val="both"/>
        <w:rPr>
          <w:rFonts w:ascii="Palatino Linotype" w:eastAsia="Times New Roman" w:hAnsi="Palatino Linotype" w:cs="Arial"/>
          <w:kern w:val="0"/>
          <w:sz w:val="22"/>
          <w:szCs w:val="22"/>
          <w:lang w:val="en-GB"/>
          <w14:ligatures w14:val="none"/>
        </w:rPr>
      </w:pPr>
      <w:r w:rsidRPr="00AD0609">
        <w:rPr>
          <w:rFonts w:ascii="Palatino Linotype" w:eastAsia="Times New Roman" w:hAnsi="Palatino Linotype" w:cs="Arial"/>
          <w:kern w:val="0"/>
          <w:sz w:val="22"/>
          <w:szCs w:val="22"/>
          <w:lang w:val="en-GB"/>
          <w14:ligatures w14:val="none"/>
        </w:rPr>
        <w:t xml:space="preserve">This division underscores a fundamental tension between protecting professional autonomy and enabling broader institutional collaboration. Ajibola and Oloyede (2010) highlight that without proper role </w:t>
      </w:r>
      <w:r w:rsidR="00DC0B11" w:rsidRPr="00AD0609">
        <w:rPr>
          <w:rFonts w:ascii="Palatino Linotype" w:eastAsia="Times New Roman" w:hAnsi="Palatino Linotype" w:cs="Arial"/>
          <w:kern w:val="0"/>
          <w:sz w:val="22"/>
          <w:szCs w:val="22"/>
          <w:lang w:val="en-GB"/>
          <w14:ligatures w14:val="none"/>
        </w:rPr>
        <w:t>delineation;</w:t>
      </w:r>
      <w:r w:rsidRPr="00AD0609">
        <w:rPr>
          <w:rFonts w:ascii="Palatino Linotype" w:eastAsia="Times New Roman" w:hAnsi="Palatino Linotype" w:cs="Arial"/>
          <w:kern w:val="0"/>
          <w:sz w:val="22"/>
          <w:szCs w:val="22"/>
          <w:lang w:val="en-GB"/>
          <w14:ligatures w14:val="none"/>
        </w:rPr>
        <w:t xml:space="preserve"> data democratization may dilute valuation authority. In contrast, Ackermann et al. (2021) argue for multi stakeholder access models supported by encryption and audit trails. Eswatini’s valuers appear cautiously progressive, acknowledging potential benefits of shared access while also protecting their domain expertise.</w:t>
      </w:r>
    </w:p>
    <w:p w14:paraId="09C733E7" w14:textId="77777777" w:rsidR="00BA7F2B" w:rsidRPr="00AD0609" w:rsidRDefault="00BA7F2B" w:rsidP="0099485C">
      <w:pPr>
        <w:spacing w:after="0" w:line="240" w:lineRule="auto"/>
        <w:jc w:val="both"/>
        <w:rPr>
          <w:rFonts w:ascii="Palatino Linotype" w:eastAsia="Times New Roman" w:hAnsi="Palatino Linotype" w:cs="Arial"/>
          <w:kern w:val="0"/>
          <w:sz w:val="22"/>
          <w:szCs w:val="22"/>
          <w:lang w:val="en-GB"/>
          <w14:ligatures w14:val="none"/>
        </w:rPr>
      </w:pPr>
    </w:p>
    <w:p w14:paraId="38057269" w14:textId="02138574" w:rsidR="00E37F0B" w:rsidRPr="00AD0609" w:rsidRDefault="0033204A"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 xml:space="preserve">Data Shared to Third Parties </w:t>
      </w:r>
    </w:p>
    <w:p w14:paraId="321088EF" w14:textId="46D8D74C" w:rsidR="0033204A" w:rsidRPr="00AD0609" w:rsidRDefault="00F679FA"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color w:val="000000"/>
          <w:sz w:val="22"/>
          <w:szCs w:val="22"/>
          <w:lang w:val="en-GB"/>
        </w:rPr>
        <w:t xml:space="preserve">When asked whether data from the centralized valuation database should be shared with third parties, an overwhelming 78% of valuers supported sharing, provided that clear protocols and ethical safeguards are in place. Respondents emphasized anonymization, purpose-limited use, and institutional verification as prerequisites. This indicates that while </w:t>
      </w:r>
      <w:r w:rsidRPr="00AD0609">
        <w:rPr>
          <w:rFonts w:ascii="Palatino Linotype" w:hAnsi="Palatino Linotype" w:cs="Arial"/>
          <w:color w:val="000000"/>
          <w:sz w:val="22"/>
          <w:szCs w:val="22"/>
          <w:lang w:val="en-GB"/>
        </w:rPr>
        <w:lastRenderedPageBreak/>
        <w:t xml:space="preserve">valuers are open to broader data use, they prioritize control, privacy, and professional accountability. </w:t>
      </w:r>
      <w:r w:rsidR="000F5D69" w:rsidRPr="00AD0609">
        <w:rPr>
          <w:rFonts w:ascii="Palatino Linotype" w:hAnsi="Palatino Linotype" w:cs="Arial"/>
          <w:color w:val="000000"/>
          <w:sz w:val="22"/>
          <w:szCs w:val="22"/>
          <w:lang w:val="en-GB"/>
        </w:rPr>
        <w:t xml:space="preserve">Table </w:t>
      </w:r>
      <w:r w:rsidR="003A1A73" w:rsidRPr="00AD0609">
        <w:rPr>
          <w:rFonts w:ascii="Palatino Linotype" w:hAnsi="Palatino Linotype" w:cs="Arial"/>
          <w:color w:val="000000"/>
          <w:sz w:val="22"/>
          <w:szCs w:val="22"/>
          <w:lang w:val="en-GB"/>
        </w:rPr>
        <w:t>9</w:t>
      </w:r>
      <w:r w:rsidR="000F5D69" w:rsidRPr="00AD0609">
        <w:rPr>
          <w:rFonts w:ascii="Palatino Linotype" w:hAnsi="Palatino Linotype" w:cs="Arial"/>
          <w:color w:val="000000"/>
          <w:sz w:val="22"/>
          <w:szCs w:val="22"/>
          <w:lang w:val="en-GB"/>
        </w:rPr>
        <w:t xml:space="preserve"> presents a breakdown of the relevant findings in the survey responses.</w:t>
      </w:r>
    </w:p>
    <w:p w14:paraId="24DD4EA1"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28" w:name="_Toc202294833"/>
      <w:bookmarkStart w:id="29" w:name="_Toc202724981"/>
      <w:bookmarkStart w:id="30" w:name="_Toc203058909"/>
    </w:p>
    <w:p w14:paraId="01771267" w14:textId="7E949321" w:rsidR="00665F65" w:rsidRPr="0099485C" w:rsidRDefault="00665F65"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Table </w:t>
      </w:r>
      <w:r w:rsidR="003A1A73" w:rsidRPr="0099485C">
        <w:rPr>
          <w:rFonts w:ascii="Palatino Linotype" w:eastAsia="Times New Roman" w:hAnsi="Palatino Linotype" w:cs="Arial"/>
          <w:kern w:val="0"/>
          <w:sz w:val="20"/>
          <w:szCs w:val="20"/>
          <w:lang w:val="en-GB"/>
          <w14:ligatures w14:val="none"/>
        </w:rPr>
        <w:t>9</w:t>
      </w:r>
      <w:r w:rsidRPr="0099485C">
        <w:rPr>
          <w:rFonts w:ascii="Palatino Linotype" w:eastAsia="Times New Roman" w:hAnsi="Palatino Linotype" w:cs="Arial"/>
          <w:kern w:val="0"/>
          <w:sz w:val="20"/>
          <w:szCs w:val="20"/>
          <w:lang w:val="en-GB"/>
          <w14:ligatures w14:val="none"/>
        </w:rPr>
        <w:t>: Data shared to third parties</w:t>
      </w:r>
      <w:bookmarkEnd w:id="28"/>
      <w:bookmarkEnd w:id="29"/>
      <w:bookmarkEnd w:id="30"/>
    </w:p>
    <w:tbl>
      <w:tblPr>
        <w:tblStyle w:val="TableGridLight"/>
        <w:tblW w:w="0" w:type="auto"/>
        <w:tblLook w:val="04A0" w:firstRow="1" w:lastRow="0" w:firstColumn="1" w:lastColumn="0" w:noHBand="0" w:noVBand="1"/>
      </w:tblPr>
      <w:tblGrid>
        <w:gridCol w:w="3007"/>
        <w:gridCol w:w="3012"/>
        <w:gridCol w:w="2997"/>
      </w:tblGrid>
      <w:tr w:rsidR="00665F65" w:rsidRPr="0099485C" w14:paraId="46E5C0EE" w14:textId="77777777" w:rsidTr="0083680E">
        <w:tc>
          <w:tcPr>
            <w:tcW w:w="3116" w:type="dxa"/>
          </w:tcPr>
          <w:p w14:paraId="5009B8F5" w14:textId="0ACE0DE4" w:rsidR="00665F65" w:rsidRPr="0099485C" w:rsidRDefault="00530D5C"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Response</w:t>
            </w:r>
          </w:p>
        </w:tc>
        <w:tc>
          <w:tcPr>
            <w:tcW w:w="3117" w:type="dxa"/>
            <w:hideMark/>
          </w:tcPr>
          <w:p w14:paraId="20096A0C"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3117" w:type="dxa"/>
            <w:hideMark/>
          </w:tcPr>
          <w:p w14:paraId="2436018A"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 (%)</w:t>
            </w:r>
          </w:p>
        </w:tc>
      </w:tr>
      <w:tr w:rsidR="00665F65" w:rsidRPr="0099485C" w14:paraId="008FC480" w14:textId="77777777" w:rsidTr="0083680E">
        <w:tc>
          <w:tcPr>
            <w:tcW w:w="3116" w:type="dxa"/>
            <w:hideMark/>
          </w:tcPr>
          <w:p w14:paraId="77275455"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Yes</w:t>
            </w:r>
          </w:p>
        </w:tc>
        <w:tc>
          <w:tcPr>
            <w:tcW w:w="3117" w:type="dxa"/>
            <w:hideMark/>
          </w:tcPr>
          <w:p w14:paraId="3ADB33F8"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18</w:t>
            </w:r>
          </w:p>
        </w:tc>
        <w:tc>
          <w:tcPr>
            <w:tcW w:w="3117" w:type="dxa"/>
          </w:tcPr>
          <w:p w14:paraId="06658AF0"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78</w:t>
            </w:r>
          </w:p>
        </w:tc>
      </w:tr>
      <w:tr w:rsidR="00665F65" w:rsidRPr="0099485C" w14:paraId="7A90546A" w14:textId="77777777" w:rsidTr="0083680E">
        <w:tc>
          <w:tcPr>
            <w:tcW w:w="3116" w:type="dxa"/>
            <w:hideMark/>
          </w:tcPr>
          <w:p w14:paraId="26721587"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w:t>
            </w:r>
          </w:p>
        </w:tc>
        <w:tc>
          <w:tcPr>
            <w:tcW w:w="3117" w:type="dxa"/>
            <w:hideMark/>
          </w:tcPr>
          <w:p w14:paraId="01B0AA46"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5</w:t>
            </w:r>
          </w:p>
        </w:tc>
        <w:tc>
          <w:tcPr>
            <w:tcW w:w="3117" w:type="dxa"/>
          </w:tcPr>
          <w:p w14:paraId="7180F051"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22</w:t>
            </w:r>
          </w:p>
        </w:tc>
      </w:tr>
      <w:tr w:rsidR="00665F65" w:rsidRPr="0099485C" w14:paraId="0BC441F6" w14:textId="77777777" w:rsidTr="0083680E">
        <w:tc>
          <w:tcPr>
            <w:tcW w:w="3116" w:type="dxa"/>
            <w:hideMark/>
          </w:tcPr>
          <w:p w14:paraId="0E035EEC"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Total</w:t>
            </w:r>
          </w:p>
        </w:tc>
        <w:tc>
          <w:tcPr>
            <w:tcW w:w="3117" w:type="dxa"/>
          </w:tcPr>
          <w:p w14:paraId="325D3351"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23</w:t>
            </w:r>
          </w:p>
        </w:tc>
        <w:tc>
          <w:tcPr>
            <w:tcW w:w="3117" w:type="dxa"/>
          </w:tcPr>
          <w:p w14:paraId="3C866B04" w14:textId="77777777" w:rsidR="00665F65" w:rsidRPr="0099485C" w:rsidRDefault="00665F65"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tc>
      </w:tr>
    </w:tbl>
    <w:p w14:paraId="0323351D" w14:textId="77777777" w:rsidR="00665F65" w:rsidRPr="0099485C" w:rsidRDefault="00665F65"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2357694C" w14:textId="77777777" w:rsidR="001611AD" w:rsidRPr="0099485C" w:rsidRDefault="001611AD" w:rsidP="0099485C">
      <w:pPr>
        <w:spacing w:after="0" w:line="240" w:lineRule="auto"/>
        <w:jc w:val="both"/>
        <w:rPr>
          <w:rFonts w:ascii="Palatino Linotype" w:eastAsia="Times New Roman" w:hAnsi="Palatino Linotype" w:cs="Arial"/>
          <w:kern w:val="0"/>
          <w:sz w:val="20"/>
          <w:szCs w:val="20"/>
          <w:lang w:val="en-GB"/>
          <w14:ligatures w14:val="none"/>
        </w:rPr>
      </w:pPr>
    </w:p>
    <w:p w14:paraId="52E82358" w14:textId="12696853" w:rsidR="009F1EE4" w:rsidRPr="00AD0609" w:rsidRDefault="001729D9" w:rsidP="0099485C">
      <w:pPr>
        <w:spacing w:after="0" w:line="240" w:lineRule="auto"/>
        <w:jc w:val="both"/>
        <w:rPr>
          <w:rFonts w:ascii="Palatino Linotype" w:eastAsia="Times New Roman" w:hAnsi="Palatino Linotype" w:cs="Arial"/>
          <w:kern w:val="0"/>
          <w:sz w:val="22"/>
          <w:szCs w:val="22"/>
          <w:lang w:val="en-GB"/>
          <w14:ligatures w14:val="none"/>
        </w:rPr>
      </w:pPr>
      <w:r w:rsidRPr="00AD0609">
        <w:rPr>
          <w:rFonts w:ascii="Palatino Linotype" w:hAnsi="Palatino Linotype" w:cs="Arial"/>
          <w:sz w:val="22"/>
          <w:szCs w:val="22"/>
          <w:lang w:val="en-GB"/>
        </w:rPr>
        <w:t xml:space="preserve">These </w:t>
      </w:r>
      <w:r w:rsidR="008C4D7C" w:rsidRPr="00AD0609">
        <w:rPr>
          <w:rFonts w:ascii="Palatino Linotype" w:eastAsia="Times New Roman" w:hAnsi="Palatino Linotype" w:cs="Arial"/>
          <w:kern w:val="0"/>
          <w:sz w:val="22"/>
          <w:szCs w:val="22"/>
          <w:lang w:val="en-GB"/>
          <w14:ligatures w14:val="none"/>
        </w:rPr>
        <w:t>concerns align with global best practices in ethical data governance, as outlined in the RICS (2021) data ethics charter and the EU’s General Data Protection Regulation (GDPR). The findings demonstrate that valuers in Eswatini are not averse to external engagement, but require assurance around data ownership, usage rights, and privacy to prevent misuse or commodification. Those who opposed third-party sharing raised concerns about potential data misuse, commercialisation of professional work without consent, and weakening the valuers’ role in interpreting data (Ajibola &amp; Oloyede, 2010). These concerns underline the importance of a robust legal framework and a trusted data governance model before implementing third-party access.</w:t>
      </w:r>
    </w:p>
    <w:p w14:paraId="763F6EC3" w14:textId="77777777" w:rsidR="00AD0609" w:rsidRDefault="00AD0609" w:rsidP="0099485C">
      <w:pPr>
        <w:spacing w:after="0" w:line="240" w:lineRule="auto"/>
        <w:jc w:val="both"/>
        <w:rPr>
          <w:rFonts w:ascii="Palatino Linotype" w:hAnsi="Palatino Linotype" w:cs="Arial"/>
          <w:lang w:val="en-GB"/>
        </w:rPr>
      </w:pPr>
    </w:p>
    <w:p w14:paraId="1D323C5A" w14:textId="591E30B5" w:rsidR="00E37F0B" w:rsidRPr="00AD0609" w:rsidRDefault="00C06E56" w:rsidP="0099485C">
      <w:pPr>
        <w:spacing w:after="0" w:line="240" w:lineRule="auto"/>
        <w:jc w:val="both"/>
        <w:rPr>
          <w:rFonts w:ascii="Palatino Linotype" w:hAnsi="Palatino Linotype" w:cs="Arial"/>
          <w:b/>
          <w:bCs/>
          <w:sz w:val="22"/>
          <w:szCs w:val="22"/>
          <w:lang w:val="en-GB"/>
        </w:rPr>
      </w:pPr>
      <w:r w:rsidRPr="00AD0609">
        <w:rPr>
          <w:rFonts w:ascii="Palatino Linotype" w:hAnsi="Palatino Linotype" w:cs="Arial"/>
          <w:b/>
          <w:bCs/>
          <w:sz w:val="22"/>
          <w:szCs w:val="22"/>
          <w:lang w:val="en-GB"/>
        </w:rPr>
        <w:t>Data Quality and Credibility</w:t>
      </w:r>
    </w:p>
    <w:p w14:paraId="3E6FD6FF" w14:textId="5779327A" w:rsidR="00CF530B" w:rsidRDefault="00F679FA"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To assess how data quality and credibility could be improved, respondents suggested several measures. The most frequently cited strategies included validation mechanisms (22%), accreditation or licensing systems (13%), regulatory oversight (13%), and source referencing (13%). Others advocated for secure electronic portals and peer review systems. These findings suggest that valuers recognize the importance of formal checks, professional accountability, and technological safeguards in ensuring reliable data</w:t>
      </w:r>
      <w:r w:rsidR="00CF530B" w:rsidRPr="00AD0609">
        <w:rPr>
          <w:rFonts w:ascii="Palatino Linotype" w:hAnsi="Palatino Linotype" w:cs="Arial"/>
          <w:sz w:val="22"/>
          <w:szCs w:val="22"/>
          <w:lang w:val="en-GB"/>
        </w:rPr>
        <w:t xml:space="preserve">. </w:t>
      </w:r>
    </w:p>
    <w:p w14:paraId="0EBC41D0" w14:textId="77777777" w:rsidR="00AD0609" w:rsidRPr="00AD0609" w:rsidRDefault="00AD0609" w:rsidP="0099485C">
      <w:pPr>
        <w:spacing w:after="0" w:line="240" w:lineRule="auto"/>
        <w:jc w:val="both"/>
        <w:rPr>
          <w:rFonts w:ascii="Palatino Linotype" w:hAnsi="Palatino Linotype" w:cs="Arial"/>
          <w:sz w:val="22"/>
          <w:szCs w:val="22"/>
          <w:lang w:val="en-GB"/>
        </w:rPr>
      </w:pPr>
    </w:p>
    <w:p w14:paraId="58379988" w14:textId="719EC4CB" w:rsidR="00CF530B" w:rsidRPr="00AD0609" w:rsidRDefault="0077294B"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The findings emphasise the need for validation, regulation, and standardisation to ensure high quality shared valuation data, mirroring international best practices (IVSC, 2021;</w:t>
      </w:r>
      <w:r w:rsidR="005B2111" w:rsidRPr="00AD0609">
        <w:rPr>
          <w:rFonts w:ascii="Palatino Linotype" w:hAnsi="Palatino Linotype" w:cs="Arial"/>
          <w:sz w:val="22"/>
          <w:szCs w:val="22"/>
          <w:lang w:val="en-GB"/>
        </w:rPr>
        <w:t xml:space="preserve"> RICS, 2022). A subset of respondents </w:t>
      </w:r>
      <w:r w:rsidR="00E64AE6" w:rsidRPr="00AD0609">
        <w:rPr>
          <w:rFonts w:ascii="Palatino Linotype" w:hAnsi="Palatino Linotype" w:cs="Arial"/>
          <w:sz w:val="22"/>
          <w:szCs w:val="22"/>
          <w:lang w:val="en-GB"/>
        </w:rPr>
        <w:t>favoured</w:t>
      </w:r>
      <w:r w:rsidR="005B2111" w:rsidRPr="00AD0609">
        <w:rPr>
          <w:rFonts w:ascii="Palatino Linotype" w:hAnsi="Palatino Linotype" w:cs="Arial"/>
          <w:sz w:val="22"/>
          <w:szCs w:val="22"/>
          <w:lang w:val="en-GB"/>
        </w:rPr>
        <w:t xml:space="preserve"> a secure, members only electronic system, underscoring controlled access and data confidentiality</w:t>
      </w:r>
      <w:r w:rsidR="00B3228E" w:rsidRPr="00AD0609">
        <w:rPr>
          <w:rFonts w:ascii="Palatino Linotype" w:hAnsi="Palatino Linotype" w:cs="Arial"/>
          <w:sz w:val="22"/>
          <w:szCs w:val="22"/>
          <w:lang w:val="en-GB"/>
        </w:rPr>
        <w:t xml:space="preserve">, concerns also noted by Ackermann et al. (2021) and Olapade and Olaleye (2019). </w:t>
      </w:r>
      <w:r w:rsidR="008F6744" w:rsidRPr="00AD0609">
        <w:rPr>
          <w:rFonts w:ascii="Palatino Linotype" w:hAnsi="Palatino Linotype" w:cs="Arial"/>
          <w:sz w:val="22"/>
          <w:szCs w:val="22"/>
          <w:lang w:val="en-GB"/>
        </w:rPr>
        <w:t xml:space="preserve">Overall, the results advocate institutional reforms that strengthen standardized </w:t>
      </w:r>
      <w:r w:rsidR="00652B79" w:rsidRPr="00AD0609">
        <w:rPr>
          <w:rFonts w:ascii="Palatino Linotype" w:hAnsi="Palatino Linotype" w:cs="Arial"/>
          <w:sz w:val="22"/>
          <w:szCs w:val="22"/>
          <w:lang w:val="en-GB"/>
        </w:rPr>
        <w:t>procedures</w:t>
      </w:r>
      <w:r w:rsidR="008F6744" w:rsidRPr="00AD0609">
        <w:rPr>
          <w:rFonts w:ascii="Palatino Linotype" w:hAnsi="Palatino Linotype" w:cs="Arial"/>
          <w:sz w:val="22"/>
          <w:szCs w:val="22"/>
          <w:lang w:val="en-GB"/>
        </w:rPr>
        <w:t xml:space="preserve">, regulatory oversight, and technological infrastructure to enhance data quality in the valuation sector. </w:t>
      </w:r>
    </w:p>
    <w:p w14:paraId="77F637BF" w14:textId="77777777" w:rsidR="00AD0609" w:rsidRDefault="00AD0609" w:rsidP="0099485C">
      <w:pPr>
        <w:spacing w:after="0" w:line="240" w:lineRule="auto"/>
        <w:jc w:val="both"/>
        <w:rPr>
          <w:rFonts w:ascii="Palatino Linotype" w:hAnsi="Palatino Linotype" w:cs="Arial"/>
          <w:sz w:val="22"/>
          <w:szCs w:val="22"/>
          <w:lang w:val="en-GB"/>
        </w:rPr>
      </w:pPr>
    </w:p>
    <w:p w14:paraId="41DB4FE7" w14:textId="7A8914F7" w:rsidR="00E37F0B" w:rsidRPr="00AD0609" w:rsidRDefault="00681699" w:rsidP="0099485C">
      <w:pPr>
        <w:spacing w:after="0" w:line="240" w:lineRule="auto"/>
        <w:jc w:val="both"/>
        <w:rPr>
          <w:rFonts w:ascii="Palatino Linotype" w:hAnsi="Palatino Linotype" w:cs="Arial"/>
          <w:b/>
          <w:bCs/>
          <w:sz w:val="22"/>
          <w:szCs w:val="22"/>
          <w:lang w:val="en-GB"/>
        </w:rPr>
      </w:pPr>
      <w:r w:rsidRPr="00AD0609">
        <w:rPr>
          <w:rFonts w:ascii="Palatino Linotype" w:hAnsi="Palatino Linotype" w:cs="Arial"/>
          <w:b/>
          <w:bCs/>
          <w:sz w:val="22"/>
          <w:szCs w:val="22"/>
          <w:lang w:val="en-GB"/>
        </w:rPr>
        <w:t>Measures to Ensure Reliable Field Data</w:t>
      </w:r>
    </w:p>
    <w:p w14:paraId="37DE5864" w14:textId="4033D532" w:rsidR="00571768" w:rsidRPr="00AD0609" w:rsidRDefault="00F679FA" w:rsidP="0099485C">
      <w:pPr>
        <w:spacing w:after="0" w:line="240" w:lineRule="auto"/>
        <w:jc w:val="both"/>
        <w:rPr>
          <w:rFonts w:ascii="Palatino Linotype" w:hAnsi="Palatino Linotype" w:cs="Arial"/>
          <w:sz w:val="22"/>
          <w:szCs w:val="22"/>
          <w:lang w:val="en-GB"/>
        </w:rPr>
      </w:pPr>
      <w:r w:rsidRPr="00AD0609">
        <w:rPr>
          <w:rFonts w:ascii="Palatino Linotype" w:hAnsi="Palatino Linotype" w:cs="Arial"/>
          <w:sz w:val="22"/>
          <w:szCs w:val="22"/>
          <w:lang w:val="en-GB"/>
        </w:rPr>
        <w:t>Respondents were asked to suggest measures to ensure that field data remains current and reliable in a centralized database. Valuers recommended a combination of temporal and procedural interventions. Over half (56%) emphasized the importance of regular data updates, ideally on a quarterly or biannual basis, while others suggested automated validation tools, mandatory submission portals, and audit trails. These findings indicate a strong awareness among practitioners of the need for systematic data maintenance, accountability, and verification mechanisms</w:t>
      </w:r>
      <w:r w:rsidR="00167553" w:rsidRPr="00AD0609">
        <w:rPr>
          <w:rFonts w:ascii="Palatino Linotype" w:hAnsi="Palatino Linotype" w:cs="Arial"/>
          <w:sz w:val="22"/>
          <w:szCs w:val="22"/>
          <w:lang w:val="en-GB"/>
        </w:rPr>
        <w:t>. Others suggested the use of au</w:t>
      </w:r>
      <w:r w:rsidR="00902876" w:rsidRPr="00AD0609">
        <w:rPr>
          <w:rFonts w:ascii="Palatino Linotype" w:hAnsi="Palatino Linotype" w:cs="Arial"/>
          <w:sz w:val="22"/>
          <w:szCs w:val="22"/>
          <w:lang w:val="en-GB"/>
        </w:rPr>
        <w:t>tomated validation tools, mandatory submission portals, and audit trails.</w:t>
      </w:r>
      <w:r w:rsidR="001C5F5C" w:rsidRPr="00AD0609">
        <w:rPr>
          <w:rFonts w:ascii="Palatino Linotype" w:hAnsi="Palatino Linotype" w:cs="Arial"/>
          <w:sz w:val="22"/>
          <w:szCs w:val="22"/>
          <w:lang w:val="en-GB"/>
        </w:rPr>
        <w:t xml:space="preserve"> </w:t>
      </w:r>
      <w:r w:rsidR="001C5F5C" w:rsidRPr="00AD0609">
        <w:rPr>
          <w:rFonts w:ascii="Palatino Linotype" w:hAnsi="Palatino Linotype" w:cs="Arial"/>
          <w:color w:val="000000"/>
          <w:sz w:val="22"/>
          <w:szCs w:val="22"/>
          <w:lang w:val="en-GB"/>
        </w:rPr>
        <w:t xml:space="preserve">Table </w:t>
      </w:r>
      <w:r w:rsidR="003A1A73" w:rsidRPr="00AD0609">
        <w:rPr>
          <w:rFonts w:ascii="Palatino Linotype" w:hAnsi="Palatino Linotype" w:cs="Arial"/>
          <w:color w:val="000000"/>
          <w:sz w:val="22"/>
          <w:szCs w:val="22"/>
          <w:lang w:val="en-GB"/>
        </w:rPr>
        <w:t>10</w:t>
      </w:r>
      <w:r w:rsidR="001C5F5C" w:rsidRPr="00AD0609">
        <w:rPr>
          <w:rFonts w:ascii="Palatino Linotype" w:hAnsi="Palatino Linotype" w:cs="Arial"/>
          <w:color w:val="000000"/>
          <w:sz w:val="22"/>
          <w:szCs w:val="22"/>
          <w:lang w:val="en-GB"/>
        </w:rPr>
        <w:t xml:space="preserve"> presents a breakdown of the relevant findings in the survey responses.</w:t>
      </w:r>
    </w:p>
    <w:p w14:paraId="24390217"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31" w:name="_Toc203034412"/>
      <w:bookmarkStart w:id="32" w:name="_Toc203058911"/>
    </w:p>
    <w:p w14:paraId="5E933435" w14:textId="77777777" w:rsidR="00AD0609" w:rsidRDefault="00AD0609"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p>
    <w:p w14:paraId="5D92942B" w14:textId="3A11F93C" w:rsidR="004A31F2" w:rsidRPr="0099485C" w:rsidRDefault="004A31F2"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Table</w:t>
      </w:r>
      <w:r w:rsidR="00CC4982" w:rsidRPr="0099485C">
        <w:rPr>
          <w:rFonts w:ascii="Palatino Linotype" w:eastAsia="Times New Roman" w:hAnsi="Palatino Linotype" w:cs="Arial"/>
          <w:kern w:val="0"/>
          <w:sz w:val="20"/>
          <w:szCs w:val="20"/>
          <w:lang w:val="en-GB"/>
          <w14:ligatures w14:val="none"/>
        </w:rPr>
        <w:t xml:space="preserve"> </w:t>
      </w:r>
      <w:r w:rsidR="003A1A73" w:rsidRPr="0099485C">
        <w:rPr>
          <w:rFonts w:ascii="Palatino Linotype" w:eastAsia="Times New Roman" w:hAnsi="Palatino Linotype" w:cs="Arial"/>
          <w:kern w:val="0"/>
          <w:sz w:val="20"/>
          <w:szCs w:val="20"/>
          <w:lang w:val="en-GB"/>
          <w14:ligatures w14:val="none"/>
        </w:rPr>
        <w:t>10</w:t>
      </w:r>
      <w:r w:rsidR="00CC4982" w:rsidRPr="0099485C">
        <w:rPr>
          <w:rFonts w:ascii="Palatino Linotype" w:eastAsia="Times New Roman" w:hAnsi="Palatino Linotype" w:cs="Arial"/>
          <w:kern w:val="0"/>
          <w:sz w:val="20"/>
          <w:szCs w:val="20"/>
          <w:lang w:val="en-GB"/>
          <w14:ligatures w14:val="none"/>
        </w:rPr>
        <w:t>:</w:t>
      </w:r>
      <w:r w:rsidRPr="0099485C">
        <w:rPr>
          <w:rFonts w:ascii="Palatino Linotype" w:eastAsia="Times New Roman" w:hAnsi="Palatino Linotype" w:cs="Arial"/>
          <w:kern w:val="0"/>
          <w:sz w:val="20"/>
          <w:szCs w:val="20"/>
          <w:lang w:val="en-GB"/>
          <w14:ligatures w14:val="none"/>
        </w:rPr>
        <w:t xml:space="preserve"> Measures to Reliable Field Data</w:t>
      </w:r>
      <w:bookmarkEnd w:id="31"/>
      <w:bookmarkEnd w:id="32"/>
    </w:p>
    <w:tbl>
      <w:tblPr>
        <w:tblStyle w:val="TableGridLight"/>
        <w:tblW w:w="0" w:type="auto"/>
        <w:tblLook w:val="04A0" w:firstRow="1" w:lastRow="0" w:firstColumn="1" w:lastColumn="0" w:noHBand="0" w:noVBand="1"/>
      </w:tblPr>
      <w:tblGrid>
        <w:gridCol w:w="2234"/>
        <w:gridCol w:w="3807"/>
        <w:gridCol w:w="1260"/>
        <w:gridCol w:w="1715"/>
      </w:tblGrid>
      <w:tr w:rsidR="004A31F2" w:rsidRPr="0099485C" w14:paraId="6335515C" w14:textId="77777777" w:rsidTr="000A3214">
        <w:tc>
          <w:tcPr>
            <w:tcW w:w="2379" w:type="dxa"/>
          </w:tcPr>
          <w:p w14:paraId="5B4B28EF"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Measure </w:t>
            </w:r>
          </w:p>
        </w:tc>
        <w:tc>
          <w:tcPr>
            <w:tcW w:w="4137" w:type="dxa"/>
            <w:hideMark/>
          </w:tcPr>
          <w:p w14:paraId="6D6E4791"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Description</w:t>
            </w:r>
          </w:p>
        </w:tc>
        <w:tc>
          <w:tcPr>
            <w:tcW w:w="1276" w:type="dxa"/>
            <w:hideMark/>
          </w:tcPr>
          <w:p w14:paraId="3ABC7159"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1837" w:type="dxa"/>
          </w:tcPr>
          <w:p w14:paraId="6A553DEB"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 (%)</w:t>
            </w:r>
          </w:p>
        </w:tc>
      </w:tr>
      <w:tr w:rsidR="004A31F2" w:rsidRPr="0099485C" w14:paraId="716B8752" w14:textId="77777777" w:rsidTr="000A3214">
        <w:tc>
          <w:tcPr>
            <w:tcW w:w="2379" w:type="dxa"/>
          </w:tcPr>
          <w:p w14:paraId="0F7F3355"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Regular Updates</w:t>
            </w:r>
          </w:p>
        </w:tc>
        <w:tc>
          <w:tcPr>
            <w:tcW w:w="4137" w:type="dxa"/>
          </w:tcPr>
          <w:p w14:paraId="1DE0EF7D"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Database updates quarterly or bi-annually </w:t>
            </w:r>
          </w:p>
        </w:tc>
        <w:tc>
          <w:tcPr>
            <w:tcW w:w="1276" w:type="dxa"/>
          </w:tcPr>
          <w:p w14:paraId="59505D4F"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13</w:t>
            </w:r>
          </w:p>
        </w:tc>
        <w:tc>
          <w:tcPr>
            <w:tcW w:w="1837" w:type="dxa"/>
          </w:tcPr>
          <w:p w14:paraId="7B1883CD"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56%</w:t>
            </w:r>
          </w:p>
          <w:p w14:paraId="76854316" w14:textId="77777777" w:rsidR="004A31F2" w:rsidRPr="0099485C" w:rsidRDefault="004A31F2" w:rsidP="0099485C">
            <w:pPr>
              <w:jc w:val="both"/>
              <w:rPr>
                <w:rFonts w:ascii="Palatino Linotype" w:eastAsia="Aptos" w:hAnsi="Palatino Linotype" w:cs="Arial"/>
                <w:sz w:val="20"/>
                <w:szCs w:val="20"/>
                <w:lang w:val="en-GB"/>
                <w14:ligatures w14:val="none"/>
              </w:rPr>
            </w:pPr>
          </w:p>
        </w:tc>
      </w:tr>
      <w:tr w:rsidR="004A31F2" w:rsidRPr="0099485C" w14:paraId="5D2AB0AB" w14:textId="77777777" w:rsidTr="000A3214">
        <w:tc>
          <w:tcPr>
            <w:tcW w:w="2379" w:type="dxa"/>
          </w:tcPr>
          <w:p w14:paraId="45333705"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Open Access portal for valuers</w:t>
            </w:r>
          </w:p>
        </w:tc>
        <w:tc>
          <w:tcPr>
            <w:tcW w:w="4137" w:type="dxa"/>
          </w:tcPr>
          <w:p w14:paraId="58D299C0"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Allow qualified valuers to submit real time updates directly</w:t>
            </w:r>
          </w:p>
        </w:tc>
        <w:tc>
          <w:tcPr>
            <w:tcW w:w="1276" w:type="dxa"/>
          </w:tcPr>
          <w:p w14:paraId="226139E9"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1837" w:type="dxa"/>
          </w:tcPr>
          <w:p w14:paraId="06F76D59"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4A31F2" w:rsidRPr="0099485C" w14:paraId="76FD0C54" w14:textId="77777777" w:rsidTr="000A3214">
        <w:tc>
          <w:tcPr>
            <w:tcW w:w="2379" w:type="dxa"/>
          </w:tcPr>
          <w:p w14:paraId="49C878F2"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Strict Venting and Verification Process</w:t>
            </w:r>
          </w:p>
        </w:tc>
        <w:tc>
          <w:tcPr>
            <w:tcW w:w="4137" w:type="dxa"/>
          </w:tcPr>
          <w:p w14:paraId="2AD4BA2D"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Mandatory support documents; senior office review</w:t>
            </w:r>
          </w:p>
        </w:tc>
        <w:tc>
          <w:tcPr>
            <w:tcW w:w="1276" w:type="dxa"/>
          </w:tcPr>
          <w:p w14:paraId="3DF71728"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1837" w:type="dxa"/>
          </w:tcPr>
          <w:p w14:paraId="4B4025F5"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4A31F2" w:rsidRPr="0099485C" w14:paraId="0A4C4107" w14:textId="77777777" w:rsidTr="000A3214">
        <w:tc>
          <w:tcPr>
            <w:tcW w:w="2379" w:type="dxa"/>
          </w:tcPr>
          <w:p w14:paraId="64CEFB08"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Automated Validation Tools</w:t>
            </w:r>
          </w:p>
        </w:tc>
        <w:tc>
          <w:tcPr>
            <w:tcW w:w="4137" w:type="dxa"/>
          </w:tcPr>
          <w:p w14:paraId="7381604F"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Use of software to detect data inconsistencies and errors</w:t>
            </w:r>
          </w:p>
        </w:tc>
        <w:tc>
          <w:tcPr>
            <w:tcW w:w="1276" w:type="dxa"/>
          </w:tcPr>
          <w:p w14:paraId="4558A0F3"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1837" w:type="dxa"/>
          </w:tcPr>
          <w:p w14:paraId="742353A1"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4A31F2" w:rsidRPr="0099485C" w14:paraId="77A2BBEE" w14:textId="77777777" w:rsidTr="000A3214">
        <w:tc>
          <w:tcPr>
            <w:tcW w:w="2379" w:type="dxa"/>
          </w:tcPr>
          <w:p w14:paraId="2A674EA2"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Audit Trails</w:t>
            </w:r>
          </w:p>
        </w:tc>
        <w:tc>
          <w:tcPr>
            <w:tcW w:w="4137" w:type="dxa"/>
          </w:tcPr>
          <w:p w14:paraId="58407351"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Track changes made in the database to promote transparency and accountability</w:t>
            </w:r>
          </w:p>
        </w:tc>
        <w:tc>
          <w:tcPr>
            <w:tcW w:w="1276" w:type="dxa"/>
          </w:tcPr>
          <w:p w14:paraId="3B94DBCB"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w:t>
            </w:r>
          </w:p>
        </w:tc>
        <w:tc>
          <w:tcPr>
            <w:tcW w:w="1837" w:type="dxa"/>
          </w:tcPr>
          <w:p w14:paraId="58C0CDC4" w14:textId="77777777" w:rsidR="004A31F2" w:rsidRPr="0099485C" w:rsidRDefault="004A31F2"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4.3%</w:t>
            </w:r>
          </w:p>
        </w:tc>
      </w:tr>
    </w:tbl>
    <w:p w14:paraId="1D1AF670" w14:textId="3DE85A2C" w:rsidR="00010101" w:rsidRPr="0099485C" w:rsidRDefault="004A31F2"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6C3E5C57" w14:textId="77777777" w:rsidR="00BA7F2B" w:rsidRPr="0099485C" w:rsidRDefault="00BA7F2B" w:rsidP="0099485C">
      <w:pPr>
        <w:spacing w:after="0" w:line="240" w:lineRule="auto"/>
        <w:jc w:val="both"/>
        <w:rPr>
          <w:rFonts w:ascii="Palatino Linotype" w:eastAsia="Times New Roman" w:hAnsi="Palatino Linotype" w:cs="Arial"/>
          <w:kern w:val="0"/>
          <w:sz w:val="20"/>
          <w:szCs w:val="20"/>
          <w:lang w:val="en-GB"/>
          <w14:ligatures w14:val="none"/>
        </w:rPr>
      </w:pPr>
    </w:p>
    <w:p w14:paraId="72879823" w14:textId="36AE0899" w:rsidR="00141474" w:rsidRPr="00AD0609" w:rsidRDefault="00E561B8" w:rsidP="0099485C">
      <w:pPr>
        <w:spacing w:after="0" w:line="240" w:lineRule="auto"/>
        <w:jc w:val="both"/>
        <w:rPr>
          <w:rFonts w:ascii="Palatino Linotype" w:eastAsia="Times New Roman" w:hAnsi="Palatino Linotype" w:cs="Arial"/>
          <w:kern w:val="0"/>
          <w:sz w:val="22"/>
          <w:szCs w:val="22"/>
          <w:lang w:val="en-GB"/>
          <w14:ligatures w14:val="none"/>
        </w:rPr>
      </w:pPr>
      <w:r w:rsidRPr="00AD0609">
        <w:rPr>
          <w:rFonts w:ascii="Palatino Linotype" w:hAnsi="Palatino Linotype" w:cs="Arial"/>
          <w:sz w:val="22"/>
          <w:szCs w:val="22"/>
          <w:lang w:val="en-GB"/>
        </w:rPr>
        <w:t xml:space="preserve">The findings </w:t>
      </w:r>
      <w:r w:rsidR="00141474" w:rsidRPr="00AD0609">
        <w:rPr>
          <w:rFonts w:ascii="Palatino Linotype" w:eastAsia="Times New Roman" w:hAnsi="Palatino Linotype" w:cs="Arial"/>
          <w:kern w:val="0"/>
          <w:sz w:val="22"/>
          <w:szCs w:val="22"/>
          <w:lang w:val="en-GB"/>
          <w14:ligatures w14:val="none"/>
        </w:rPr>
        <w:t>reflect strong awareness of the need for current, reliable data, an approach supported by IVS (2021) and the RICS (2022). Additional suggestions like vetting, audit trails, and access controls align with Ackermann et al. (2021) and Wiesel and Dietrich (2017), who emphasize data integrity and accountability. While fewer respondents mentioned advanced digital tools, this may indicate limited digital capacity in Eswatini.</w:t>
      </w:r>
    </w:p>
    <w:p w14:paraId="091140E5" w14:textId="77777777" w:rsidR="00EE2C44" w:rsidRDefault="00EE2C44" w:rsidP="0099485C">
      <w:pPr>
        <w:spacing w:after="0" w:line="240" w:lineRule="auto"/>
        <w:jc w:val="both"/>
        <w:rPr>
          <w:rFonts w:ascii="Palatino Linotype" w:hAnsi="Palatino Linotype" w:cs="Arial"/>
          <w:lang w:val="en-GB"/>
        </w:rPr>
      </w:pPr>
    </w:p>
    <w:p w14:paraId="72763B82" w14:textId="6D12E612" w:rsidR="00BF07CC" w:rsidRPr="00EE2C44" w:rsidRDefault="00B45AE3" w:rsidP="0099485C">
      <w:pPr>
        <w:spacing w:after="0" w:line="240" w:lineRule="auto"/>
        <w:jc w:val="both"/>
        <w:rPr>
          <w:rFonts w:ascii="Palatino Linotype" w:hAnsi="Palatino Linotype" w:cs="Arial"/>
          <w:b/>
          <w:bCs/>
          <w:sz w:val="22"/>
          <w:szCs w:val="22"/>
          <w:lang w:val="en-GB"/>
        </w:rPr>
      </w:pPr>
      <w:r w:rsidRPr="00EE2C44">
        <w:rPr>
          <w:rFonts w:ascii="Palatino Linotype" w:hAnsi="Palatino Linotype" w:cs="Arial"/>
          <w:b/>
          <w:bCs/>
          <w:sz w:val="22"/>
          <w:szCs w:val="22"/>
          <w:lang w:val="en-GB"/>
        </w:rPr>
        <w:t xml:space="preserve">Key considerations for a successful centralized property valuation </w:t>
      </w:r>
    </w:p>
    <w:p w14:paraId="5F951427" w14:textId="746E272A" w:rsidR="00B45AE3" w:rsidRPr="00EE2C44" w:rsidRDefault="0021025F" w:rsidP="0099485C">
      <w:pPr>
        <w:spacing w:after="0" w:line="240" w:lineRule="auto"/>
        <w:jc w:val="both"/>
        <w:rPr>
          <w:rFonts w:ascii="Palatino Linotype" w:eastAsia="Times New Roman" w:hAnsi="Palatino Linotype" w:cs="Arial"/>
          <w:color w:val="000000"/>
          <w:kern w:val="0"/>
          <w:sz w:val="22"/>
          <w:szCs w:val="22"/>
          <w:lang w:val="en-GB"/>
          <w14:ligatures w14:val="none"/>
        </w:rPr>
      </w:pPr>
      <w:r w:rsidRPr="00EE2C44">
        <w:rPr>
          <w:rFonts w:ascii="Palatino Linotype" w:hAnsi="Palatino Linotype" w:cs="Arial"/>
          <w:color w:val="000000"/>
          <w:sz w:val="22"/>
          <w:szCs w:val="22"/>
          <w:lang w:val="en-GB"/>
        </w:rPr>
        <w:t xml:space="preserve">Figure </w:t>
      </w:r>
      <w:r w:rsidR="004665F2" w:rsidRPr="00EE2C44">
        <w:rPr>
          <w:rFonts w:ascii="Palatino Linotype" w:hAnsi="Palatino Linotype" w:cs="Arial"/>
          <w:color w:val="000000"/>
          <w:sz w:val="22"/>
          <w:szCs w:val="22"/>
          <w:lang w:val="en-GB"/>
        </w:rPr>
        <w:t>2</w:t>
      </w:r>
      <w:r w:rsidRPr="00EE2C44">
        <w:rPr>
          <w:rFonts w:ascii="Palatino Linotype" w:hAnsi="Palatino Linotype" w:cs="Arial"/>
          <w:color w:val="000000"/>
          <w:sz w:val="22"/>
          <w:szCs w:val="22"/>
          <w:lang w:val="en-GB"/>
        </w:rPr>
        <w:t xml:space="preserve"> illustrates respondents’ future considerations for data sharing and centralization. The most frequently cited preconditions were workshops and professional training (31%), followed by stakeholder involvement (22%), subscriptions (17%), monitoring (17%), and online accessibility (13%). These findings suggest that valuers view capacity building and knowledge dissemination as critical to the successful adoption of a centralized database. The emphasis on stakeholder involvement highlights the importance of collaborative governance and broad professional engagement; while monitoring and subscription mechanisms reflect concerns for sustainability, accountability, and controlled access</w:t>
      </w:r>
      <w:r w:rsidRPr="00EE2C44">
        <w:rPr>
          <w:rFonts w:ascii="Palatino Linotype" w:eastAsia="Times New Roman" w:hAnsi="Palatino Linotype" w:cs="Arial"/>
          <w:color w:val="000000"/>
          <w:kern w:val="0"/>
          <w:sz w:val="22"/>
          <w:szCs w:val="22"/>
          <w:lang w:val="en-GB"/>
          <w14:ligatures w14:val="none"/>
        </w:rPr>
        <w:t xml:space="preserve">. </w:t>
      </w:r>
      <w:r w:rsidR="007C17C9" w:rsidRPr="00EE2C44">
        <w:rPr>
          <w:rFonts w:ascii="Palatino Linotype" w:eastAsia="Times New Roman" w:hAnsi="Palatino Linotype" w:cs="Arial"/>
          <w:color w:val="000000"/>
          <w:kern w:val="0"/>
          <w:sz w:val="22"/>
          <w:szCs w:val="22"/>
          <w:lang w:val="en-GB"/>
          <w14:ligatures w14:val="none"/>
        </w:rPr>
        <w:t xml:space="preserve">Collectively, these considerations offer valuable insights into the functional, ethical, and logical aspects that should guide the development of a national data repository in Eswatini. </w:t>
      </w:r>
    </w:p>
    <w:p w14:paraId="03FDFF14" w14:textId="6C9688C5" w:rsidR="007E1C1C" w:rsidRPr="0099485C" w:rsidRDefault="00686D5B" w:rsidP="0099485C">
      <w:pPr>
        <w:keepNext/>
        <w:spacing w:after="0" w:line="240" w:lineRule="auto"/>
        <w:jc w:val="both"/>
        <w:rPr>
          <w:rFonts w:ascii="Palatino Linotype" w:eastAsia="Times New Roman" w:hAnsi="Palatino Linotype" w:cs="Arial"/>
          <w:kern w:val="0"/>
          <w:lang w:val="en-GB"/>
          <w14:ligatures w14:val="none"/>
        </w:rPr>
      </w:pPr>
      <w:r w:rsidRPr="0099485C">
        <w:rPr>
          <w:rFonts w:ascii="Palatino Linotype" w:eastAsia="Times New Roman" w:hAnsi="Palatino Linotype" w:cs="Arial"/>
          <w:noProof/>
          <w:kern w:val="0"/>
          <w:lang w:val="en-GB"/>
        </w:rPr>
      </w:r>
      <w:r w:rsidR="00686D5B" w:rsidRPr="0099485C">
        <w:rPr>
          <w:rFonts w:ascii="Palatino Linotype" w:eastAsia="Times New Roman" w:hAnsi="Palatino Linotype" w:cs="Arial"/>
          <w:noProof/>
          <w:kern w:val="0"/>
          <w:lang w:val="en-GB"/>
        </w:rPr>
        <w:object w:dxaOrig="8662" w:dyaOrig="5033" w14:anchorId="145FA597">
          <v:shape id="_x0000_i1026" type="#_x0000_t75" alt="" style="width:433.15pt;height:251.2pt;mso-width-percent:0;mso-height-percent:0;mso-width-percent:0;mso-height-percent:0" o:ole="">
            <v:imagedata r:id="rId10" o:title=""/>
            <o:lock v:ext="edit" aspectratio="f"/>
          </v:shape>
          <o:OLEObject Type="Embed" ProgID="Excel.Sheet.8" ShapeID="_x0000_i1026" DrawAspect="Content" ObjectID="_1824462378" r:id="rId11">
            <o:FieldCodes>\s</o:FieldCodes>
          </o:OLEObject>
        </w:object>
      </w:r>
    </w:p>
    <w:p w14:paraId="422F5ECF" w14:textId="30EF3D32" w:rsidR="007E1C1C" w:rsidRPr="0099485C" w:rsidRDefault="007E1C1C" w:rsidP="0099485C">
      <w:pPr>
        <w:tabs>
          <w:tab w:val="left" w:pos="1134"/>
        </w:tabs>
        <w:spacing w:after="0" w:line="240" w:lineRule="auto"/>
        <w:ind w:left="1134" w:hanging="1134"/>
        <w:jc w:val="both"/>
        <w:rPr>
          <w:rFonts w:ascii="Palatino Linotype" w:eastAsia="Times New Roman" w:hAnsi="Palatino Linotype" w:cs="Arial"/>
          <w:color w:val="000000"/>
          <w:kern w:val="0"/>
          <w:sz w:val="20"/>
          <w:szCs w:val="20"/>
          <w:lang w:val="en-GB"/>
          <w14:ligatures w14:val="none"/>
        </w:rPr>
      </w:pPr>
      <w:bookmarkStart w:id="33" w:name="_Toc202724671"/>
      <w:bookmarkStart w:id="34" w:name="_Toc202724938"/>
      <w:bookmarkStart w:id="35" w:name="_Toc202724983"/>
      <w:bookmarkStart w:id="36" w:name="_Toc203057363"/>
      <w:bookmarkStart w:id="37" w:name="_Toc203058912"/>
      <w:r w:rsidRPr="0099485C">
        <w:rPr>
          <w:rFonts w:ascii="Palatino Linotype" w:eastAsia="Times New Roman" w:hAnsi="Palatino Linotype" w:cs="Arial"/>
          <w:kern w:val="0"/>
          <w:sz w:val="20"/>
          <w:szCs w:val="20"/>
          <w:lang w:val="en-GB"/>
          <w14:ligatures w14:val="none"/>
        </w:rPr>
        <w:t xml:space="preserve">Figure </w:t>
      </w:r>
      <w:r w:rsidR="004665F2" w:rsidRPr="0099485C">
        <w:rPr>
          <w:rFonts w:ascii="Palatino Linotype" w:eastAsia="Times New Roman" w:hAnsi="Palatino Linotype" w:cs="Arial"/>
          <w:kern w:val="0"/>
          <w:sz w:val="20"/>
          <w:szCs w:val="20"/>
          <w:lang w:val="en-GB"/>
          <w14:ligatures w14:val="none"/>
        </w:rPr>
        <w:t>2</w:t>
      </w:r>
      <w:r w:rsidRPr="0099485C">
        <w:rPr>
          <w:rFonts w:ascii="Palatino Linotype" w:eastAsia="Times New Roman" w:hAnsi="Palatino Linotype" w:cs="Arial"/>
          <w:kern w:val="0"/>
          <w:sz w:val="20"/>
          <w:szCs w:val="20"/>
          <w:lang w:val="en-GB"/>
          <w14:ligatures w14:val="none"/>
        </w:rPr>
        <w:t>: Future considerations for data sharing and centralization</w:t>
      </w:r>
      <w:bookmarkEnd w:id="33"/>
      <w:bookmarkEnd w:id="34"/>
      <w:bookmarkEnd w:id="35"/>
      <w:bookmarkEnd w:id="36"/>
      <w:bookmarkEnd w:id="37"/>
    </w:p>
    <w:p w14:paraId="2E54FC0C" w14:textId="77777777" w:rsidR="007E1C1C" w:rsidRPr="0099485C" w:rsidRDefault="007E1C1C"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Source: </w:t>
      </w:r>
      <w:bookmarkStart w:id="38" w:name="_Hlk203066153"/>
      <w:r w:rsidRPr="0099485C">
        <w:rPr>
          <w:rFonts w:ascii="Palatino Linotype" w:eastAsia="Times New Roman" w:hAnsi="Palatino Linotype" w:cs="Arial"/>
          <w:kern w:val="0"/>
          <w:sz w:val="20"/>
          <w:szCs w:val="20"/>
          <w:lang w:val="en-GB"/>
          <w14:ligatures w14:val="none"/>
        </w:rPr>
        <w:t xml:space="preserve">Research findings </w:t>
      </w:r>
      <w:bookmarkEnd w:id="38"/>
    </w:p>
    <w:p w14:paraId="41E8C4C4" w14:textId="77777777" w:rsidR="00BA7F2B" w:rsidRPr="0099485C" w:rsidRDefault="00BA7F2B" w:rsidP="0099485C">
      <w:pPr>
        <w:spacing w:after="0" w:line="240" w:lineRule="auto"/>
        <w:jc w:val="both"/>
        <w:rPr>
          <w:rFonts w:ascii="Palatino Linotype" w:eastAsia="Times New Roman" w:hAnsi="Palatino Linotype" w:cs="Arial"/>
          <w:kern w:val="0"/>
          <w:sz w:val="20"/>
          <w:szCs w:val="20"/>
          <w:lang w:val="en-GB"/>
          <w14:ligatures w14:val="none"/>
        </w:rPr>
      </w:pPr>
    </w:p>
    <w:p w14:paraId="5C0EEC3B" w14:textId="6B5D2D6B" w:rsidR="00BA7F2B" w:rsidRDefault="00BC143B" w:rsidP="0099485C">
      <w:pPr>
        <w:spacing w:after="0" w:line="240" w:lineRule="auto"/>
        <w:jc w:val="both"/>
        <w:rPr>
          <w:rFonts w:ascii="Palatino Linotype" w:eastAsia="Times New Roman" w:hAnsi="Palatino Linotype" w:cs="Arial"/>
          <w:kern w:val="0"/>
          <w:sz w:val="22"/>
          <w:szCs w:val="22"/>
          <w:lang w:val="en-GB"/>
          <w14:ligatures w14:val="none"/>
        </w:rPr>
      </w:pPr>
      <w:r w:rsidRPr="00EE2C44">
        <w:rPr>
          <w:rFonts w:ascii="Palatino Linotype" w:eastAsia="Times New Roman" w:hAnsi="Palatino Linotype" w:cs="Arial"/>
          <w:kern w:val="0"/>
          <w:sz w:val="22"/>
          <w:szCs w:val="22"/>
          <w:lang w:val="en-GB"/>
          <w14:ligatures w14:val="none"/>
        </w:rPr>
        <w:t xml:space="preserve">The emphasis on workshops reflects awareness of capacity building, echoing Ackermann et al. (2021), who stress training and institutional alignment. Calls for stakeholder inclusion support </w:t>
      </w:r>
      <w:proofErr w:type="spellStart"/>
      <w:r w:rsidRPr="00EE2C44">
        <w:rPr>
          <w:rFonts w:ascii="Palatino Linotype" w:eastAsia="Times New Roman" w:hAnsi="Palatino Linotype" w:cs="Arial"/>
          <w:kern w:val="0"/>
          <w:sz w:val="22"/>
          <w:szCs w:val="22"/>
          <w:lang w:val="en-GB"/>
          <w14:ligatures w14:val="none"/>
        </w:rPr>
        <w:t>Cheloti</w:t>
      </w:r>
      <w:proofErr w:type="spellEnd"/>
      <w:r w:rsidRPr="00EE2C44">
        <w:rPr>
          <w:rFonts w:ascii="Palatino Linotype" w:eastAsia="Times New Roman" w:hAnsi="Palatino Linotype" w:cs="Arial"/>
          <w:kern w:val="0"/>
          <w:sz w:val="22"/>
          <w:szCs w:val="22"/>
          <w:lang w:val="en-GB"/>
          <w14:ligatures w14:val="none"/>
        </w:rPr>
        <w:t xml:space="preserve"> &amp; Mooya (2022) on collaborative governance. Concerns about monitoring and subscriptions reflect global priorities on secure, sustainable access (Wiebe &amp; Dietrich, 2017), while support for online systems aligns with </w:t>
      </w:r>
      <w:proofErr w:type="spellStart"/>
      <w:r w:rsidRPr="00EE2C44">
        <w:rPr>
          <w:rFonts w:ascii="Palatino Linotype" w:eastAsia="Times New Roman" w:hAnsi="Palatino Linotype" w:cs="Arial"/>
          <w:kern w:val="0"/>
          <w:sz w:val="22"/>
          <w:szCs w:val="22"/>
          <w:lang w:val="en-GB"/>
          <w14:ligatures w14:val="none"/>
        </w:rPr>
        <w:t>Kolankov</w:t>
      </w:r>
      <w:proofErr w:type="spellEnd"/>
      <w:r w:rsidRPr="00EE2C44">
        <w:rPr>
          <w:rFonts w:ascii="Palatino Linotype" w:eastAsia="Times New Roman" w:hAnsi="Palatino Linotype" w:cs="Arial"/>
          <w:kern w:val="0"/>
          <w:sz w:val="22"/>
          <w:szCs w:val="22"/>
          <w:lang w:val="en-GB"/>
          <w14:ligatures w14:val="none"/>
        </w:rPr>
        <w:t xml:space="preserve"> (202</w:t>
      </w:r>
      <w:r w:rsidR="00062194" w:rsidRPr="00EE2C44">
        <w:rPr>
          <w:rFonts w:ascii="Palatino Linotype" w:eastAsia="Times New Roman" w:hAnsi="Palatino Linotype" w:cs="Arial"/>
          <w:kern w:val="0"/>
          <w:sz w:val="22"/>
          <w:szCs w:val="22"/>
          <w:lang w:val="en-GB"/>
          <w14:ligatures w14:val="none"/>
        </w:rPr>
        <w:t>3</w:t>
      </w:r>
      <w:r w:rsidRPr="00EE2C44">
        <w:rPr>
          <w:rFonts w:ascii="Palatino Linotype" w:eastAsia="Times New Roman" w:hAnsi="Palatino Linotype" w:cs="Arial"/>
          <w:kern w:val="0"/>
          <w:sz w:val="22"/>
          <w:szCs w:val="22"/>
          <w:lang w:val="en-GB"/>
          <w14:ligatures w14:val="none"/>
        </w:rPr>
        <w:t>) on digital valuation trends. Overall, Eswatini’s approach appears contextually informed and open to ethical, modern, and participatory reform.</w:t>
      </w:r>
    </w:p>
    <w:p w14:paraId="222DA466" w14:textId="77777777" w:rsidR="00EE2C44" w:rsidRPr="00EE2C44" w:rsidRDefault="00EE2C44" w:rsidP="0099485C">
      <w:pPr>
        <w:spacing w:after="0" w:line="240" w:lineRule="auto"/>
        <w:jc w:val="both"/>
        <w:rPr>
          <w:rFonts w:ascii="Palatino Linotype" w:eastAsia="Times New Roman" w:hAnsi="Palatino Linotype" w:cs="Arial"/>
          <w:kern w:val="0"/>
          <w:sz w:val="22"/>
          <w:szCs w:val="22"/>
          <w:lang w:val="en-GB"/>
          <w14:ligatures w14:val="none"/>
        </w:rPr>
      </w:pPr>
    </w:p>
    <w:p w14:paraId="258DE691" w14:textId="1D69302B" w:rsidR="001F4428" w:rsidRPr="00EE2C44" w:rsidRDefault="00D869AF" w:rsidP="0099485C">
      <w:pPr>
        <w:spacing w:after="0" w:line="240" w:lineRule="auto"/>
        <w:jc w:val="both"/>
        <w:rPr>
          <w:rFonts w:ascii="Palatino Linotype" w:eastAsia="Times New Roman" w:hAnsi="Palatino Linotype" w:cs="Arial"/>
          <w:kern w:val="0"/>
          <w:sz w:val="22"/>
          <w:szCs w:val="22"/>
          <w:lang w:val="en-GB"/>
          <w14:ligatures w14:val="none"/>
        </w:rPr>
      </w:pPr>
      <w:r w:rsidRPr="00EE2C44">
        <w:rPr>
          <w:rFonts w:ascii="Palatino Linotype" w:eastAsia="Times New Roman" w:hAnsi="Palatino Linotype" w:cs="Arial"/>
          <w:kern w:val="0"/>
          <w:sz w:val="22"/>
          <w:szCs w:val="22"/>
          <w:lang w:val="en-GB"/>
          <w14:ligatures w14:val="none"/>
        </w:rPr>
        <w:t>Furthermore, a</w:t>
      </w:r>
      <w:r w:rsidR="004C12B5" w:rsidRPr="00EE2C44">
        <w:rPr>
          <w:rFonts w:ascii="Palatino Linotype" w:eastAsia="Times New Roman" w:hAnsi="Palatino Linotype" w:cs="Arial"/>
          <w:kern w:val="0"/>
          <w:sz w:val="22"/>
          <w:szCs w:val="22"/>
          <w:lang w:val="en-GB"/>
          <w14:ligatures w14:val="none"/>
        </w:rPr>
        <w:t xml:space="preserve"> centralised property database requires a robust legal and regulatory framework to ensure its effective establishment and operation. Key legal conditions include clear legislation mandating the collection, storage, and sharing of property data; defined ownership and access rights; privacy and data protection provisions; and mechanisms for dispute resolution. Additionally, the legal framework should specify the roles and responsibilities of government agencies, local authorities, and other stakeholders to promote accountability and compliance. Ensuring these legal conditions are in place helps to facilitate transparency, standardisation, and the long-term sustainability of a centralised property valuation system.</w:t>
      </w:r>
    </w:p>
    <w:p w14:paraId="0D768B1F" w14:textId="77777777" w:rsidR="00BA7F2B" w:rsidRPr="00EE2C44" w:rsidRDefault="00BA7F2B" w:rsidP="0099485C">
      <w:pPr>
        <w:spacing w:after="0" w:line="240" w:lineRule="auto"/>
        <w:jc w:val="both"/>
        <w:rPr>
          <w:rFonts w:ascii="Palatino Linotype" w:eastAsia="Times New Roman" w:hAnsi="Palatino Linotype" w:cs="Arial"/>
          <w:kern w:val="0"/>
          <w:sz w:val="22"/>
          <w:szCs w:val="22"/>
          <w:lang w:val="en-GB"/>
          <w14:ligatures w14:val="none"/>
        </w:rPr>
      </w:pPr>
    </w:p>
    <w:p w14:paraId="1479C770" w14:textId="5E400F2E" w:rsidR="007A4119" w:rsidRPr="00EE2C44" w:rsidRDefault="009A3BDB" w:rsidP="0099485C">
      <w:pPr>
        <w:spacing w:after="0" w:line="240" w:lineRule="auto"/>
        <w:jc w:val="both"/>
        <w:rPr>
          <w:rFonts w:ascii="Palatino Linotype" w:hAnsi="Palatino Linotype" w:cs="Arial"/>
          <w:b/>
          <w:bCs/>
          <w:sz w:val="22"/>
          <w:szCs w:val="22"/>
          <w:lang w:val="en-GB"/>
        </w:rPr>
      </w:pPr>
      <w:r w:rsidRPr="00EE2C44">
        <w:rPr>
          <w:rFonts w:ascii="Palatino Linotype" w:hAnsi="Palatino Linotype" w:cs="Arial"/>
          <w:b/>
          <w:bCs/>
          <w:sz w:val="22"/>
          <w:szCs w:val="22"/>
          <w:lang w:val="en-GB"/>
        </w:rPr>
        <w:t>Security Measures to Safeguard Centrali</w:t>
      </w:r>
      <w:r w:rsidR="00244CF9" w:rsidRPr="00EE2C44">
        <w:rPr>
          <w:rFonts w:ascii="Palatino Linotype" w:hAnsi="Palatino Linotype" w:cs="Arial"/>
          <w:b/>
          <w:bCs/>
          <w:sz w:val="22"/>
          <w:szCs w:val="22"/>
          <w:lang w:val="en-GB"/>
        </w:rPr>
        <w:t>s</w:t>
      </w:r>
      <w:r w:rsidRPr="00EE2C44">
        <w:rPr>
          <w:rFonts w:ascii="Palatino Linotype" w:hAnsi="Palatino Linotype" w:cs="Arial"/>
          <w:b/>
          <w:bCs/>
          <w:sz w:val="22"/>
          <w:szCs w:val="22"/>
          <w:lang w:val="en-GB"/>
        </w:rPr>
        <w:t xml:space="preserve">ed Valuation Database </w:t>
      </w:r>
    </w:p>
    <w:p w14:paraId="285A5560" w14:textId="68C170BD" w:rsidR="00CB6068" w:rsidRPr="00EE2C44" w:rsidRDefault="0021025F" w:rsidP="0099485C">
      <w:pPr>
        <w:spacing w:after="0" w:line="240" w:lineRule="auto"/>
        <w:jc w:val="both"/>
        <w:rPr>
          <w:rFonts w:ascii="Palatino Linotype" w:hAnsi="Palatino Linotype" w:cs="Arial"/>
          <w:sz w:val="22"/>
          <w:szCs w:val="22"/>
          <w:lang w:val="en-GB"/>
        </w:rPr>
      </w:pPr>
      <w:r w:rsidRPr="00EE2C44">
        <w:rPr>
          <w:rFonts w:ascii="Palatino Linotype" w:hAnsi="Palatino Linotype" w:cs="Arial"/>
          <w:sz w:val="22"/>
          <w:szCs w:val="22"/>
          <w:lang w:val="en-GB"/>
        </w:rPr>
        <w:t>Respondents were asked to propose security measures to safeguard a centralized valuation database. As shown in Table 11, the most frequently recommended measure was restricted access to authorized users (43.6%), followed by pre-approvals for access (13%), subscription-based models (13%), encryption (8.7%), and staff training (8.7%). These findings indicate that valuers prioritize controlled and accountable access to ensure data integrity and confidentiality</w:t>
      </w:r>
      <w:r w:rsidR="00560035" w:rsidRPr="00EE2C44">
        <w:rPr>
          <w:rFonts w:ascii="Palatino Linotype" w:hAnsi="Palatino Linotype" w:cs="Arial"/>
          <w:sz w:val="22"/>
          <w:szCs w:val="22"/>
          <w:lang w:val="en-GB"/>
        </w:rPr>
        <w:t>.</w:t>
      </w:r>
    </w:p>
    <w:p w14:paraId="732C5591" w14:textId="77777777" w:rsidR="00EE2C44" w:rsidRDefault="00EE2C44"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39" w:name="_Toc202294836"/>
      <w:bookmarkStart w:id="40" w:name="_Toc202724984"/>
      <w:bookmarkStart w:id="41" w:name="_Toc203058913"/>
    </w:p>
    <w:p w14:paraId="2DE472E5" w14:textId="77777777" w:rsidR="00EE2C44" w:rsidRDefault="00EE2C44"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p>
    <w:p w14:paraId="4EC49ED2" w14:textId="06DB80AF" w:rsidR="00084048" w:rsidRPr="0099485C" w:rsidRDefault="00084048"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lastRenderedPageBreak/>
        <w:t>Table 1</w:t>
      </w:r>
      <w:r w:rsidR="003A1A73" w:rsidRPr="0099485C">
        <w:rPr>
          <w:rFonts w:ascii="Palatino Linotype" w:eastAsia="Times New Roman" w:hAnsi="Palatino Linotype" w:cs="Arial"/>
          <w:kern w:val="0"/>
          <w:sz w:val="20"/>
          <w:szCs w:val="20"/>
          <w:lang w:val="en-GB"/>
          <w14:ligatures w14:val="none"/>
        </w:rPr>
        <w:t>1</w:t>
      </w:r>
      <w:r w:rsidRPr="0099485C">
        <w:rPr>
          <w:rFonts w:ascii="Palatino Linotype" w:eastAsia="Times New Roman" w:hAnsi="Palatino Linotype" w:cs="Arial"/>
          <w:kern w:val="0"/>
          <w:sz w:val="20"/>
          <w:szCs w:val="20"/>
          <w:lang w:val="en-GB"/>
          <w14:ligatures w14:val="none"/>
        </w:rPr>
        <w:t xml:space="preserve">: </w:t>
      </w:r>
      <w:bookmarkStart w:id="42" w:name="_Hlk203066088"/>
      <w:r w:rsidRPr="0099485C">
        <w:rPr>
          <w:rFonts w:ascii="Palatino Linotype" w:eastAsia="Times New Roman" w:hAnsi="Palatino Linotype" w:cs="Arial"/>
          <w:kern w:val="0"/>
          <w:sz w:val="20"/>
          <w:szCs w:val="20"/>
          <w:lang w:val="en-GB"/>
          <w14:ligatures w14:val="none"/>
        </w:rPr>
        <w:t>The security measures to safeguard centralized valuation database</w:t>
      </w:r>
      <w:bookmarkEnd w:id="39"/>
      <w:bookmarkEnd w:id="40"/>
      <w:bookmarkEnd w:id="41"/>
      <w:bookmarkEnd w:id="42"/>
    </w:p>
    <w:tbl>
      <w:tblPr>
        <w:tblStyle w:val="TableGridLight"/>
        <w:tblW w:w="0" w:type="auto"/>
        <w:tblLook w:val="04A0" w:firstRow="1" w:lastRow="0" w:firstColumn="1" w:lastColumn="0" w:noHBand="0" w:noVBand="1"/>
      </w:tblPr>
      <w:tblGrid>
        <w:gridCol w:w="5596"/>
        <w:gridCol w:w="810"/>
        <w:gridCol w:w="1122"/>
        <w:gridCol w:w="1488"/>
      </w:tblGrid>
      <w:tr w:rsidR="00084048" w:rsidRPr="0099485C" w14:paraId="14766FA8" w14:textId="77777777" w:rsidTr="000A3214">
        <w:tc>
          <w:tcPr>
            <w:tcW w:w="5845" w:type="dxa"/>
          </w:tcPr>
          <w:p w14:paraId="680DAD90" w14:textId="004906D5" w:rsidR="00084048" w:rsidRPr="0099485C" w:rsidRDefault="00530D5C"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Theme</w:t>
            </w:r>
          </w:p>
        </w:tc>
        <w:tc>
          <w:tcPr>
            <w:tcW w:w="1980" w:type="dxa"/>
            <w:gridSpan w:val="2"/>
            <w:hideMark/>
          </w:tcPr>
          <w:p w14:paraId="6FC84DE4"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1525" w:type="dxa"/>
            <w:hideMark/>
          </w:tcPr>
          <w:p w14:paraId="72612933"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Percent (%)</w:t>
            </w:r>
          </w:p>
        </w:tc>
      </w:tr>
      <w:tr w:rsidR="00084048" w:rsidRPr="0099485C" w14:paraId="240C893C" w14:textId="77777777" w:rsidTr="000A3214">
        <w:tc>
          <w:tcPr>
            <w:tcW w:w="5845" w:type="dxa"/>
            <w:hideMark/>
          </w:tcPr>
          <w:p w14:paraId="1EA649B0"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 data shared without pre-approval</w:t>
            </w:r>
          </w:p>
        </w:tc>
        <w:tc>
          <w:tcPr>
            <w:tcW w:w="810" w:type="dxa"/>
            <w:hideMark/>
          </w:tcPr>
          <w:p w14:paraId="6C65AD9E"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5</w:t>
            </w:r>
          </w:p>
        </w:tc>
        <w:tc>
          <w:tcPr>
            <w:tcW w:w="2695" w:type="dxa"/>
            <w:gridSpan w:val="2"/>
          </w:tcPr>
          <w:p w14:paraId="13C26795"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21.7%</w:t>
            </w:r>
          </w:p>
        </w:tc>
      </w:tr>
      <w:tr w:rsidR="00084048" w:rsidRPr="0099485C" w14:paraId="0B384DD5" w14:textId="77777777" w:rsidTr="000A3214">
        <w:tc>
          <w:tcPr>
            <w:tcW w:w="5845" w:type="dxa"/>
            <w:hideMark/>
          </w:tcPr>
          <w:p w14:paraId="0FF98EED"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Subscription to database (citing author of information)</w:t>
            </w:r>
          </w:p>
        </w:tc>
        <w:tc>
          <w:tcPr>
            <w:tcW w:w="810" w:type="dxa"/>
            <w:hideMark/>
          </w:tcPr>
          <w:p w14:paraId="73ECE28D"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3</w:t>
            </w:r>
          </w:p>
        </w:tc>
        <w:tc>
          <w:tcPr>
            <w:tcW w:w="2695" w:type="dxa"/>
            <w:gridSpan w:val="2"/>
          </w:tcPr>
          <w:p w14:paraId="61BC2DDC"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13%</w:t>
            </w:r>
          </w:p>
        </w:tc>
      </w:tr>
      <w:tr w:rsidR="00084048" w:rsidRPr="0099485C" w14:paraId="024D6597" w14:textId="77777777" w:rsidTr="000A3214">
        <w:trPr>
          <w:trHeight w:val="90"/>
        </w:trPr>
        <w:tc>
          <w:tcPr>
            <w:tcW w:w="5845" w:type="dxa"/>
            <w:hideMark/>
          </w:tcPr>
          <w:p w14:paraId="0A0E8FFE"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Controlled access through authorized and authentication</w:t>
            </w:r>
          </w:p>
        </w:tc>
        <w:tc>
          <w:tcPr>
            <w:tcW w:w="810" w:type="dxa"/>
            <w:hideMark/>
          </w:tcPr>
          <w:p w14:paraId="6BB6ABCF"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w:t>
            </w:r>
          </w:p>
        </w:tc>
        <w:tc>
          <w:tcPr>
            <w:tcW w:w="2695" w:type="dxa"/>
            <w:gridSpan w:val="2"/>
          </w:tcPr>
          <w:p w14:paraId="59EA084D"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43.6%</w:t>
            </w:r>
          </w:p>
        </w:tc>
      </w:tr>
      <w:tr w:rsidR="00084048" w:rsidRPr="0099485C" w14:paraId="6883C2BD" w14:textId="77777777" w:rsidTr="000A3214">
        <w:tc>
          <w:tcPr>
            <w:tcW w:w="5845" w:type="dxa"/>
            <w:hideMark/>
          </w:tcPr>
          <w:p w14:paraId="6E3F0FBE"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Encryption of the data</w:t>
            </w:r>
          </w:p>
        </w:tc>
        <w:tc>
          <w:tcPr>
            <w:tcW w:w="810" w:type="dxa"/>
            <w:hideMark/>
          </w:tcPr>
          <w:p w14:paraId="044BED95"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2695" w:type="dxa"/>
            <w:gridSpan w:val="2"/>
          </w:tcPr>
          <w:p w14:paraId="6FE6136A"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8.7%</w:t>
            </w:r>
          </w:p>
        </w:tc>
      </w:tr>
      <w:tr w:rsidR="00084048" w:rsidRPr="0099485C" w14:paraId="39FE9960" w14:textId="77777777" w:rsidTr="000A3214">
        <w:tc>
          <w:tcPr>
            <w:tcW w:w="5845" w:type="dxa"/>
            <w:hideMark/>
          </w:tcPr>
          <w:p w14:paraId="21D2C8F8"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None</w:t>
            </w:r>
          </w:p>
        </w:tc>
        <w:tc>
          <w:tcPr>
            <w:tcW w:w="810" w:type="dxa"/>
            <w:hideMark/>
          </w:tcPr>
          <w:p w14:paraId="2E7492AF"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3</w:t>
            </w:r>
          </w:p>
        </w:tc>
        <w:tc>
          <w:tcPr>
            <w:tcW w:w="2695" w:type="dxa"/>
            <w:gridSpan w:val="2"/>
          </w:tcPr>
          <w:p w14:paraId="492C0D14"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13%</w:t>
            </w:r>
          </w:p>
        </w:tc>
      </w:tr>
      <w:tr w:rsidR="00084048" w:rsidRPr="0099485C" w14:paraId="41C9CE46" w14:textId="77777777" w:rsidTr="000A3214">
        <w:tc>
          <w:tcPr>
            <w:tcW w:w="5845" w:type="dxa"/>
            <w:hideMark/>
          </w:tcPr>
          <w:p w14:paraId="774EBAEF"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Total</w:t>
            </w:r>
          </w:p>
        </w:tc>
        <w:tc>
          <w:tcPr>
            <w:tcW w:w="810" w:type="dxa"/>
          </w:tcPr>
          <w:p w14:paraId="22665278"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23</w:t>
            </w:r>
          </w:p>
        </w:tc>
        <w:tc>
          <w:tcPr>
            <w:tcW w:w="2695" w:type="dxa"/>
            <w:gridSpan w:val="2"/>
          </w:tcPr>
          <w:p w14:paraId="4A7691F2" w14:textId="77777777" w:rsidR="00084048" w:rsidRPr="0099485C" w:rsidRDefault="00084048"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100%</w:t>
            </w:r>
          </w:p>
        </w:tc>
      </w:tr>
    </w:tbl>
    <w:p w14:paraId="424991A1" w14:textId="49EE0923" w:rsidR="00DB40E4" w:rsidRPr="0099485C" w:rsidRDefault="00084048"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Source: Research findings</w:t>
      </w:r>
    </w:p>
    <w:p w14:paraId="5BCDD74E" w14:textId="77777777" w:rsidR="00BA7F2B" w:rsidRPr="0099485C" w:rsidRDefault="00BA7F2B" w:rsidP="0099485C">
      <w:pPr>
        <w:spacing w:after="0" w:line="240" w:lineRule="auto"/>
        <w:jc w:val="both"/>
        <w:rPr>
          <w:rFonts w:ascii="Palatino Linotype" w:eastAsia="Times New Roman" w:hAnsi="Palatino Linotype" w:cs="Arial"/>
          <w:kern w:val="0"/>
          <w:sz w:val="20"/>
          <w:szCs w:val="20"/>
          <w:lang w:val="en-GB"/>
          <w14:ligatures w14:val="none"/>
        </w:rPr>
      </w:pPr>
    </w:p>
    <w:p w14:paraId="7F181753" w14:textId="2CB48DE5" w:rsidR="00DB40E4" w:rsidRPr="00BE2F94" w:rsidRDefault="005B1E28" w:rsidP="0099485C">
      <w:pPr>
        <w:spacing w:after="0" w:line="240" w:lineRule="auto"/>
        <w:jc w:val="both"/>
        <w:rPr>
          <w:rFonts w:ascii="Palatino Linotype" w:hAnsi="Palatino Linotype" w:cs="Arial"/>
          <w:sz w:val="22"/>
          <w:szCs w:val="22"/>
          <w:lang w:val="en-GB"/>
        </w:rPr>
      </w:pPr>
      <w:r w:rsidRPr="00BE2F94">
        <w:rPr>
          <w:rFonts w:ascii="Palatino Linotype" w:hAnsi="Palatino Linotype" w:cs="Arial"/>
          <w:sz w:val="22"/>
          <w:szCs w:val="22"/>
          <w:lang w:val="en-GB"/>
        </w:rPr>
        <w:t xml:space="preserve">The findings reveal a strong preference for layered security protocols </w:t>
      </w:r>
      <w:r w:rsidR="00DA1C47" w:rsidRPr="00BE2F94">
        <w:rPr>
          <w:rFonts w:ascii="Palatino Linotype" w:hAnsi="Palatino Linotype" w:cs="Arial"/>
          <w:sz w:val="22"/>
          <w:szCs w:val="22"/>
          <w:lang w:val="en-GB"/>
        </w:rPr>
        <w:t xml:space="preserve">to safeguard valuation data, emphasizing the need for </w:t>
      </w:r>
      <w:r w:rsidR="00BA7F2B" w:rsidRPr="00BE2F94">
        <w:rPr>
          <w:rFonts w:ascii="Palatino Linotype" w:hAnsi="Palatino Linotype" w:cs="Arial"/>
          <w:sz w:val="22"/>
          <w:szCs w:val="22"/>
          <w:lang w:val="en-GB"/>
        </w:rPr>
        <w:t>multi-tiered</w:t>
      </w:r>
      <w:r w:rsidR="00DA1C47" w:rsidRPr="00BE2F94">
        <w:rPr>
          <w:rFonts w:ascii="Palatino Linotype" w:hAnsi="Palatino Linotype" w:cs="Arial"/>
          <w:sz w:val="22"/>
          <w:szCs w:val="22"/>
          <w:lang w:val="en-GB"/>
        </w:rPr>
        <w:t xml:space="preserve"> security framework with access controls, audit trails and subscription models to ensure transparency, accountability and ethical reuse. This aligns with Ackermann et al. (2021), who stress governance as key to professional support, and with Olapade &amp; Olaleye (2019) on protecting data ownership. </w:t>
      </w:r>
      <w:proofErr w:type="spellStart"/>
      <w:r w:rsidR="00DA1C47" w:rsidRPr="00BE2F94">
        <w:rPr>
          <w:rFonts w:ascii="Palatino Linotype" w:hAnsi="Palatino Linotype" w:cs="Arial"/>
          <w:sz w:val="22"/>
          <w:szCs w:val="22"/>
          <w:lang w:val="en-GB"/>
        </w:rPr>
        <w:t>Cheloti</w:t>
      </w:r>
      <w:proofErr w:type="spellEnd"/>
      <w:r w:rsidR="00DA1C47" w:rsidRPr="00BE2F94">
        <w:rPr>
          <w:rFonts w:ascii="Palatino Linotype" w:hAnsi="Palatino Linotype" w:cs="Arial"/>
          <w:sz w:val="22"/>
          <w:szCs w:val="22"/>
          <w:lang w:val="en-GB"/>
        </w:rPr>
        <w:t xml:space="preserve"> and Mooya (2022) also advocate for audit trails and valuation reforms. The low mention of encryption suggests a gap in awareness of technical safeguards like those outlined in GDPR or ISO 27001.</w:t>
      </w:r>
    </w:p>
    <w:p w14:paraId="3713FA6B" w14:textId="77777777" w:rsidR="00BE2F94" w:rsidRDefault="00BE2F94" w:rsidP="0099485C">
      <w:pPr>
        <w:spacing w:after="0" w:line="240" w:lineRule="auto"/>
        <w:jc w:val="both"/>
        <w:rPr>
          <w:rFonts w:ascii="Palatino Linotype" w:hAnsi="Palatino Linotype" w:cs="Arial"/>
          <w:lang w:val="en-GB"/>
        </w:rPr>
      </w:pPr>
    </w:p>
    <w:p w14:paraId="2CB708F3" w14:textId="7BE90FE7" w:rsidR="007A4119" w:rsidRPr="00BE2F94" w:rsidRDefault="001D06AE" w:rsidP="0099485C">
      <w:pPr>
        <w:spacing w:after="0" w:line="240" w:lineRule="auto"/>
        <w:jc w:val="both"/>
        <w:rPr>
          <w:rFonts w:ascii="Palatino Linotype" w:hAnsi="Palatino Linotype" w:cs="Arial"/>
          <w:b/>
          <w:bCs/>
          <w:sz w:val="22"/>
          <w:szCs w:val="22"/>
          <w:lang w:val="en-GB"/>
        </w:rPr>
      </w:pPr>
      <w:r w:rsidRPr="00BE2F94">
        <w:rPr>
          <w:rFonts w:ascii="Palatino Linotype" w:hAnsi="Palatino Linotype" w:cs="Arial"/>
          <w:b/>
          <w:bCs/>
          <w:sz w:val="22"/>
          <w:szCs w:val="22"/>
          <w:lang w:val="en-GB"/>
        </w:rPr>
        <w:t>Other Recommendations</w:t>
      </w:r>
    </w:p>
    <w:p w14:paraId="1E92D508" w14:textId="67A0B54F" w:rsidR="0021025F" w:rsidRDefault="0021025F" w:rsidP="0099485C">
      <w:pPr>
        <w:spacing w:after="0" w:line="240" w:lineRule="auto"/>
        <w:jc w:val="both"/>
        <w:rPr>
          <w:rFonts w:ascii="Palatino Linotype" w:hAnsi="Palatino Linotype" w:cs="Arial"/>
          <w:sz w:val="22"/>
          <w:szCs w:val="22"/>
          <w:lang w:val="en-GB"/>
        </w:rPr>
      </w:pPr>
      <w:r w:rsidRPr="00BE2F94">
        <w:rPr>
          <w:rFonts w:ascii="Palatino Linotype" w:hAnsi="Palatino Linotype" w:cs="Arial"/>
          <w:sz w:val="22"/>
          <w:szCs w:val="22"/>
          <w:lang w:val="en-GB"/>
        </w:rPr>
        <w:t>To supplement structured responses, participants were asked an open-ended question: “What other matters would you like to contribute?” Thematic analysis revealed that 52% of respondents provided meaningful insights, highlighting a collective awareness of institutional and practical challenges in Eswatini’s valuation sector. Key themes included legal alignment, stakeholder collaboration, professional ethics, ongoing training, and controlled data access, each cited by 8.7% to 13% of respondents.</w:t>
      </w:r>
    </w:p>
    <w:p w14:paraId="5D8DCCF0" w14:textId="77777777" w:rsidR="00BE2F94" w:rsidRPr="00BE2F94" w:rsidRDefault="00BE2F94" w:rsidP="0099485C">
      <w:pPr>
        <w:spacing w:after="0" w:line="240" w:lineRule="auto"/>
        <w:jc w:val="both"/>
        <w:rPr>
          <w:rFonts w:ascii="Palatino Linotype" w:hAnsi="Palatino Linotype" w:cs="Arial"/>
          <w:sz w:val="22"/>
          <w:szCs w:val="22"/>
          <w:lang w:val="en-GB"/>
        </w:rPr>
      </w:pPr>
    </w:p>
    <w:p w14:paraId="246ACA2F" w14:textId="72AE395A" w:rsidR="003356C1" w:rsidRPr="00BE2F94" w:rsidRDefault="0021025F" w:rsidP="0099485C">
      <w:pPr>
        <w:spacing w:after="0" w:line="240" w:lineRule="auto"/>
        <w:jc w:val="both"/>
        <w:rPr>
          <w:rFonts w:ascii="Palatino Linotype" w:hAnsi="Palatino Linotype" w:cs="Arial"/>
          <w:sz w:val="22"/>
          <w:szCs w:val="22"/>
          <w:lang w:val="en-GB"/>
        </w:rPr>
      </w:pPr>
      <w:r w:rsidRPr="00BE2F94">
        <w:rPr>
          <w:rFonts w:ascii="Palatino Linotype" w:hAnsi="Palatino Linotype" w:cs="Arial"/>
          <w:sz w:val="22"/>
          <w:szCs w:val="22"/>
          <w:lang w:val="en-GB"/>
        </w:rPr>
        <w:t>These findings suggest that valuers recognize the broader governance, ethical, and capacity-related factors that underpin the success of a centralized database. The emphasis on legal alignment and professional ethics reflects concern for compliance and integrity, while calls for training and controlled access indicate an understanding of practical implementation challenges. Overall, the open-ended responses provide a nuanced perspective that complements quantitative findings, reinforcing the importance of regulatory oversight, stakeholder engagement, and professional development in establishing a trusted and effective data-sharing system</w:t>
      </w:r>
      <w:r w:rsidR="00384E37" w:rsidRPr="00BE2F94">
        <w:rPr>
          <w:rFonts w:ascii="Palatino Linotype" w:eastAsia="Times New Roman" w:hAnsi="Palatino Linotype" w:cs="Arial"/>
          <w:kern w:val="0"/>
          <w:sz w:val="22"/>
          <w:szCs w:val="22"/>
          <w:lang w:val="en-GB"/>
          <w14:ligatures w14:val="none"/>
        </w:rPr>
        <w:t xml:space="preserve">. </w:t>
      </w:r>
      <w:r w:rsidR="00384E37" w:rsidRPr="00BE2F94">
        <w:rPr>
          <w:rFonts w:ascii="Palatino Linotype" w:eastAsia="Times New Roman" w:hAnsi="Palatino Linotype" w:cs="Arial"/>
          <w:color w:val="000000"/>
          <w:kern w:val="0"/>
          <w:sz w:val="22"/>
          <w:szCs w:val="22"/>
          <w:lang w:val="en-GB"/>
          <w14:ligatures w14:val="none"/>
        </w:rPr>
        <w:t>Table 1</w:t>
      </w:r>
      <w:r w:rsidR="003A1A73" w:rsidRPr="00BE2F94">
        <w:rPr>
          <w:rFonts w:ascii="Palatino Linotype" w:eastAsia="Times New Roman" w:hAnsi="Palatino Linotype" w:cs="Arial"/>
          <w:color w:val="000000"/>
          <w:kern w:val="0"/>
          <w:sz w:val="22"/>
          <w:szCs w:val="22"/>
          <w:lang w:val="en-GB"/>
          <w14:ligatures w14:val="none"/>
        </w:rPr>
        <w:t>2</w:t>
      </w:r>
      <w:r w:rsidR="00384E37" w:rsidRPr="00BE2F94">
        <w:rPr>
          <w:rFonts w:ascii="Palatino Linotype" w:eastAsia="Times New Roman" w:hAnsi="Palatino Linotype" w:cs="Arial"/>
          <w:color w:val="000000"/>
          <w:kern w:val="0"/>
          <w:sz w:val="22"/>
          <w:szCs w:val="22"/>
          <w:lang w:val="en-GB"/>
          <w14:ligatures w14:val="none"/>
        </w:rPr>
        <w:t xml:space="preserve"> presents a breakdown of the relevant findings in the survey responses.</w:t>
      </w:r>
    </w:p>
    <w:p w14:paraId="69CA9520" w14:textId="77777777" w:rsidR="00BE2F94" w:rsidRDefault="00BE2F94"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bookmarkStart w:id="43" w:name="_Toc202724985"/>
      <w:bookmarkStart w:id="44" w:name="_Toc203058914"/>
    </w:p>
    <w:p w14:paraId="6BE8EED8" w14:textId="56E6A812" w:rsidR="00935393" w:rsidRPr="0099485C" w:rsidRDefault="00935393" w:rsidP="0099485C">
      <w:pPr>
        <w:tabs>
          <w:tab w:val="left" w:pos="1134"/>
        </w:tabs>
        <w:spacing w:after="0" w:line="240" w:lineRule="auto"/>
        <w:ind w:left="1134" w:hanging="1134"/>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Table 1</w:t>
      </w:r>
      <w:r w:rsidR="003A1A73" w:rsidRPr="0099485C">
        <w:rPr>
          <w:rFonts w:ascii="Palatino Linotype" w:eastAsia="Times New Roman" w:hAnsi="Palatino Linotype" w:cs="Arial"/>
          <w:kern w:val="0"/>
          <w:sz w:val="20"/>
          <w:szCs w:val="20"/>
          <w:lang w:val="en-GB"/>
          <w14:ligatures w14:val="none"/>
        </w:rPr>
        <w:t>2</w:t>
      </w:r>
      <w:r w:rsidRPr="0099485C">
        <w:rPr>
          <w:rFonts w:ascii="Palatino Linotype" w:eastAsia="Times New Roman" w:hAnsi="Palatino Linotype" w:cs="Arial"/>
          <w:kern w:val="0"/>
          <w:sz w:val="20"/>
          <w:szCs w:val="20"/>
          <w:lang w:val="en-GB"/>
          <w14:ligatures w14:val="none"/>
        </w:rPr>
        <w:t>: Data shared to third parties</w:t>
      </w:r>
      <w:bookmarkEnd w:id="43"/>
      <w:bookmarkEnd w:id="44"/>
    </w:p>
    <w:tbl>
      <w:tblPr>
        <w:tblStyle w:val="TableGridLight"/>
        <w:tblW w:w="0" w:type="auto"/>
        <w:tblLook w:val="04A0" w:firstRow="1" w:lastRow="0" w:firstColumn="1" w:lastColumn="0" w:noHBand="0" w:noVBand="1"/>
      </w:tblPr>
      <w:tblGrid>
        <w:gridCol w:w="2048"/>
        <w:gridCol w:w="3854"/>
        <w:gridCol w:w="1159"/>
        <w:gridCol w:w="1955"/>
      </w:tblGrid>
      <w:tr w:rsidR="00935393" w:rsidRPr="0099485C" w14:paraId="29AD7196" w14:textId="77777777" w:rsidTr="000A3214">
        <w:tc>
          <w:tcPr>
            <w:tcW w:w="2182" w:type="dxa"/>
          </w:tcPr>
          <w:p w14:paraId="621FB952"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Theme</w:t>
            </w:r>
          </w:p>
        </w:tc>
        <w:tc>
          <w:tcPr>
            <w:tcW w:w="4202" w:type="dxa"/>
            <w:hideMark/>
          </w:tcPr>
          <w:p w14:paraId="76156B82"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Response(s)</w:t>
            </w:r>
          </w:p>
        </w:tc>
        <w:tc>
          <w:tcPr>
            <w:tcW w:w="1161" w:type="dxa"/>
            <w:hideMark/>
          </w:tcPr>
          <w:p w14:paraId="2ECA4992"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Frequency</w:t>
            </w:r>
          </w:p>
        </w:tc>
        <w:tc>
          <w:tcPr>
            <w:tcW w:w="2084" w:type="dxa"/>
          </w:tcPr>
          <w:p w14:paraId="21753CE2" w14:textId="0B5CFE15"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 </w:t>
            </w:r>
            <w:r w:rsidR="000A3214" w:rsidRPr="0099485C">
              <w:rPr>
                <w:rFonts w:ascii="Palatino Linotype" w:eastAsia="Aptos" w:hAnsi="Palatino Linotype" w:cs="Arial"/>
                <w:sz w:val="20"/>
                <w:szCs w:val="20"/>
                <w:lang w:val="en-GB"/>
                <w14:ligatures w14:val="none"/>
              </w:rPr>
              <w:t>of Respondents</w:t>
            </w:r>
            <w:r w:rsidRPr="0099485C">
              <w:rPr>
                <w:rFonts w:ascii="Palatino Linotype" w:eastAsia="Aptos" w:hAnsi="Palatino Linotype" w:cs="Arial"/>
                <w:sz w:val="20"/>
                <w:szCs w:val="20"/>
                <w:lang w:val="en-GB"/>
                <w14:ligatures w14:val="none"/>
              </w:rPr>
              <w:t xml:space="preserve"> </w:t>
            </w:r>
          </w:p>
        </w:tc>
      </w:tr>
      <w:tr w:rsidR="00935393" w:rsidRPr="0099485C" w14:paraId="485F2A86" w14:textId="77777777" w:rsidTr="000A3214">
        <w:tc>
          <w:tcPr>
            <w:tcW w:w="2182" w:type="dxa"/>
          </w:tcPr>
          <w:p w14:paraId="7DEB45E7"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Urgency and Importance</w:t>
            </w:r>
          </w:p>
          <w:p w14:paraId="45E5BAE2"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Of the Database</w:t>
            </w:r>
          </w:p>
          <w:p w14:paraId="193F55A2" w14:textId="77777777" w:rsidR="00935393" w:rsidRPr="0099485C" w:rsidRDefault="00935393" w:rsidP="0099485C">
            <w:pPr>
              <w:jc w:val="both"/>
              <w:rPr>
                <w:rFonts w:ascii="Palatino Linotype" w:eastAsia="Aptos" w:hAnsi="Palatino Linotype" w:cs="Arial"/>
                <w:sz w:val="20"/>
                <w:szCs w:val="20"/>
                <w:lang w:val="en-GB"/>
                <w14:ligatures w14:val="none"/>
              </w:rPr>
            </w:pPr>
          </w:p>
        </w:tc>
        <w:tc>
          <w:tcPr>
            <w:tcW w:w="4202" w:type="dxa"/>
          </w:tcPr>
          <w:p w14:paraId="2DC4E00D"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The database is very important and should be established as soon as possible. </w:t>
            </w:r>
          </w:p>
          <w:p w14:paraId="74D40F09" w14:textId="77777777" w:rsidR="00935393" w:rsidRPr="0099485C" w:rsidRDefault="00935393" w:rsidP="0099485C">
            <w:pPr>
              <w:ind w:left="720"/>
              <w:jc w:val="both"/>
              <w:rPr>
                <w:rFonts w:ascii="Palatino Linotype" w:eastAsia="Aptos" w:hAnsi="Palatino Linotype" w:cs="Arial"/>
                <w:sz w:val="20"/>
                <w:szCs w:val="20"/>
                <w:lang w:val="en-GB"/>
                <w14:ligatures w14:val="none"/>
              </w:rPr>
            </w:pPr>
          </w:p>
        </w:tc>
        <w:tc>
          <w:tcPr>
            <w:tcW w:w="1161" w:type="dxa"/>
          </w:tcPr>
          <w:p w14:paraId="0651D4F1"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w:t>
            </w:r>
          </w:p>
        </w:tc>
        <w:tc>
          <w:tcPr>
            <w:tcW w:w="2084" w:type="dxa"/>
          </w:tcPr>
          <w:p w14:paraId="0C62E105"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4.3%</w:t>
            </w:r>
          </w:p>
        </w:tc>
      </w:tr>
      <w:tr w:rsidR="00935393" w:rsidRPr="0099485C" w14:paraId="5C2A9ECA" w14:textId="77777777" w:rsidTr="000A3214">
        <w:tc>
          <w:tcPr>
            <w:tcW w:w="2182" w:type="dxa"/>
          </w:tcPr>
          <w:p w14:paraId="05EF28E1"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Stakeholder Collaboration</w:t>
            </w:r>
          </w:p>
        </w:tc>
        <w:tc>
          <w:tcPr>
            <w:tcW w:w="4202" w:type="dxa"/>
          </w:tcPr>
          <w:p w14:paraId="42FFFD2E"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Collaborate with banks, municipalities, conveyancers to improve database</w:t>
            </w:r>
          </w:p>
        </w:tc>
        <w:tc>
          <w:tcPr>
            <w:tcW w:w="1161" w:type="dxa"/>
          </w:tcPr>
          <w:p w14:paraId="71A0A573"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2084" w:type="dxa"/>
          </w:tcPr>
          <w:p w14:paraId="3AF82184"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935393" w:rsidRPr="0099485C" w14:paraId="76680AEF" w14:textId="77777777" w:rsidTr="000A3214">
        <w:tc>
          <w:tcPr>
            <w:tcW w:w="2182" w:type="dxa"/>
          </w:tcPr>
          <w:p w14:paraId="6A1AA36A"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Legal and International Compliance</w:t>
            </w:r>
          </w:p>
        </w:tc>
        <w:tc>
          <w:tcPr>
            <w:tcW w:w="4202" w:type="dxa"/>
          </w:tcPr>
          <w:p w14:paraId="1AFC1943"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The database should comply with local and international laws</w:t>
            </w:r>
          </w:p>
        </w:tc>
        <w:tc>
          <w:tcPr>
            <w:tcW w:w="1161" w:type="dxa"/>
          </w:tcPr>
          <w:p w14:paraId="5461ED90"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2084" w:type="dxa"/>
          </w:tcPr>
          <w:p w14:paraId="4BE39F6E"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935393" w:rsidRPr="0099485C" w14:paraId="2346FF10" w14:textId="77777777" w:rsidTr="000A3214">
        <w:tc>
          <w:tcPr>
            <w:tcW w:w="2182" w:type="dxa"/>
          </w:tcPr>
          <w:p w14:paraId="10787A13"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lastRenderedPageBreak/>
              <w:t>Capacity Building and Training</w:t>
            </w:r>
          </w:p>
        </w:tc>
        <w:tc>
          <w:tcPr>
            <w:tcW w:w="4202" w:type="dxa"/>
          </w:tcPr>
          <w:p w14:paraId="78EFD921"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Valuers need training to meet universal standards </w:t>
            </w:r>
          </w:p>
          <w:p w14:paraId="2469C9F7"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Refresher courses and regular professional meetings</w:t>
            </w:r>
          </w:p>
        </w:tc>
        <w:tc>
          <w:tcPr>
            <w:tcW w:w="1161" w:type="dxa"/>
          </w:tcPr>
          <w:p w14:paraId="0975CFB1"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2084" w:type="dxa"/>
          </w:tcPr>
          <w:p w14:paraId="07AD6D4E"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935393" w:rsidRPr="0099485C" w14:paraId="52FB4D23" w14:textId="77777777" w:rsidTr="000A3214">
        <w:tc>
          <w:tcPr>
            <w:tcW w:w="2182" w:type="dxa"/>
          </w:tcPr>
          <w:p w14:paraId="75B3C55A"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Controlled Access and Monetisation</w:t>
            </w:r>
          </w:p>
        </w:tc>
        <w:tc>
          <w:tcPr>
            <w:tcW w:w="4202" w:type="dxa"/>
          </w:tcPr>
          <w:p w14:paraId="0CA704E9"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If shared with third parties, data should come at a cost</w:t>
            </w:r>
          </w:p>
          <w:p w14:paraId="7E7411D1"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As some sort of restriction, data should be shared at a cost</w:t>
            </w:r>
          </w:p>
        </w:tc>
        <w:tc>
          <w:tcPr>
            <w:tcW w:w="1161" w:type="dxa"/>
          </w:tcPr>
          <w:p w14:paraId="45DC8173"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2</w:t>
            </w:r>
          </w:p>
        </w:tc>
        <w:tc>
          <w:tcPr>
            <w:tcW w:w="2084" w:type="dxa"/>
          </w:tcPr>
          <w:p w14:paraId="375F02CD"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8.7%</w:t>
            </w:r>
          </w:p>
        </w:tc>
      </w:tr>
      <w:tr w:rsidR="00935393" w:rsidRPr="0099485C" w14:paraId="66C96DFE" w14:textId="77777777" w:rsidTr="000A3214">
        <w:tc>
          <w:tcPr>
            <w:tcW w:w="2182" w:type="dxa"/>
          </w:tcPr>
          <w:p w14:paraId="0DCB0951"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Professional Collaboration</w:t>
            </w:r>
          </w:p>
        </w:tc>
        <w:tc>
          <w:tcPr>
            <w:tcW w:w="4202" w:type="dxa"/>
          </w:tcPr>
          <w:p w14:paraId="4131147C"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Improve working relationships among valuers</w:t>
            </w:r>
          </w:p>
          <w:p w14:paraId="12EBAB65"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Encourage information – sharing and openness about challenges</w:t>
            </w:r>
          </w:p>
          <w:p w14:paraId="761B0D11"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Standard pricing</w:t>
            </w:r>
          </w:p>
        </w:tc>
        <w:tc>
          <w:tcPr>
            <w:tcW w:w="1161" w:type="dxa"/>
          </w:tcPr>
          <w:p w14:paraId="06D13B0B"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3</w:t>
            </w:r>
          </w:p>
        </w:tc>
        <w:tc>
          <w:tcPr>
            <w:tcW w:w="2084" w:type="dxa"/>
          </w:tcPr>
          <w:p w14:paraId="23D2BDD6"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13%</w:t>
            </w:r>
          </w:p>
        </w:tc>
      </w:tr>
      <w:tr w:rsidR="00935393" w:rsidRPr="0099485C" w14:paraId="3BA55621" w14:textId="77777777" w:rsidTr="000A3214">
        <w:tc>
          <w:tcPr>
            <w:tcW w:w="2182" w:type="dxa"/>
          </w:tcPr>
          <w:p w14:paraId="588D8C67"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No Response / Discard</w:t>
            </w:r>
          </w:p>
        </w:tc>
        <w:tc>
          <w:tcPr>
            <w:tcW w:w="4202" w:type="dxa"/>
          </w:tcPr>
          <w:p w14:paraId="4950312C"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p>
        </w:tc>
        <w:tc>
          <w:tcPr>
            <w:tcW w:w="1161" w:type="dxa"/>
          </w:tcPr>
          <w:p w14:paraId="247B3216"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11</w:t>
            </w:r>
          </w:p>
        </w:tc>
        <w:tc>
          <w:tcPr>
            <w:tcW w:w="2084" w:type="dxa"/>
          </w:tcPr>
          <w:p w14:paraId="253D4C50"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47%</w:t>
            </w:r>
          </w:p>
        </w:tc>
      </w:tr>
      <w:tr w:rsidR="00935393" w:rsidRPr="0099485C" w14:paraId="27F480E3" w14:textId="77777777" w:rsidTr="000A3214">
        <w:tc>
          <w:tcPr>
            <w:tcW w:w="2182" w:type="dxa"/>
          </w:tcPr>
          <w:p w14:paraId="50E60B40"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Total </w:t>
            </w:r>
          </w:p>
        </w:tc>
        <w:tc>
          <w:tcPr>
            <w:tcW w:w="4202" w:type="dxa"/>
          </w:tcPr>
          <w:p w14:paraId="244A793B" w14:textId="77777777" w:rsidR="00935393" w:rsidRPr="0099485C" w:rsidRDefault="00935393" w:rsidP="0099485C">
            <w:pPr>
              <w:numPr>
                <w:ilvl w:val="0"/>
                <w:numId w:val="5"/>
              </w:numPr>
              <w:jc w:val="both"/>
              <w:rPr>
                <w:rFonts w:ascii="Palatino Linotype" w:eastAsia="Aptos" w:hAnsi="Palatino Linotype" w:cs="Arial"/>
                <w:sz w:val="20"/>
                <w:szCs w:val="20"/>
                <w:lang w:val="en-GB"/>
                <w14:ligatures w14:val="none"/>
              </w:rPr>
            </w:pPr>
          </w:p>
        </w:tc>
        <w:tc>
          <w:tcPr>
            <w:tcW w:w="1161" w:type="dxa"/>
          </w:tcPr>
          <w:p w14:paraId="5819A440"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 xml:space="preserve">23 </w:t>
            </w:r>
          </w:p>
        </w:tc>
        <w:tc>
          <w:tcPr>
            <w:tcW w:w="2084" w:type="dxa"/>
          </w:tcPr>
          <w:p w14:paraId="6ABF0097" w14:textId="77777777" w:rsidR="00935393" w:rsidRPr="0099485C" w:rsidRDefault="00935393" w:rsidP="0099485C">
            <w:pPr>
              <w:jc w:val="both"/>
              <w:rPr>
                <w:rFonts w:ascii="Palatino Linotype" w:eastAsia="Aptos" w:hAnsi="Palatino Linotype" w:cs="Arial"/>
                <w:sz w:val="20"/>
                <w:szCs w:val="20"/>
                <w:lang w:val="en-GB"/>
                <w14:ligatures w14:val="none"/>
              </w:rPr>
            </w:pPr>
            <w:r w:rsidRPr="0099485C">
              <w:rPr>
                <w:rFonts w:ascii="Palatino Linotype" w:eastAsia="Aptos" w:hAnsi="Palatino Linotype" w:cs="Arial"/>
                <w:sz w:val="20"/>
                <w:szCs w:val="20"/>
                <w:lang w:val="en-GB"/>
                <w14:ligatures w14:val="none"/>
              </w:rPr>
              <w:t>100%</w:t>
            </w:r>
          </w:p>
          <w:p w14:paraId="3C869CCA" w14:textId="77777777" w:rsidR="00935393" w:rsidRPr="0099485C" w:rsidRDefault="00935393" w:rsidP="0099485C">
            <w:pPr>
              <w:jc w:val="both"/>
              <w:rPr>
                <w:rFonts w:ascii="Palatino Linotype" w:eastAsia="Aptos" w:hAnsi="Palatino Linotype" w:cs="Arial"/>
                <w:sz w:val="20"/>
                <w:szCs w:val="20"/>
                <w:lang w:val="en-GB"/>
                <w14:ligatures w14:val="none"/>
              </w:rPr>
            </w:pPr>
          </w:p>
          <w:p w14:paraId="1339B57F" w14:textId="77777777" w:rsidR="00935393" w:rsidRPr="0099485C" w:rsidRDefault="00935393" w:rsidP="0099485C">
            <w:pPr>
              <w:jc w:val="both"/>
              <w:rPr>
                <w:rFonts w:ascii="Palatino Linotype" w:eastAsia="Aptos" w:hAnsi="Palatino Linotype" w:cs="Arial"/>
                <w:sz w:val="20"/>
                <w:szCs w:val="20"/>
                <w:lang w:val="en-GB"/>
                <w14:ligatures w14:val="none"/>
              </w:rPr>
            </w:pPr>
          </w:p>
        </w:tc>
      </w:tr>
    </w:tbl>
    <w:p w14:paraId="6A013D55" w14:textId="77777777" w:rsidR="00935393" w:rsidRPr="0099485C" w:rsidRDefault="00935393" w:rsidP="0099485C">
      <w:pPr>
        <w:spacing w:after="0" w:line="240" w:lineRule="auto"/>
        <w:jc w:val="both"/>
        <w:rPr>
          <w:rFonts w:ascii="Palatino Linotype" w:eastAsia="Times New Roman" w:hAnsi="Palatino Linotype" w:cs="Arial"/>
          <w:kern w:val="0"/>
          <w:sz w:val="20"/>
          <w:szCs w:val="20"/>
          <w:lang w:val="en-GB"/>
          <w14:ligatures w14:val="none"/>
        </w:rPr>
      </w:pPr>
      <w:r w:rsidRPr="0099485C">
        <w:rPr>
          <w:rFonts w:ascii="Palatino Linotype" w:eastAsia="Times New Roman" w:hAnsi="Palatino Linotype" w:cs="Arial"/>
          <w:kern w:val="0"/>
          <w:sz w:val="20"/>
          <w:szCs w:val="20"/>
          <w:lang w:val="en-GB"/>
          <w14:ligatures w14:val="none"/>
        </w:rPr>
        <w:t xml:space="preserve">Source: Research findings </w:t>
      </w:r>
    </w:p>
    <w:p w14:paraId="4C9AE0E9" w14:textId="77777777" w:rsidR="00935393" w:rsidRPr="0099485C" w:rsidRDefault="00935393" w:rsidP="0099485C">
      <w:pPr>
        <w:spacing w:after="0" w:line="240" w:lineRule="auto"/>
        <w:jc w:val="both"/>
        <w:rPr>
          <w:rFonts w:ascii="Palatino Linotype" w:eastAsia="Times New Roman" w:hAnsi="Palatino Linotype" w:cs="Arial"/>
          <w:kern w:val="0"/>
          <w:sz w:val="20"/>
          <w:szCs w:val="20"/>
          <w:lang w:val="en-GB"/>
          <w14:ligatures w14:val="none"/>
        </w:rPr>
      </w:pPr>
    </w:p>
    <w:p w14:paraId="13C4FEFB" w14:textId="631DB6A7" w:rsidR="00357D1F" w:rsidRDefault="00935393" w:rsidP="0099485C">
      <w:pPr>
        <w:spacing w:after="0" w:line="240" w:lineRule="auto"/>
        <w:jc w:val="both"/>
        <w:rPr>
          <w:rFonts w:ascii="Palatino Linotype" w:eastAsia="Times New Roman" w:hAnsi="Palatino Linotype" w:cs="Arial"/>
          <w:kern w:val="0"/>
          <w:sz w:val="22"/>
          <w:szCs w:val="22"/>
          <w:lang w:val="en-GB"/>
          <w14:ligatures w14:val="none"/>
        </w:rPr>
      </w:pPr>
      <w:r w:rsidRPr="00121C4B">
        <w:rPr>
          <w:rFonts w:ascii="Palatino Linotype" w:eastAsia="Times New Roman" w:hAnsi="Palatino Linotype" w:cs="Arial"/>
          <w:kern w:val="0"/>
          <w:sz w:val="22"/>
          <w:szCs w:val="22"/>
          <w:lang w:val="en-GB"/>
          <w14:ligatures w14:val="none"/>
        </w:rPr>
        <w:t xml:space="preserve">The findings reflect strong professional readiness for valuation reform in Eswatini. However, current regulatory bodies like CIC and AESAP lack the mandate to govern data, enforce standards, or support modern practices, highlighting the need for a dedicated regulatory framework. These results align with </w:t>
      </w:r>
      <w:proofErr w:type="spellStart"/>
      <w:r w:rsidRPr="00121C4B">
        <w:rPr>
          <w:rFonts w:ascii="Palatino Linotype" w:eastAsia="Times New Roman" w:hAnsi="Palatino Linotype" w:cs="Arial"/>
          <w:kern w:val="0"/>
          <w:sz w:val="22"/>
          <w:szCs w:val="22"/>
          <w:lang w:val="en-GB"/>
          <w14:ligatures w14:val="none"/>
        </w:rPr>
        <w:t>Cheloti</w:t>
      </w:r>
      <w:proofErr w:type="spellEnd"/>
      <w:r w:rsidRPr="00121C4B">
        <w:rPr>
          <w:rFonts w:ascii="Palatino Linotype" w:eastAsia="Times New Roman" w:hAnsi="Palatino Linotype" w:cs="Arial"/>
          <w:kern w:val="0"/>
          <w:sz w:val="22"/>
          <w:szCs w:val="22"/>
          <w:lang w:val="en-GB"/>
          <w14:ligatures w14:val="none"/>
        </w:rPr>
        <w:t xml:space="preserve"> and Mooya (2022) and Ackermann et al. (2021), who stress interagency collaboration and institutional alignment. Respondents’ support for training, international standards, controlled access and monetization aligns with Olapade &amp; Olaleye (2019) on valuers’ review of data as intellectual property. Emphasis on ethics and collaboration also reflect literature linking professional trust with reform success.</w:t>
      </w:r>
    </w:p>
    <w:p w14:paraId="2AD9B67E" w14:textId="77777777" w:rsidR="00121C4B" w:rsidRPr="00121C4B" w:rsidRDefault="00121C4B" w:rsidP="0099485C">
      <w:pPr>
        <w:spacing w:after="0" w:line="240" w:lineRule="auto"/>
        <w:jc w:val="both"/>
        <w:rPr>
          <w:rFonts w:ascii="Palatino Linotype" w:eastAsia="Times New Roman" w:hAnsi="Palatino Linotype" w:cs="Arial"/>
          <w:kern w:val="0"/>
          <w:sz w:val="22"/>
          <w:szCs w:val="22"/>
          <w:lang w:val="en-GB"/>
          <w14:ligatures w14:val="none"/>
        </w:rPr>
      </w:pPr>
    </w:p>
    <w:p w14:paraId="7F150DC1" w14:textId="77777777" w:rsidR="00322407" w:rsidRPr="00121C4B" w:rsidRDefault="00530D5C"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The combination of descriptive statistics, Chi-square tests, and Spearman’s correlation strengthens the analytical rigor of the study. Quantitative and qualitative data converge to demonstrate that Eswatini’s valuation profession is broadly willing to engage in data sharing and standardization, provided legal safeguards, institutional oversight, and procedural controls are in place. These findings confirm and extend insights from Awuah et al. (2017), Ackermann et al. (2021), Olapade &amp; Olaleye (2019), and Mooya (2022).</w:t>
      </w:r>
    </w:p>
    <w:p w14:paraId="53F22245" w14:textId="77777777" w:rsidR="00121C4B" w:rsidRDefault="00121C4B" w:rsidP="0099485C">
      <w:pPr>
        <w:spacing w:after="0" w:line="240" w:lineRule="auto"/>
        <w:jc w:val="both"/>
        <w:rPr>
          <w:rFonts w:ascii="Palatino Linotype" w:hAnsi="Palatino Linotype" w:cs="Arial"/>
          <w:lang w:val="en-GB"/>
        </w:rPr>
      </w:pPr>
    </w:p>
    <w:p w14:paraId="7440732A" w14:textId="7D3ACDB2" w:rsidR="00322407" w:rsidRPr="00121C4B" w:rsidRDefault="00322407" w:rsidP="0099485C">
      <w:pPr>
        <w:spacing w:after="0" w:line="240" w:lineRule="auto"/>
        <w:jc w:val="both"/>
        <w:rPr>
          <w:rFonts w:ascii="Palatino Linotype" w:hAnsi="Palatino Linotype" w:cs="Arial"/>
          <w:b/>
          <w:bCs/>
          <w:lang w:val="en-GB"/>
        </w:rPr>
      </w:pPr>
      <w:r w:rsidRPr="00121C4B">
        <w:rPr>
          <w:rFonts w:ascii="Palatino Linotype" w:hAnsi="Palatino Linotype" w:cs="Arial"/>
          <w:b/>
          <w:bCs/>
          <w:lang w:val="en-GB"/>
        </w:rPr>
        <w:t>Limitations</w:t>
      </w:r>
    </w:p>
    <w:p w14:paraId="6E5A334B" w14:textId="77777777" w:rsidR="00121C4B" w:rsidRPr="00121C4B" w:rsidRDefault="00121C4B" w:rsidP="0099485C">
      <w:pPr>
        <w:spacing w:after="0" w:line="240" w:lineRule="auto"/>
        <w:jc w:val="both"/>
        <w:rPr>
          <w:rFonts w:ascii="Palatino Linotype" w:hAnsi="Palatino Linotype" w:cs="Arial"/>
          <w:b/>
          <w:bCs/>
          <w:sz w:val="22"/>
          <w:szCs w:val="22"/>
          <w:lang w:val="en-GB"/>
        </w:rPr>
      </w:pPr>
    </w:p>
    <w:p w14:paraId="2196B2A0" w14:textId="5B22B8E8" w:rsidR="00FE4517" w:rsidRPr="00121C4B" w:rsidRDefault="00FE4517"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This study provides novel insights into Eswatini’s property valuation profession, but several limitations should be noted. The small census population (n = 28) limits generalizability beyond the national context and reduces statistical power, potentially obscuring subtle effects. Non-response and self-report bias may also affect the findings, particularly regarding professional practices and willingness to share data.</w:t>
      </w:r>
    </w:p>
    <w:p w14:paraId="2B0DED52" w14:textId="77777777" w:rsidR="00875EF0" w:rsidRDefault="00875EF0" w:rsidP="0099485C">
      <w:pPr>
        <w:spacing w:after="0" w:line="240" w:lineRule="auto"/>
        <w:jc w:val="both"/>
        <w:rPr>
          <w:rFonts w:ascii="Palatino Linotype" w:hAnsi="Palatino Linotype" w:cs="Arial"/>
          <w:sz w:val="22"/>
          <w:szCs w:val="22"/>
          <w:lang w:val="en-GB"/>
        </w:rPr>
      </w:pPr>
    </w:p>
    <w:p w14:paraId="5BFC9148" w14:textId="147DFF66" w:rsidR="00FE4517" w:rsidRPr="00121C4B" w:rsidRDefault="00FE4517"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 xml:space="preserve">The qualitative sample was small, limiting the diversity of perspectives and depth of emergent themes. Additionally, candidate </w:t>
      </w:r>
      <w:r w:rsidR="00875EF0" w:rsidRPr="00121C4B">
        <w:rPr>
          <w:rFonts w:ascii="Palatino Linotype" w:hAnsi="Palatino Linotype" w:cs="Arial"/>
          <w:sz w:val="22"/>
          <w:szCs w:val="22"/>
          <w:lang w:val="en-GB"/>
        </w:rPr>
        <w:t>valuers</w:t>
      </w:r>
      <w:r w:rsidRPr="00121C4B">
        <w:rPr>
          <w:rFonts w:ascii="Palatino Linotype" w:hAnsi="Palatino Linotype" w:cs="Arial"/>
          <w:sz w:val="22"/>
          <w:szCs w:val="22"/>
          <w:lang w:val="en-GB"/>
        </w:rPr>
        <w:t xml:space="preserve"> limited practical experience may have influenced some responses on field data collection and professional judgments.</w:t>
      </w:r>
    </w:p>
    <w:p w14:paraId="4BA1654F" w14:textId="77777777" w:rsidR="00D869AF" w:rsidRPr="00121C4B" w:rsidRDefault="00FE4517"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lastRenderedPageBreak/>
        <w:t xml:space="preserve">Future research could use larger, more diverse samples, longitudinal designs, and include clients or third-party perspectives, enhancing the robustness and applicability of the findings. Despite these limitations, the study offers valuable insights for policy, professional practice, and the development of a centralized property data system in Eswatini. </w:t>
      </w:r>
      <w:r w:rsidR="00322407" w:rsidRPr="00121C4B">
        <w:rPr>
          <w:rFonts w:ascii="Palatino Linotype" w:hAnsi="Palatino Linotype" w:cs="Arial"/>
          <w:sz w:val="22"/>
          <w:szCs w:val="22"/>
          <w:lang w:val="en-GB"/>
        </w:rPr>
        <w:t>Future research could address these issues through larger samples, longitudinal designs, and inclusion of client or third-party perspectives.</w:t>
      </w:r>
    </w:p>
    <w:p w14:paraId="56257981" w14:textId="77777777" w:rsidR="00121C4B" w:rsidRDefault="00121C4B" w:rsidP="0099485C">
      <w:pPr>
        <w:spacing w:after="0" w:line="240" w:lineRule="auto"/>
        <w:jc w:val="both"/>
        <w:rPr>
          <w:rFonts w:ascii="Palatino Linotype" w:hAnsi="Palatino Linotype" w:cs="Arial"/>
          <w:sz w:val="22"/>
          <w:szCs w:val="22"/>
          <w:lang w:val="en-GB"/>
        </w:rPr>
      </w:pPr>
    </w:p>
    <w:p w14:paraId="63B4AE87" w14:textId="156EC919" w:rsidR="00D869AF" w:rsidRPr="00121C4B" w:rsidRDefault="00D869AF" w:rsidP="0099485C">
      <w:pPr>
        <w:spacing w:after="0" w:line="240" w:lineRule="auto"/>
        <w:jc w:val="both"/>
        <w:rPr>
          <w:rFonts w:ascii="Palatino Linotype" w:hAnsi="Palatino Linotype" w:cs="Arial"/>
          <w:b/>
          <w:bCs/>
          <w:lang w:val="en-GB"/>
        </w:rPr>
      </w:pPr>
      <w:r w:rsidRPr="00121C4B">
        <w:rPr>
          <w:rFonts w:ascii="Palatino Linotype" w:hAnsi="Palatino Linotype" w:cs="Arial"/>
          <w:b/>
          <w:bCs/>
          <w:lang w:val="en-GB"/>
        </w:rPr>
        <w:t>Implications of the Study</w:t>
      </w:r>
    </w:p>
    <w:p w14:paraId="545BC04F" w14:textId="77777777" w:rsidR="00121C4B" w:rsidRDefault="00121C4B" w:rsidP="0099485C">
      <w:pPr>
        <w:spacing w:after="0" w:line="240" w:lineRule="auto"/>
        <w:jc w:val="both"/>
        <w:rPr>
          <w:rFonts w:ascii="Palatino Linotype" w:hAnsi="Palatino Linotype" w:cs="Arial"/>
          <w:sz w:val="22"/>
          <w:szCs w:val="22"/>
          <w:lang w:val="en-GB"/>
        </w:rPr>
      </w:pPr>
    </w:p>
    <w:p w14:paraId="5FDF21DD" w14:textId="76B33741" w:rsidR="00D869AF" w:rsidRPr="00121C4B" w:rsidRDefault="008869BE"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The</w:t>
      </w:r>
      <w:r w:rsidR="00D869AF" w:rsidRPr="00121C4B">
        <w:rPr>
          <w:rFonts w:ascii="Palatino Linotype" w:hAnsi="Palatino Linotype" w:cs="Arial"/>
          <w:sz w:val="22"/>
          <w:szCs w:val="22"/>
          <w:lang w:val="en-GB"/>
        </w:rPr>
        <w:t xml:space="preserve"> study highlights important implications for both theory and practice.</w:t>
      </w:r>
    </w:p>
    <w:p w14:paraId="7297CAF4" w14:textId="680B81CB" w:rsidR="00D869AF" w:rsidRPr="00121C4B" w:rsidRDefault="00D869AF"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For policymakers, it underscores the need for clear legal frameworks supporting data sharing, privacy protection, and standardized property records to improve transparency and accuracy in valuation. For practitioners, it emphasizes coordinated processes, capacity building, and adoption of consistent valuation methodologies to enhance reliability and efficiency.</w:t>
      </w:r>
    </w:p>
    <w:p w14:paraId="525E740A" w14:textId="77777777" w:rsidR="004665F2" w:rsidRPr="00121C4B" w:rsidRDefault="00D869AF" w:rsidP="0099485C">
      <w:pPr>
        <w:spacing w:after="0" w:line="240" w:lineRule="auto"/>
        <w:jc w:val="both"/>
        <w:rPr>
          <w:rFonts w:ascii="Palatino Linotype" w:hAnsi="Palatino Linotype" w:cs="Arial"/>
          <w:sz w:val="22"/>
          <w:szCs w:val="22"/>
          <w:lang w:val="en-GB"/>
        </w:rPr>
      </w:pPr>
      <w:r w:rsidRPr="00121C4B">
        <w:rPr>
          <w:rFonts w:ascii="Palatino Linotype" w:hAnsi="Palatino Linotype" w:cs="Arial"/>
          <w:sz w:val="22"/>
          <w:szCs w:val="22"/>
          <w:lang w:val="en-GB"/>
        </w:rPr>
        <w:t xml:space="preserve">Theoretically, the findings bridge gaps in the literature by linking centralization principles, legal requirements, and practical measures, demonstrating how systematic property data management can strengthen both decision-making and market fairness. </w:t>
      </w:r>
    </w:p>
    <w:p w14:paraId="7C50AEA1" w14:textId="77777777" w:rsidR="00875EF0" w:rsidRDefault="00875EF0" w:rsidP="0099485C">
      <w:pPr>
        <w:spacing w:after="0" w:line="240" w:lineRule="auto"/>
        <w:jc w:val="both"/>
        <w:rPr>
          <w:rFonts w:ascii="Palatino Linotype" w:hAnsi="Palatino Linotype" w:cs="Arial"/>
          <w:sz w:val="22"/>
          <w:szCs w:val="22"/>
          <w:lang w:val="en-GB"/>
        </w:rPr>
      </w:pPr>
    </w:p>
    <w:p w14:paraId="3FEE85D0" w14:textId="40BBB662" w:rsidR="004665F2" w:rsidRPr="00875EF0" w:rsidRDefault="004665F2" w:rsidP="0099485C">
      <w:pPr>
        <w:spacing w:after="0" w:line="240" w:lineRule="auto"/>
        <w:jc w:val="both"/>
        <w:rPr>
          <w:rFonts w:ascii="Palatino Linotype" w:hAnsi="Palatino Linotype" w:cs="Arial"/>
          <w:b/>
          <w:bCs/>
          <w:lang w:val="en-GB"/>
        </w:rPr>
      </w:pPr>
      <w:r w:rsidRPr="00875EF0">
        <w:rPr>
          <w:rFonts w:ascii="Palatino Linotype" w:hAnsi="Palatino Linotype" w:cs="Arial"/>
          <w:b/>
          <w:bCs/>
          <w:lang w:val="en-GB"/>
        </w:rPr>
        <w:t>Conclusion</w:t>
      </w:r>
    </w:p>
    <w:p w14:paraId="797D2719" w14:textId="77777777" w:rsidR="00875EF0" w:rsidRDefault="00875EF0" w:rsidP="0099485C">
      <w:pPr>
        <w:spacing w:after="0" w:line="240" w:lineRule="auto"/>
        <w:jc w:val="both"/>
        <w:rPr>
          <w:rFonts w:ascii="Palatino Linotype" w:hAnsi="Palatino Linotype" w:cs="Arial"/>
          <w:sz w:val="22"/>
          <w:szCs w:val="22"/>
          <w:lang w:val="en-GB"/>
        </w:rPr>
      </w:pPr>
    </w:p>
    <w:p w14:paraId="3C905B7F" w14:textId="3E485F4F" w:rsidR="004665F2" w:rsidRDefault="004665F2" w:rsidP="0099485C">
      <w:pPr>
        <w:spacing w:after="0" w:line="240" w:lineRule="auto"/>
        <w:jc w:val="both"/>
        <w:rPr>
          <w:rFonts w:ascii="Palatino Linotype" w:hAnsi="Palatino Linotype" w:cs="Arial"/>
          <w:sz w:val="22"/>
          <w:szCs w:val="22"/>
          <w:lang w:val="en-GB"/>
        </w:rPr>
      </w:pPr>
      <w:r w:rsidRPr="00875EF0">
        <w:rPr>
          <w:rFonts w:ascii="Palatino Linotype" w:hAnsi="Palatino Linotype" w:cs="Arial"/>
          <w:sz w:val="22"/>
          <w:szCs w:val="22"/>
          <w:lang w:val="en-GB"/>
        </w:rPr>
        <w:t>This study examined the willingness of property valuers in Eswatini to engage in centralized field data sharing, their field data collection practices, the barriers limiting data sharing, and the legal framework governing data governance. Overall, the findings confirm that the profession is largely supportive of a centralised data repository. A total of 91% of valuers expressed a willingness to voluntarily share data, including 75% of company owners, who are key custodians of field data, highlighting strong foundational support. However, this willingness is conditional, with respondents emphasizing the need for legal safeguards to protect client confidentiality and the importance of participation incentives. Valuers overwhelmingly supported regulatory oversight of the database to ensure neutrality and accountability, and most preferred that access be limited to qualified valuers, although a significant minority supported broader access under strict regulatory conditions.</w:t>
      </w:r>
    </w:p>
    <w:p w14:paraId="6003B012" w14:textId="77777777" w:rsidR="008609DA" w:rsidRPr="00875EF0" w:rsidRDefault="008609DA" w:rsidP="0099485C">
      <w:pPr>
        <w:spacing w:after="0" w:line="240" w:lineRule="auto"/>
        <w:jc w:val="both"/>
        <w:rPr>
          <w:rFonts w:ascii="Palatino Linotype" w:hAnsi="Palatino Linotype" w:cs="Arial"/>
          <w:sz w:val="22"/>
          <w:szCs w:val="22"/>
          <w:lang w:val="en-GB"/>
        </w:rPr>
      </w:pPr>
    </w:p>
    <w:p w14:paraId="0912F64D" w14:textId="77777777" w:rsidR="004665F2" w:rsidRDefault="004665F2" w:rsidP="0099485C">
      <w:pPr>
        <w:spacing w:after="0" w:line="240" w:lineRule="auto"/>
        <w:jc w:val="both"/>
        <w:rPr>
          <w:rFonts w:ascii="Palatino Linotype" w:hAnsi="Palatino Linotype" w:cs="Arial"/>
          <w:sz w:val="22"/>
          <w:szCs w:val="22"/>
          <w:lang w:val="en-GB"/>
        </w:rPr>
      </w:pPr>
      <w:r w:rsidRPr="00875EF0">
        <w:rPr>
          <w:rFonts w:ascii="Palatino Linotype" w:hAnsi="Palatino Linotype" w:cs="Arial"/>
          <w:sz w:val="22"/>
          <w:szCs w:val="22"/>
          <w:lang w:val="en-GB"/>
        </w:rPr>
        <w:t xml:space="preserve">Despite this readiness, several barriers were identified. Institutional challenges included limited access to reliable property information, inconsistent third-party data, and client reluctance. Technical limitations were also evident, as only a minority of firms employed security measures such as encryption, secure storage, or staff training on data handling. Although some of the respondents supported third party access in principle, concerns over data misuse and the erosion of valuer interpretive authority highlight the need for a clear governance framework. The fragmented structure of the valuation industry dominated by small, independent firms, was seen to hinder standardization efforts, emphasizing the need for professional training, continuous dialogue, and digital capacity building. </w:t>
      </w:r>
    </w:p>
    <w:p w14:paraId="2F71AC75" w14:textId="77777777" w:rsidR="008609DA" w:rsidRPr="00875EF0" w:rsidRDefault="008609DA" w:rsidP="0099485C">
      <w:pPr>
        <w:spacing w:after="0" w:line="240" w:lineRule="auto"/>
        <w:jc w:val="both"/>
        <w:rPr>
          <w:rFonts w:ascii="Palatino Linotype" w:hAnsi="Palatino Linotype" w:cs="Arial"/>
          <w:sz w:val="22"/>
          <w:szCs w:val="22"/>
          <w:lang w:val="en-GB"/>
        </w:rPr>
      </w:pPr>
    </w:p>
    <w:p w14:paraId="377F8F50" w14:textId="77777777" w:rsidR="004665F2" w:rsidRPr="00875EF0" w:rsidRDefault="004665F2" w:rsidP="0099485C">
      <w:pPr>
        <w:spacing w:after="0" w:line="240" w:lineRule="auto"/>
        <w:jc w:val="both"/>
        <w:rPr>
          <w:rFonts w:ascii="Palatino Linotype" w:hAnsi="Palatino Linotype" w:cs="Arial"/>
          <w:sz w:val="22"/>
          <w:szCs w:val="22"/>
          <w:lang w:val="en-GB"/>
        </w:rPr>
      </w:pPr>
      <w:r w:rsidRPr="00875EF0">
        <w:rPr>
          <w:rFonts w:ascii="Palatino Linotype" w:hAnsi="Palatino Linotype" w:cs="Arial"/>
          <w:sz w:val="22"/>
          <w:szCs w:val="22"/>
          <w:lang w:val="en-GB"/>
        </w:rPr>
        <w:t xml:space="preserve">This study makes several contributions to academic research, policy, and professional practise. It provides the first known empirical evidence on valuers’ willingness to share data in Eswatini, identifies critical gaps in regulatory compliance and operational consistencies, and lays the foundation for involuntary, legal anchored, and professionally governed data </w:t>
      </w:r>
      <w:r w:rsidRPr="00875EF0">
        <w:rPr>
          <w:rFonts w:ascii="Palatino Linotype" w:hAnsi="Palatino Linotype" w:cs="Arial"/>
          <w:sz w:val="22"/>
          <w:szCs w:val="22"/>
          <w:lang w:val="en-GB"/>
        </w:rPr>
        <w:lastRenderedPageBreak/>
        <w:t xml:space="preserve">sharing framework. Although context specific, the findings offer comparative insight for other emerging markets facing similar data governance challenges. Given the strong professional support, it is recommended that the upcoming property valuation bill include a mandatory requirement for valuers to periodically submit standardised field data to a national repository. The platform should be developed by a technically qualified IT firm with experience in building secure and scalable systems, ensuring it addresses the legal, technical, and institutional barriers identified. Moreover, full enforcement of the Data Protection Act, registration with the EDPA, and practitioner training must be prioritized to ensure lawful and ethical data handling. Future research should exam incomparable models from other countries, explore the perspectives of clients and third-party users, assess digital readiness, and pilot a regional rollout to evaluate real word viability. By leveraging the willingness of valuers and addressing foundational barriers, opportunity to align this property sector with international best practise and unlock its potential as a driver for economic development. </w:t>
      </w:r>
    </w:p>
    <w:p w14:paraId="4F77F688" w14:textId="77777777" w:rsidR="004665F2" w:rsidRPr="0099485C" w:rsidRDefault="004665F2" w:rsidP="0099485C">
      <w:pPr>
        <w:spacing w:after="0" w:line="240" w:lineRule="auto"/>
        <w:jc w:val="both"/>
        <w:rPr>
          <w:rFonts w:ascii="Palatino Linotype" w:hAnsi="Palatino Linotype" w:cs="Arial"/>
          <w:lang w:val="en-GB"/>
        </w:rPr>
      </w:pPr>
    </w:p>
    <w:p w14:paraId="24C8B244" w14:textId="6322ECB3" w:rsidR="00705BC1" w:rsidRPr="0099485C" w:rsidRDefault="00E2090F" w:rsidP="0099485C">
      <w:pPr>
        <w:spacing w:after="0" w:line="240" w:lineRule="auto"/>
        <w:jc w:val="both"/>
        <w:rPr>
          <w:rFonts w:ascii="Palatino Linotype" w:hAnsi="Palatino Linotype" w:cs="Arial"/>
          <w:lang w:val="en-GB"/>
        </w:rPr>
      </w:pPr>
      <w:r w:rsidRPr="0099485C">
        <w:rPr>
          <w:rFonts w:ascii="Palatino Linotype" w:hAnsi="Palatino Linotype" w:cs="Arial"/>
          <w:lang w:val="en-GB"/>
        </w:rPr>
        <w:t xml:space="preserve"> </w:t>
      </w:r>
    </w:p>
    <w:p w14:paraId="72BDC3F3" w14:textId="0B591040" w:rsidR="00527DF5" w:rsidRPr="008609DA" w:rsidRDefault="00FE60BD" w:rsidP="0099485C">
      <w:pPr>
        <w:spacing w:after="0" w:line="240" w:lineRule="auto"/>
        <w:jc w:val="both"/>
        <w:rPr>
          <w:rFonts w:ascii="Palatino Linotype" w:hAnsi="Palatino Linotype" w:cs="Arial"/>
          <w:b/>
          <w:bCs/>
          <w:lang w:val="en-GB"/>
        </w:rPr>
      </w:pPr>
      <w:r>
        <w:rPr>
          <w:rFonts w:ascii="Palatino Linotype" w:hAnsi="Palatino Linotype" w:cs="Arial"/>
          <w:b/>
          <w:bCs/>
          <w:lang w:val="en-GB"/>
        </w:rPr>
        <w:br w:type="column"/>
      </w:r>
      <w:r w:rsidR="00527DF5" w:rsidRPr="008609DA">
        <w:rPr>
          <w:rFonts w:ascii="Palatino Linotype" w:hAnsi="Palatino Linotype" w:cs="Arial"/>
          <w:b/>
          <w:bCs/>
          <w:lang w:val="en-GB"/>
        </w:rPr>
        <w:lastRenderedPageBreak/>
        <w:t>References</w:t>
      </w:r>
    </w:p>
    <w:p w14:paraId="74AA0D24" w14:textId="77777777" w:rsidR="008609DA" w:rsidRDefault="008609DA" w:rsidP="0099485C">
      <w:pPr>
        <w:pStyle w:val="Bibliography"/>
        <w:jc w:val="both"/>
        <w:rPr>
          <w:rFonts w:ascii="Palatino Linotype" w:hAnsi="Palatino Linotype" w:cs="Arial"/>
          <w:noProof/>
          <w:lang w:val="en-GB"/>
        </w:rPr>
      </w:pPr>
    </w:p>
    <w:p w14:paraId="67292982" w14:textId="36F1C89D" w:rsidR="008B6E60" w:rsidRPr="008609DA" w:rsidRDefault="008B6E60" w:rsidP="00F3219A">
      <w:pPr>
        <w:pStyle w:val="Bibliography"/>
        <w:rPr>
          <w:rFonts w:ascii="Palatino Linotype" w:hAnsi="Palatino Linotype"/>
          <w:sz w:val="22"/>
          <w:szCs w:val="22"/>
          <w:lang w:val="en-GB"/>
        </w:rPr>
      </w:pPr>
      <w:r w:rsidRPr="008609DA">
        <w:rPr>
          <w:rFonts w:ascii="Palatino Linotype" w:hAnsi="Palatino Linotype" w:cs="Arial"/>
          <w:noProof/>
          <w:sz w:val="22"/>
          <w:szCs w:val="22"/>
          <w:lang w:val="en-GB"/>
        </w:rPr>
        <w:t>Ackermann, K., Gresch, D. &amp; Wiederkehr, D. 2021. Willingness to share data: Contextual determinants of data-sharing behavior. Journal of Consumer Behaviour, 20(3), pp. 662-678.</w:t>
      </w:r>
    </w:p>
    <w:p w14:paraId="4EE01DD1" w14:textId="77777777" w:rsidR="008609DA" w:rsidRDefault="008609DA" w:rsidP="00F3219A">
      <w:pPr>
        <w:pStyle w:val="Bibliography"/>
        <w:rPr>
          <w:rFonts w:ascii="Palatino Linotype" w:hAnsi="Palatino Linotype" w:cs="Arial"/>
          <w:noProof/>
          <w:sz w:val="22"/>
          <w:szCs w:val="22"/>
          <w:lang w:val="en-GB"/>
        </w:rPr>
      </w:pPr>
    </w:p>
    <w:p w14:paraId="3EF0AE18" w14:textId="0555FD39"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Agosta, L., Mariani, M. &amp; Ciaramella, A. 2024. A wall between real estate valuation standards and professional appraisal practice: A focus on the Italian market. Journal of Infrastructure, Policy and Development, 8(1), pp. 56-70.</w:t>
      </w:r>
    </w:p>
    <w:p w14:paraId="0F704F72" w14:textId="77777777" w:rsidR="008609DA" w:rsidRDefault="008609DA" w:rsidP="00F3219A">
      <w:pPr>
        <w:pStyle w:val="Bibliography"/>
        <w:rPr>
          <w:rFonts w:ascii="Palatino Linotype" w:hAnsi="Palatino Linotype" w:cs="Arial"/>
          <w:noProof/>
          <w:sz w:val="22"/>
          <w:szCs w:val="22"/>
          <w:lang w:val="en-GB"/>
        </w:rPr>
      </w:pPr>
    </w:p>
    <w:p w14:paraId="4E2E6ADB" w14:textId="06E4B7EA"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Ajibola, M. &amp; Ogungbemi, A. O. 2011. Importance </w:t>
      </w:r>
      <w:r w:rsidR="003806CC" w:rsidRPr="008609DA">
        <w:rPr>
          <w:rFonts w:ascii="Palatino Linotype" w:hAnsi="Palatino Linotype" w:cs="Arial"/>
          <w:noProof/>
          <w:sz w:val="22"/>
          <w:szCs w:val="22"/>
          <w:lang w:val="en-GB"/>
        </w:rPr>
        <w:t>of accessibility to reliable data for real estate practice</w:t>
      </w:r>
      <w:r w:rsidRPr="008609DA">
        <w:rPr>
          <w:rFonts w:ascii="Palatino Linotype" w:hAnsi="Palatino Linotype" w:cs="Arial"/>
          <w:noProof/>
          <w:sz w:val="22"/>
          <w:szCs w:val="22"/>
          <w:lang w:val="en-GB"/>
        </w:rPr>
        <w:t>. Mediterranean Journal of Social Sciences, 2(2), pp. 223-231.</w:t>
      </w:r>
    </w:p>
    <w:p w14:paraId="5DEF0BF1" w14:textId="77777777" w:rsidR="008609DA" w:rsidRDefault="008609DA" w:rsidP="00F3219A">
      <w:pPr>
        <w:pStyle w:val="Bibliography"/>
        <w:rPr>
          <w:rFonts w:ascii="Palatino Linotype" w:hAnsi="Palatino Linotype" w:cs="Arial"/>
          <w:noProof/>
          <w:sz w:val="22"/>
          <w:szCs w:val="22"/>
          <w:lang w:val="en-GB"/>
        </w:rPr>
      </w:pPr>
    </w:p>
    <w:p w14:paraId="7CE86952" w14:textId="62A48E2C"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Ajibola, M. O. &amp; Oloyede, S. A. 2010. Data </w:t>
      </w:r>
      <w:r w:rsidR="003806CC" w:rsidRPr="008609DA">
        <w:rPr>
          <w:rFonts w:ascii="Palatino Linotype" w:hAnsi="Palatino Linotype" w:cs="Arial"/>
          <w:noProof/>
          <w:sz w:val="22"/>
          <w:szCs w:val="22"/>
          <w:lang w:val="en-GB"/>
        </w:rPr>
        <w:t>sharing</w:t>
      </w:r>
      <w:r w:rsidRPr="008609DA">
        <w:rPr>
          <w:rFonts w:ascii="Palatino Linotype" w:hAnsi="Palatino Linotype" w:cs="Arial"/>
          <w:noProof/>
          <w:sz w:val="22"/>
          <w:szCs w:val="22"/>
          <w:lang w:val="en-GB"/>
        </w:rPr>
        <w:t xml:space="preserve">: A </w:t>
      </w:r>
      <w:r w:rsidR="003806CC" w:rsidRPr="008609DA">
        <w:rPr>
          <w:rFonts w:ascii="Palatino Linotype" w:hAnsi="Palatino Linotype" w:cs="Arial"/>
          <w:noProof/>
          <w:sz w:val="22"/>
          <w:szCs w:val="22"/>
          <w:lang w:val="en-GB"/>
        </w:rPr>
        <w:t>critical factor data sharing for estate surveying and valuation</w:t>
      </w:r>
      <w:r w:rsidRPr="008609DA">
        <w:rPr>
          <w:rFonts w:ascii="Palatino Linotype" w:hAnsi="Palatino Linotype" w:cs="Arial"/>
          <w:noProof/>
          <w:sz w:val="22"/>
          <w:szCs w:val="22"/>
          <w:lang w:val="en-GB"/>
        </w:rPr>
        <w:t xml:space="preserve"> in Nigeria. Global Journal of Engineering and technology, 3(1), pp. 61-69.</w:t>
      </w:r>
    </w:p>
    <w:p w14:paraId="35D63887" w14:textId="77777777" w:rsidR="008609DA" w:rsidRDefault="008609DA" w:rsidP="00F3219A">
      <w:pPr>
        <w:pStyle w:val="Bibliography"/>
        <w:rPr>
          <w:rFonts w:ascii="Palatino Linotype" w:hAnsi="Palatino Linotype" w:cs="Arial"/>
          <w:noProof/>
          <w:sz w:val="22"/>
          <w:szCs w:val="22"/>
          <w:lang w:val="en-GB"/>
        </w:rPr>
      </w:pPr>
    </w:p>
    <w:p w14:paraId="32CD7CE2" w14:textId="36AA1436"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Alkhamsi, N. N. &amp; Alqahtani, S. S. 2024. Compliance Framework for Personal Data Protection Law Standards. International Journal of Advanced Computer Science and Applications, 15(7), pp. 512-525.</w:t>
      </w:r>
    </w:p>
    <w:p w14:paraId="150DDC42" w14:textId="77777777" w:rsidR="008609DA" w:rsidRDefault="008609DA" w:rsidP="00F3219A">
      <w:pPr>
        <w:pStyle w:val="Bibliography"/>
        <w:rPr>
          <w:rFonts w:ascii="Palatino Linotype" w:hAnsi="Palatino Linotype" w:cs="Arial"/>
          <w:noProof/>
          <w:sz w:val="22"/>
          <w:szCs w:val="22"/>
          <w:lang w:val="en-GB"/>
        </w:rPr>
      </w:pPr>
    </w:p>
    <w:p w14:paraId="0258F2B7" w14:textId="764375DF"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Ashaolu, T. A. &amp; Olaniran, M. O. 2016. Valuers' trategies for coping with the dearth of market data in two Nigerian cities: Ibadan and Abeokuta. Pacific Rim Property Research Journal, 22(2), pp. 167-179.</w:t>
      </w:r>
    </w:p>
    <w:p w14:paraId="349A8459" w14:textId="77777777" w:rsidR="008609DA" w:rsidRDefault="008609DA" w:rsidP="00F3219A">
      <w:pPr>
        <w:pStyle w:val="Bibliography"/>
        <w:rPr>
          <w:rFonts w:ascii="Palatino Linotype" w:hAnsi="Palatino Linotype" w:cs="Arial"/>
          <w:noProof/>
          <w:sz w:val="22"/>
          <w:szCs w:val="22"/>
          <w:lang w:val="en-GB"/>
        </w:rPr>
      </w:pPr>
    </w:p>
    <w:p w14:paraId="7D88918E" w14:textId="4FC78733"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Awuah, K. G. B., Gyamfi-Yeboah, F., Proverbs, D. &amp; Lamond, J. E. 2017. Sources and reliability of property market information for property valuation practice in Ghana. Property Management, 35(4), pp. 1-42.</w:t>
      </w:r>
    </w:p>
    <w:p w14:paraId="31491701" w14:textId="77777777" w:rsidR="008609DA" w:rsidRDefault="008609DA" w:rsidP="00F3219A">
      <w:pPr>
        <w:spacing w:after="0" w:line="240" w:lineRule="auto"/>
        <w:rPr>
          <w:rFonts w:ascii="Palatino Linotype" w:hAnsi="Palatino Linotype" w:cs="Arial"/>
          <w:color w:val="222222"/>
          <w:sz w:val="22"/>
          <w:szCs w:val="22"/>
          <w:shd w:val="clear" w:color="auto" w:fill="FFFFFF"/>
        </w:rPr>
      </w:pPr>
      <w:bookmarkStart w:id="45" w:name="_Hlk213612597"/>
    </w:p>
    <w:p w14:paraId="7E76412F" w14:textId="26D4157D" w:rsidR="000E168B" w:rsidRPr="008609DA" w:rsidRDefault="000E168B" w:rsidP="00F3219A">
      <w:pPr>
        <w:spacing w:after="0" w:line="240" w:lineRule="auto"/>
        <w:rPr>
          <w:rFonts w:ascii="Palatino Linotype" w:hAnsi="Palatino Linotype"/>
          <w:sz w:val="22"/>
          <w:szCs w:val="22"/>
          <w:lang w:val="en-GB"/>
        </w:rPr>
      </w:pPr>
      <w:r w:rsidRPr="008609DA">
        <w:rPr>
          <w:rFonts w:ascii="Palatino Linotype" w:hAnsi="Palatino Linotype" w:cs="Arial"/>
          <w:color w:val="222222"/>
          <w:sz w:val="22"/>
          <w:szCs w:val="22"/>
          <w:shd w:val="clear" w:color="auto" w:fill="FFFFFF"/>
        </w:rPr>
        <w:t>Baffour Awuah</w:t>
      </w:r>
      <w:bookmarkEnd w:id="45"/>
      <w:r w:rsidRPr="008609DA">
        <w:rPr>
          <w:rFonts w:ascii="Palatino Linotype" w:hAnsi="Palatino Linotype" w:cs="Arial"/>
          <w:color w:val="222222"/>
          <w:sz w:val="22"/>
          <w:szCs w:val="22"/>
          <w:shd w:val="clear" w:color="auto" w:fill="FFFFFF"/>
        </w:rPr>
        <w:t>, K.G., Gyamfi-Yeboah, F., Proverbs, D. and Lamond, J.E. 2017. Sources and reliability of property market information for property valuation practice in Ghana. Property</w:t>
      </w:r>
      <w:r w:rsidR="007E149C" w:rsidRPr="008609DA">
        <w:rPr>
          <w:rFonts w:ascii="Palatino Linotype" w:hAnsi="Palatino Linotype" w:cs="Arial"/>
          <w:color w:val="222222"/>
          <w:sz w:val="22"/>
          <w:szCs w:val="22"/>
          <w:shd w:val="clear" w:color="auto" w:fill="FFFFFF"/>
        </w:rPr>
        <w:t xml:space="preserve"> Management</w:t>
      </w:r>
      <w:r w:rsidRPr="008609DA">
        <w:rPr>
          <w:rFonts w:ascii="Palatino Linotype" w:hAnsi="Palatino Linotype" w:cs="Arial"/>
          <w:color w:val="222222"/>
          <w:sz w:val="22"/>
          <w:szCs w:val="22"/>
          <w:shd w:val="clear" w:color="auto" w:fill="FFFFFF"/>
        </w:rPr>
        <w:t>, 35(4), pp.448-466.</w:t>
      </w:r>
    </w:p>
    <w:p w14:paraId="277E5618" w14:textId="23C8A213" w:rsidR="00F508E7" w:rsidRPr="008609DA" w:rsidRDefault="00F508E7" w:rsidP="00F3219A">
      <w:pPr>
        <w:spacing w:after="0" w:line="240" w:lineRule="auto"/>
        <w:rPr>
          <w:rFonts w:ascii="Palatino Linotype" w:hAnsi="Palatino Linotype"/>
          <w:sz w:val="22"/>
          <w:szCs w:val="22"/>
          <w:lang w:val="en-GB"/>
        </w:rPr>
      </w:pPr>
      <w:r w:rsidRPr="008609DA">
        <w:rPr>
          <w:rFonts w:ascii="Palatino Linotype" w:hAnsi="Palatino Linotype" w:cs="Arial"/>
          <w:color w:val="222222"/>
          <w:sz w:val="22"/>
          <w:szCs w:val="22"/>
          <w:shd w:val="clear" w:color="auto" w:fill="FFFFFF"/>
        </w:rPr>
        <w:t>Bailer, S. 2014. Interviews and surveys in legislative research. The Oxford handbook of legislative studies, pp.167-193.</w:t>
      </w:r>
    </w:p>
    <w:p w14:paraId="2E6AE8B8" w14:textId="77777777" w:rsidR="008609DA" w:rsidRDefault="008609DA" w:rsidP="00F3219A">
      <w:pPr>
        <w:pStyle w:val="Bibliography"/>
        <w:rPr>
          <w:rFonts w:ascii="Palatino Linotype" w:hAnsi="Palatino Linotype" w:cs="Arial"/>
          <w:noProof/>
          <w:sz w:val="22"/>
          <w:szCs w:val="22"/>
          <w:lang w:val="en-GB"/>
        </w:rPr>
      </w:pPr>
    </w:p>
    <w:p w14:paraId="1E58E7C0" w14:textId="5C045CD9"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Bureau of Local Government Finance, 2010. Adoption of the IVSC Valuation Standards Under Philippine Setting, Philippines: Bureau of Local Government Finance.</w:t>
      </w:r>
    </w:p>
    <w:p w14:paraId="6DEE8813" w14:textId="77777777" w:rsidR="008609DA" w:rsidRDefault="008609DA" w:rsidP="00F3219A">
      <w:pPr>
        <w:pStyle w:val="Bibliography"/>
        <w:rPr>
          <w:rFonts w:ascii="Palatino Linotype" w:hAnsi="Palatino Linotype" w:cs="Arial"/>
          <w:noProof/>
          <w:sz w:val="22"/>
          <w:szCs w:val="22"/>
          <w:lang w:val="en-GB"/>
        </w:rPr>
      </w:pPr>
    </w:p>
    <w:p w14:paraId="74E72387" w14:textId="566EA64C"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Busby, A., Manson, L., Fisher, S. C. C. &amp; Williams, L. 2020. Identifying cultural and legal barriers to data sharing across government, London: Department for Digital, Culture, Media &amp; Sport .</w:t>
      </w:r>
    </w:p>
    <w:p w14:paraId="2A80542A" w14:textId="77777777" w:rsidR="008609DA" w:rsidRDefault="008609DA" w:rsidP="00F3219A">
      <w:pPr>
        <w:pStyle w:val="Bibliography"/>
        <w:rPr>
          <w:rFonts w:ascii="Palatino Linotype" w:hAnsi="Palatino Linotype" w:cs="Arial"/>
          <w:noProof/>
          <w:sz w:val="22"/>
          <w:szCs w:val="22"/>
          <w:lang w:val="en-GB"/>
        </w:rPr>
      </w:pPr>
    </w:p>
    <w:p w14:paraId="6D11911A" w14:textId="72E73244"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Chan, A. P. &amp; Abidoye, B. R. 2019. Advanced </w:t>
      </w:r>
      <w:r w:rsidR="00F85F04" w:rsidRPr="008609DA">
        <w:rPr>
          <w:rFonts w:ascii="Palatino Linotype" w:hAnsi="Palatino Linotype" w:cs="Arial"/>
          <w:noProof/>
          <w:sz w:val="22"/>
          <w:szCs w:val="22"/>
          <w:lang w:val="en-GB"/>
        </w:rPr>
        <w:t>property valuation techniques and valuation accuracy</w:t>
      </w:r>
      <w:r w:rsidRPr="008609DA">
        <w:rPr>
          <w:rFonts w:ascii="Palatino Linotype" w:hAnsi="Palatino Linotype" w:cs="Arial"/>
          <w:noProof/>
          <w:sz w:val="22"/>
          <w:szCs w:val="22"/>
          <w:lang w:val="en-GB"/>
        </w:rPr>
        <w:t>: Deciphring the artificial neural network technique. International Journal of Real Estate and land Planning , Volume 2, pp. 1-9.</w:t>
      </w:r>
    </w:p>
    <w:p w14:paraId="0E12DABF" w14:textId="77777777" w:rsidR="008609DA" w:rsidRDefault="008609DA" w:rsidP="00F3219A">
      <w:pPr>
        <w:pStyle w:val="Bibliography"/>
        <w:rPr>
          <w:rFonts w:ascii="Palatino Linotype" w:hAnsi="Palatino Linotype" w:cs="Arial"/>
          <w:noProof/>
          <w:sz w:val="22"/>
          <w:szCs w:val="22"/>
          <w:lang w:val="en-GB"/>
        </w:rPr>
      </w:pPr>
    </w:p>
    <w:p w14:paraId="39083F8B" w14:textId="182993AC"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lastRenderedPageBreak/>
        <w:t>Check, P. &amp; Schutt, R. 2012. Research Methods in Education. 2nd ed. Thousand Oaks: SAGE Publications.</w:t>
      </w:r>
    </w:p>
    <w:p w14:paraId="37727719" w14:textId="77777777" w:rsidR="008609DA" w:rsidRDefault="008609DA" w:rsidP="00F3219A">
      <w:pPr>
        <w:pStyle w:val="Bibliography"/>
        <w:rPr>
          <w:rFonts w:ascii="Palatino Linotype" w:hAnsi="Palatino Linotype" w:cs="Arial"/>
          <w:noProof/>
          <w:sz w:val="22"/>
          <w:szCs w:val="22"/>
          <w:lang w:val="en-GB"/>
        </w:rPr>
      </w:pPr>
    </w:p>
    <w:p w14:paraId="5271A115" w14:textId="045E79C7"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Cheloti, I. N. &amp; Mooya, M. M. 2022. An assessment of valuation education and training in Kenya in comparion with practice.. Property Management, 41(2), pp. 276-294.</w:t>
      </w:r>
    </w:p>
    <w:p w14:paraId="39DB1DE8" w14:textId="77777777" w:rsidR="008609DA" w:rsidRDefault="008609DA" w:rsidP="00F3219A">
      <w:pPr>
        <w:spacing w:after="0" w:line="240" w:lineRule="auto"/>
        <w:rPr>
          <w:rFonts w:ascii="Palatino Linotype" w:hAnsi="Palatino Linotype" w:cs="Arial"/>
          <w:sz w:val="22"/>
          <w:szCs w:val="22"/>
          <w:lang w:val="en-GB"/>
        </w:rPr>
      </w:pPr>
    </w:p>
    <w:p w14:paraId="0D27C16B" w14:textId="3D4FCF93" w:rsidR="008B6E60" w:rsidRPr="008609DA" w:rsidRDefault="008B6E6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t xml:space="preserve">Chi, B., Dennett, A., </w:t>
      </w:r>
      <w:proofErr w:type="spellStart"/>
      <w:r w:rsidRPr="008609DA">
        <w:rPr>
          <w:rFonts w:ascii="Palatino Linotype" w:hAnsi="Palatino Linotype" w:cs="Arial"/>
          <w:sz w:val="22"/>
          <w:szCs w:val="22"/>
          <w:lang w:val="en-GB"/>
        </w:rPr>
        <w:t>Oleron</w:t>
      </w:r>
      <w:proofErr w:type="spellEnd"/>
      <w:r w:rsidRPr="008609DA">
        <w:rPr>
          <w:rFonts w:ascii="Palatino Linotype" w:hAnsi="Palatino Linotype" w:cs="Arial"/>
          <w:sz w:val="22"/>
          <w:szCs w:val="22"/>
          <w:lang w:val="en-GB"/>
        </w:rPr>
        <w:t>-Eans, T. &amp; Morphet, R., 2021. A new attribute-linked residential property price dataset for England and Wales, 2011-2019. UCL Open: Environment, Issues 7, pp. 1-25.</w:t>
      </w:r>
    </w:p>
    <w:p w14:paraId="62869373" w14:textId="77777777" w:rsidR="008609DA" w:rsidRDefault="008609DA" w:rsidP="00F3219A">
      <w:pPr>
        <w:spacing w:after="0" w:line="240" w:lineRule="auto"/>
        <w:rPr>
          <w:rFonts w:ascii="Palatino Linotype" w:hAnsi="Palatino Linotype" w:cs="Arial"/>
          <w:color w:val="222222"/>
          <w:sz w:val="22"/>
          <w:szCs w:val="22"/>
          <w:shd w:val="clear" w:color="auto" w:fill="FFFFFF"/>
        </w:rPr>
      </w:pPr>
      <w:bookmarkStart w:id="46" w:name="_Hlk213619705"/>
    </w:p>
    <w:p w14:paraId="47417610" w14:textId="26172F84" w:rsidR="0015535B" w:rsidRPr="008609DA" w:rsidRDefault="0015535B" w:rsidP="00F3219A">
      <w:pPr>
        <w:spacing w:after="0" w:line="240" w:lineRule="auto"/>
        <w:rPr>
          <w:rFonts w:ascii="Palatino Linotype" w:hAnsi="Palatino Linotype" w:cs="Arial"/>
          <w:sz w:val="22"/>
          <w:szCs w:val="22"/>
          <w:lang w:val="en-GB"/>
        </w:rPr>
      </w:pPr>
      <w:r w:rsidRPr="008609DA">
        <w:rPr>
          <w:rFonts w:ascii="Palatino Linotype" w:hAnsi="Palatino Linotype" w:cs="Arial"/>
          <w:color w:val="222222"/>
          <w:sz w:val="22"/>
          <w:szCs w:val="22"/>
          <w:shd w:val="clear" w:color="auto" w:fill="FFFFFF"/>
        </w:rPr>
        <w:t>Cheruiyot, K. and Gamede, L. 2024</w:t>
      </w:r>
      <w:bookmarkEnd w:id="46"/>
      <w:r w:rsidRPr="008609DA">
        <w:rPr>
          <w:rFonts w:ascii="Palatino Linotype" w:hAnsi="Palatino Linotype" w:cs="Arial"/>
          <w:color w:val="222222"/>
          <w:sz w:val="22"/>
          <w:szCs w:val="22"/>
          <w:shd w:val="clear" w:color="auto" w:fill="FFFFFF"/>
        </w:rPr>
        <w:t>. Exploring the potential of big data and data analytics in South Africa's real estate sector. Pacific Rim Property Research Journal, 29(3), pp. 66-78.</w:t>
      </w:r>
    </w:p>
    <w:p w14:paraId="4F214DEA" w14:textId="77777777" w:rsidR="008609DA" w:rsidRDefault="008609DA" w:rsidP="00F3219A">
      <w:pPr>
        <w:pStyle w:val="Bibliography"/>
        <w:rPr>
          <w:rFonts w:ascii="Palatino Linotype" w:hAnsi="Palatino Linotype" w:cs="Arial"/>
          <w:noProof/>
          <w:sz w:val="22"/>
          <w:szCs w:val="22"/>
          <w:lang w:val="en-GB"/>
        </w:rPr>
      </w:pPr>
    </w:p>
    <w:p w14:paraId="63C18D0A" w14:textId="5FD37AF7"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Creswell, J. 2013. Research design: Qualitative, quantitative, and mixed methods approaches. 4th ed. Thousand Oaks: SAGE Publications.</w:t>
      </w:r>
    </w:p>
    <w:p w14:paraId="4455363A" w14:textId="77777777" w:rsidR="008609DA" w:rsidRDefault="008609DA" w:rsidP="00F3219A">
      <w:pPr>
        <w:spacing w:after="0" w:line="240" w:lineRule="auto"/>
        <w:rPr>
          <w:rFonts w:ascii="Palatino Linotype" w:hAnsi="Palatino Linotype" w:cs="Arial"/>
          <w:color w:val="222222"/>
          <w:sz w:val="22"/>
          <w:szCs w:val="22"/>
          <w:shd w:val="clear" w:color="auto" w:fill="FFFFFF"/>
        </w:rPr>
      </w:pPr>
    </w:p>
    <w:p w14:paraId="60A961F9" w14:textId="4BB6F155" w:rsidR="00FB4778" w:rsidRPr="008609DA" w:rsidRDefault="00FB4778" w:rsidP="00F3219A">
      <w:pPr>
        <w:spacing w:after="0" w:line="240" w:lineRule="auto"/>
        <w:rPr>
          <w:rFonts w:ascii="Palatino Linotype" w:hAnsi="Palatino Linotype"/>
          <w:sz w:val="22"/>
          <w:szCs w:val="22"/>
          <w:lang w:val="en-GB"/>
        </w:rPr>
      </w:pPr>
      <w:r w:rsidRPr="008609DA">
        <w:rPr>
          <w:rFonts w:ascii="Palatino Linotype" w:hAnsi="Palatino Linotype" w:cs="Arial"/>
          <w:color w:val="222222"/>
          <w:sz w:val="22"/>
          <w:szCs w:val="22"/>
          <w:shd w:val="clear" w:color="auto" w:fill="FFFFFF"/>
        </w:rPr>
        <w:t>Davis, P., McCluskey, W., Grissom, T.V. and McCord, M. 2012. An empirical analysis of simplified valuation approaches for residential property tax purposes. Property Management, 30(3), pp.232-254.</w:t>
      </w:r>
    </w:p>
    <w:p w14:paraId="7C449B55" w14:textId="77777777" w:rsidR="008609DA" w:rsidRDefault="008609DA" w:rsidP="00F3219A">
      <w:pPr>
        <w:pStyle w:val="Bibliography"/>
        <w:rPr>
          <w:rFonts w:ascii="Palatino Linotype" w:hAnsi="Palatino Linotype" w:cs="Arial"/>
          <w:noProof/>
          <w:sz w:val="22"/>
          <w:szCs w:val="22"/>
          <w:lang w:val="en-GB"/>
        </w:rPr>
      </w:pPr>
    </w:p>
    <w:p w14:paraId="7D622931" w14:textId="140E1B93"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Diebold, G. 2023. Overcoming Barriers to Data Sharing in the United States, Washington, DC: Center for data innovation.</w:t>
      </w:r>
    </w:p>
    <w:p w14:paraId="23654C23" w14:textId="77777777" w:rsidR="008609DA" w:rsidRDefault="008609DA" w:rsidP="00F3219A">
      <w:pPr>
        <w:pStyle w:val="Bibliography"/>
        <w:rPr>
          <w:rFonts w:ascii="Palatino Linotype" w:hAnsi="Palatino Linotype" w:cs="Arial"/>
          <w:noProof/>
          <w:sz w:val="22"/>
          <w:szCs w:val="22"/>
          <w:lang w:val="en-GB"/>
        </w:rPr>
      </w:pPr>
    </w:p>
    <w:p w14:paraId="77EF2013" w14:textId="501D5B34"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Dudovskiy, J. 2011. Business reasearch methodology. [Online] </w:t>
      </w:r>
      <w:r w:rsidRPr="008609DA">
        <w:rPr>
          <w:rFonts w:ascii="Palatino Linotype" w:hAnsi="Palatino Linotype" w:cs="Arial"/>
          <w:noProof/>
          <w:sz w:val="22"/>
          <w:szCs w:val="22"/>
          <w:lang w:val="en-GB"/>
        </w:rPr>
        <w:br/>
        <w:t xml:space="preserve">Available at: </w:t>
      </w:r>
      <w:hyperlink r:id="rId12" w:history="1">
        <w:r w:rsidR="00FB2303" w:rsidRPr="00ED0158">
          <w:rPr>
            <w:rStyle w:val="Hyperlink"/>
            <w:rFonts w:ascii="Palatino Linotype" w:hAnsi="Palatino Linotype" w:cs="Arial"/>
            <w:noProof/>
            <w:sz w:val="22"/>
            <w:szCs w:val="22"/>
            <w:lang w:val="en-GB"/>
          </w:rPr>
          <w:t>https://research-methodology.net/</w:t>
        </w:r>
      </w:hyperlink>
      <w:r w:rsidRPr="008609DA">
        <w:rPr>
          <w:rFonts w:ascii="Palatino Linotype" w:hAnsi="Palatino Linotype" w:cs="Arial"/>
          <w:noProof/>
          <w:sz w:val="22"/>
          <w:szCs w:val="22"/>
          <w:u w:val="single"/>
          <w:lang w:val="en-GB"/>
        </w:rPr>
        <w:t>.</w:t>
      </w:r>
      <w:r w:rsidR="00FB2303">
        <w:rPr>
          <w:rFonts w:ascii="Palatino Linotype" w:hAnsi="Palatino Linotype" w:cs="Arial"/>
          <w:noProof/>
          <w:sz w:val="22"/>
          <w:szCs w:val="22"/>
          <w:u w:val="single"/>
          <w:lang w:val="en-GB"/>
        </w:rPr>
        <w:t xml:space="preserve"> </w:t>
      </w:r>
      <w:r w:rsidRPr="008609DA">
        <w:rPr>
          <w:rFonts w:ascii="Palatino Linotype" w:hAnsi="Palatino Linotype" w:cs="Arial"/>
          <w:noProof/>
          <w:sz w:val="22"/>
          <w:szCs w:val="22"/>
          <w:lang w:val="en-GB"/>
        </w:rPr>
        <w:t>[Accessed 10 November 2023].</w:t>
      </w:r>
    </w:p>
    <w:p w14:paraId="630FB520" w14:textId="77777777" w:rsidR="008609DA" w:rsidRDefault="008609DA" w:rsidP="00F3219A">
      <w:pPr>
        <w:pStyle w:val="Bibliography"/>
        <w:rPr>
          <w:rFonts w:ascii="Palatino Linotype" w:hAnsi="Palatino Linotype" w:cs="Arial"/>
          <w:noProof/>
          <w:sz w:val="22"/>
          <w:szCs w:val="22"/>
          <w:lang w:val="en-GB"/>
        </w:rPr>
      </w:pPr>
    </w:p>
    <w:p w14:paraId="5B722048" w14:textId="00269430"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Eswatini Government, 2022. Data Protection Act 2022, Mbabane: The Government of Eswatini.</w:t>
      </w:r>
    </w:p>
    <w:p w14:paraId="7C406929" w14:textId="77777777" w:rsidR="008609DA" w:rsidRDefault="008609DA" w:rsidP="00F3219A">
      <w:pPr>
        <w:pStyle w:val="Bibliography"/>
        <w:rPr>
          <w:rFonts w:ascii="Palatino Linotype" w:hAnsi="Palatino Linotype" w:cs="Arial"/>
          <w:noProof/>
          <w:sz w:val="22"/>
          <w:szCs w:val="22"/>
          <w:lang w:val="en-GB"/>
        </w:rPr>
      </w:pPr>
    </w:p>
    <w:p w14:paraId="64C5ED55" w14:textId="6CA47599"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European Union, 2016. Regulation (EU) 2016/679 of the European Parliament and of the Council (General Data Protection Regulation). Official Journal of the European Union, Issue L119, pp. 1-88.</w:t>
      </w:r>
    </w:p>
    <w:p w14:paraId="06891C75" w14:textId="7877C678" w:rsidR="00066944" w:rsidRPr="008609DA" w:rsidRDefault="00066944" w:rsidP="00F3219A">
      <w:pPr>
        <w:spacing w:after="0" w:line="240" w:lineRule="auto"/>
        <w:rPr>
          <w:rFonts w:ascii="Palatino Linotype" w:hAnsi="Palatino Linotype" w:cs="Arial"/>
          <w:noProof/>
          <w:sz w:val="22"/>
          <w:szCs w:val="22"/>
          <w:lang w:val="en-GB"/>
        </w:rPr>
      </w:pPr>
      <w:r w:rsidRPr="008609DA">
        <w:rPr>
          <w:rFonts w:ascii="Palatino Linotype" w:hAnsi="Palatino Linotype" w:cs="Arial"/>
          <w:color w:val="222222"/>
          <w:sz w:val="22"/>
          <w:szCs w:val="22"/>
          <w:shd w:val="clear" w:color="auto" w:fill="FFFFFF"/>
        </w:rPr>
        <w:t>Evans, J.R. and Mathur, A. 2018. The value of online surveys: A look back and a look ahead. Internet research, 28(4), pp.854-887.</w:t>
      </w:r>
    </w:p>
    <w:p w14:paraId="3C8BE7F7" w14:textId="77777777" w:rsidR="008609DA" w:rsidRDefault="008609DA" w:rsidP="00F3219A">
      <w:pPr>
        <w:pStyle w:val="Bibliography"/>
        <w:rPr>
          <w:rFonts w:ascii="Palatino Linotype" w:hAnsi="Palatino Linotype" w:cs="Arial"/>
          <w:noProof/>
          <w:sz w:val="22"/>
          <w:szCs w:val="22"/>
          <w:lang w:val="en-GB"/>
        </w:rPr>
      </w:pPr>
    </w:p>
    <w:p w14:paraId="17570FE1" w14:textId="4E0F5064" w:rsidR="000A3214" w:rsidRPr="008609DA" w:rsidRDefault="00041351"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Fassnacht, M., Leimstoll, J., Benz, C., Heinz, D. and Satzger, G. 2024. Data sharing practices: The interplay of data, organizational structures, and network dynamics. Electronic Markets, 34(47), pp.1-25. https://doi.org/10.1007/s12525-024-00732-0 .</w:t>
      </w:r>
    </w:p>
    <w:p w14:paraId="1048F104" w14:textId="77777777" w:rsidR="008609DA" w:rsidRDefault="008609DA" w:rsidP="00F3219A">
      <w:pPr>
        <w:spacing w:after="0" w:line="240" w:lineRule="auto"/>
        <w:rPr>
          <w:rFonts w:ascii="Palatino Linotype" w:hAnsi="Palatino Linotype" w:cs="Arial"/>
          <w:sz w:val="22"/>
          <w:szCs w:val="22"/>
          <w:lang w:val="en-GB"/>
        </w:rPr>
      </w:pPr>
    </w:p>
    <w:p w14:paraId="1CAB8014" w14:textId="5E4ECE30" w:rsidR="008B6E60" w:rsidRPr="008609DA" w:rsidRDefault="008B6E60" w:rsidP="00F3219A">
      <w:pPr>
        <w:spacing w:after="0" w:line="240" w:lineRule="auto"/>
        <w:rPr>
          <w:rFonts w:ascii="Palatino Linotype" w:hAnsi="Palatino Linotype" w:cs="Arial"/>
          <w:sz w:val="22"/>
          <w:szCs w:val="22"/>
          <w:lang w:val="en-GB"/>
        </w:rPr>
      </w:pPr>
      <w:proofErr w:type="spellStart"/>
      <w:r w:rsidRPr="008609DA">
        <w:rPr>
          <w:rFonts w:ascii="Palatino Linotype" w:hAnsi="Palatino Linotype" w:cs="Arial"/>
          <w:sz w:val="22"/>
          <w:szCs w:val="22"/>
          <w:lang w:val="en-GB"/>
        </w:rPr>
        <w:t>Grennberg</w:t>
      </w:r>
      <w:proofErr w:type="spellEnd"/>
      <w:r w:rsidRPr="008609DA">
        <w:rPr>
          <w:rFonts w:ascii="Palatino Linotype" w:hAnsi="Palatino Linotype" w:cs="Arial"/>
          <w:sz w:val="22"/>
          <w:szCs w:val="22"/>
          <w:lang w:val="en-GB"/>
        </w:rPr>
        <w:t>. B. 2024. Valuation challenges in emerging markets: Lessons learned. Phoenix, Arizona: four Corners Valuations Real Estate Advisory Services.</w:t>
      </w:r>
    </w:p>
    <w:p w14:paraId="5A1AB5A8" w14:textId="77777777" w:rsidR="008609DA" w:rsidRDefault="008609DA" w:rsidP="00F3219A">
      <w:pPr>
        <w:spacing w:after="0" w:line="240" w:lineRule="auto"/>
        <w:rPr>
          <w:rFonts w:ascii="Palatino Linotype" w:hAnsi="Palatino Linotype" w:cs="Arial"/>
          <w:color w:val="222222"/>
          <w:sz w:val="22"/>
          <w:szCs w:val="22"/>
          <w:shd w:val="clear" w:color="auto" w:fill="FFFFFF"/>
        </w:rPr>
      </w:pPr>
    </w:p>
    <w:p w14:paraId="5A609A43" w14:textId="5952D74E" w:rsidR="00197FB5" w:rsidRPr="008609DA" w:rsidRDefault="00197FB5" w:rsidP="00F3219A">
      <w:pPr>
        <w:spacing w:after="0" w:line="240" w:lineRule="auto"/>
        <w:rPr>
          <w:rFonts w:ascii="Palatino Linotype" w:hAnsi="Palatino Linotype" w:cs="Arial"/>
          <w:sz w:val="22"/>
          <w:szCs w:val="22"/>
          <w:lang w:val="en-GB"/>
        </w:rPr>
      </w:pPr>
      <w:proofErr w:type="spellStart"/>
      <w:r w:rsidRPr="008609DA">
        <w:rPr>
          <w:rFonts w:ascii="Palatino Linotype" w:hAnsi="Palatino Linotype" w:cs="Arial"/>
          <w:color w:val="222222"/>
          <w:sz w:val="22"/>
          <w:szCs w:val="22"/>
          <w:shd w:val="clear" w:color="auto" w:fill="FFFFFF"/>
        </w:rPr>
        <w:t>Grybauskas</w:t>
      </w:r>
      <w:proofErr w:type="spellEnd"/>
      <w:r w:rsidRPr="008609DA">
        <w:rPr>
          <w:rFonts w:ascii="Palatino Linotype" w:hAnsi="Palatino Linotype" w:cs="Arial"/>
          <w:color w:val="222222"/>
          <w:sz w:val="22"/>
          <w:szCs w:val="22"/>
          <w:shd w:val="clear" w:color="auto" w:fill="FFFFFF"/>
        </w:rPr>
        <w:t xml:space="preserve">, A., </w:t>
      </w:r>
      <w:proofErr w:type="spellStart"/>
      <w:r w:rsidRPr="008609DA">
        <w:rPr>
          <w:rFonts w:ascii="Palatino Linotype" w:hAnsi="Palatino Linotype" w:cs="Arial"/>
          <w:color w:val="222222"/>
          <w:sz w:val="22"/>
          <w:szCs w:val="22"/>
          <w:shd w:val="clear" w:color="auto" w:fill="FFFFFF"/>
        </w:rPr>
        <w:t>Pilinkienė</w:t>
      </w:r>
      <w:proofErr w:type="spellEnd"/>
      <w:r w:rsidRPr="008609DA">
        <w:rPr>
          <w:rFonts w:ascii="Palatino Linotype" w:hAnsi="Palatino Linotype" w:cs="Arial"/>
          <w:color w:val="222222"/>
          <w:sz w:val="22"/>
          <w:szCs w:val="22"/>
          <w:shd w:val="clear" w:color="auto" w:fill="FFFFFF"/>
        </w:rPr>
        <w:t xml:space="preserve">, V. and </w:t>
      </w:r>
      <w:proofErr w:type="spellStart"/>
      <w:r w:rsidRPr="008609DA">
        <w:rPr>
          <w:rFonts w:ascii="Palatino Linotype" w:hAnsi="Palatino Linotype" w:cs="Arial"/>
          <w:color w:val="222222"/>
          <w:sz w:val="22"/>
          <w:szCs w:val="22"/>
          <w:shd w:val="clear" w:color="auto" w:fill="FFFFFF"/>
        </w:rPr>
        <w:t>Stundžienė</w:t>
      </w:r>
      <w:proofErr w:type="spellEnd"/>
      <w:r w:rsidRPr="008609DA">
        <w:rPr>
          <w:rFonts w:ascii="Palatino Linotype" w:hAnsi="Palatino Linotype" w:cs="Arial"/>
          <w:color w:val="222222"/>
          <w:sz w:val="22"/>
          <w:szCs w:val="22"/>
          <w:shd w:val="clear" w:color="auto" w:fill="FFFFFF"/>
        </w:rPr>
        <w:t>, A. 2021. Predictive analytics using Big Data for the real estate market during the COVID-19 pandemic. Journal of Big Data, 8(105).</w:t>
      </w:r>
      <w:r w:rsidRPr="008609DA">
        <w:rPr>
          <w:rFonts w:ascii="Palatino Linotype" w:hAnsi="Palatino Linotype"/>
          <w:sz w:val="22"/>
          <w:szCs w:val="22"/>
        </w:rPr>
        <w:t xml:space="preserve"> </w:t>
      </w:r>
      <w:hyperlink r:id="rId13" w:history="1">
        <w:r w:rsidRPr="008609DA">
          <w:rPr>
            <w:rStyle w:val="Hyperlink"/>
            <w:rFonts w:ascii="Palatino Linotype" w:hAnsi="Palatino Linotype" w:cs="Arial"/>
            <w:sz w:val="22"/>
            <w:szCs w:val="22"/>
            <w:shd w:val="clear" w:color="auto" w:fill="FFFFFF"/>
          </w:rPr>
          <w:t>https://doi.org/10.1186/s40537-021-00476-0</w:t>
        </w:r>
      </w:hyperlink>
      <w:r w:rsidRPr="008609DA">
        <w:rPr>
          <w:rFonts w:ascii="Palatino Linotype" w:hAnsi="Palatino Linotype" w:cs="Arial"/>
          <w:color w:val="222222"/>
          <w:sz w:val="22"/>
          <w:szCs w:val="22"/>
          <w:shd w:val="clear" w:color="auto" w:fill="FFFFFF"/>
        </w:rPr>
        <w:t xml:space="preserve">. </w:t>
      </w:r>
    </w:p>
    <w:p w14:paraId="22C87627" w14:textId="77777777" w:rsidR="008609DA" w:rsidRDefault="008609DA" w:rsidP="00F3219A">
      <w:pPr>
        <w:spacing w:after="0" w:line="240" w:lineRule="auto"/>
        <w:rPr>
          <w:rFonts w:ascii="Palatino Linotype" w:hAnsi="Palatino Linotype" w:cs="Arial"/>
          <w:sz w:val="22"/>
          <w:szCs w:val="22"/>
          <w:lang w:val="en-GB"/>
        </w:rPr>
      </w:pPr>
    </w:p>
    <w:p w14:paraId="64483681" w14:textId="4DB7E491" w:rsidR="008B6E60" w:rsidRPr="008609DA" w:rsidRDefault="008B6E6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lastRenderedPageBreak/>
        <w:t>Hossain, M.S., Van de Wetering, J., Devaney, S. &amp; Sayce, S. 2023. UK commercial real estate valuation practice: Does it now build in sustainability considerations?  Journal of Property Investment &amp; Finance, 41(4), pp. 406-428.</w:t>
      </w:r>
    </w:p>
    <w:p w14:paraId="0EE3589E" w14:textId="77777777" w:rsidR="008609DA" w:rsidRDefault="008609DA" w:rsidP="00F3219A">
      <w:pPr>
        <w:pStyle w:val="Bibliography"/>
        <w:rPr>
          <w:rFonts w:ascii="Palatino Linotype" w:hAnsi="Palatino Linotype" w:cs="Arial"/>
          <w:noProof/>
          <w:sz w:val="22"/>
          <w:szCs w:val="22"/>
          <w:lang w:val="en-GB"/>
        </w:rPr>
      </w:pPr>
    </w:p>
    <w:p w14:paraId="1611467A" w14:textId="7F698A16"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Hughes, D. 2020. The role of standards in enabling data driven UK real estate market, London: Alpha Property Insight .</w:t>
      </w:r>
    </w:p>
    <w:p w14:paraId="10DABB7F" w14:textId="77777777" w:rsidR="008609DA" w:rsidRDefault="008609DA" w:rsidP="00F3219A">
      <w:pPr>
        <w:pStyle w:val="Bibliography"/>
        <w:rPr>
          <w:rFonts w:ascii="Palatino Linotype" w:hAnsi="Palatino Linotype" w:cs="Arial"/>
          <w:noProof/>
          <w:sz w:val="22"/>
          <w:szCs w:val="22"/>
          <w:lang w:val="en-GB"/>
        </w:rPr>
      </w:pPr>
    </w:p>
    <w:p w14:paraId="5C73CE36" w14:textId="42CB6B28"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Hui, E., Cheung, A. &amp; Pang, H. 2010. A hierachical Bayesian approach for residential property valuation; Application to Hong Kong housing market. International Journal of Strategic Property Management, 14(2), pp. 115-129.</w:t>
      </w:r>
    </w:p>
    <w:p w14:paraId="66F16973" w14:textId="77777777" w:rsidR="008609DA" w:rsidRDefault="008609DA" w:rsidP="00F3219A">
      <w:pPr>
        <w:pStyle w:val="Bibliography"/>
        <w:rPr>
          <w:rFonts w:ascii="Palatino Linotype" w:hAnsi="Palatino Linotype" w:cs="Arial"/>
          <w:noProof/>
          <w:sz w:val="22"/>
          <w:szCs w:val="22"/>
          <w:lang w:val="en-GB"/>
        </w:rPr>
      </w:pPr>
    </w:p>
    <w:p w14:paraId="2DD8EEAF" w14:textId="125E7330" w:rsidR="00F85F04"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International Property Measurement Standards Coalition (IPMS Coalition), 2023. IPMS: International Property Measurement Standards for Buildings. [Online] </w:t>
      </w:r>
      <w:r w:rsidRPr="008609DA">
        <w:rPr>
          <w:rFonts w:ascii="Palatino Linotype" w:hAnsi="Palatino Linotype" w:cs="Arial"/>
          <w:noProof/>
          <w:sz w:val="22"/>
          <w:szCs w:val="22"/>
          <w:lang w:val="en-GB"/>
        </w:rPr>
        <w:br/>
        <w:t xml:space="preserve">Available at: </w:t>
      </w:r>
      <w:hyperlink r:id="rId14" w:history="1">
        <w:r w:rsidR="00FB2303" w:rsidRPr="00ED0158">
          <w:rPr>
            <w:rStyle w:val="Hyperlink"/>
            <w:rFonts w:ascii="Palatino Linotype" w:hAnsi="Palatino Linotype" w:cs="Arial"/>
            <w:noProof/>
            <w:sz w:val="22"/>
            <w:szCs w:val="22"/>
            <w:lang w:val="en-GB"/>
          </w:rPr>
          <w:t>https://ipmsc.org/members/</w:t>
        </w:r>
      </w:hyperlink>
      <w:r w:rsidR="00FB2303">
        <w:rPr>
          <w:rFonts w:ascii="Palatino Linotype" w:hAnsi="Palatino Linotype" w:cs="Arial"/>
          <w:noProof/>
          <w:sz w:val="22"/>
          <w:szCs w:val="22"/>
          <w:u w:val="single"/>
          <w:lang w:val="en-GB"/>
        </w:rPr>
        <w:t xml:space="preserve"> </w:t>
      </w:r>
      <w:r w:rsidRPr="008609DA">
        <w:rPr>
          <w:rFonts w:ascii="Palatino Linotype" w:hAnsi="Palatino Linotype" w:cs="Arial"/>
          <w:noProof/>
          <w:sz w:val="22"/>
          <w:szCs w:val="22"/>
          <w:lang w:val="en-GB"/>
        </w:rPr>
        <w:t>[Accessed 25 March 2025].</w:t>
      </w:r>
    </w:p>
    <w:p w14:paraId="6FFC6904" w14:textId="77777777" w:rsidR="008609DA" w:rsidRDefault="008609DA" w:rsidP="00F3219A">
      <w:pPr>
        <w:pStyle w:val="Bibliography"/>
        <w:rPr>
          <w:rFonts w:ascii="Palatino Linotype" w:hAnsi="Palatino Linotype" w:cs="Arial"/>
          <w:noProof/>
          <w:sz w:val="22"/>
          <w:szCs w:val="22"/>
          <w:lang w:val="en-GB"/>
        </w:rPr>
      </w:pPr>
    </w:p>
    <w:p w14:paraId="58628411" w14:textId="660BDBCE" w:rsidR="008B6E60" w:rsidRPr="008609DA" w:rsidRDefault="00F85F04"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International Valuation Standards Council, 2020. International Valuation Standards, London: International Valuation Standards Council.</w:t>
      </w:r>
    </w:p>
    <w:p w14:paraId="0F4C9E21" w14:textId="77777777" w:rsidR="008609DA" w:rsidRDefault="008609DA" w:rsidP="00F3219A">
      <w:pPr>
        <w:pStyle w:val="Bibliography"/>
        <w:rPr>
          <w:rFonts w:ascii="Palatino Linotype" w:hAnsi="Palatino Linotype" w:cs="Arial"/>
          <w:noProof/>
          <w:sz w:val="22"/>
          <w:szCs w:val="22"/>
          <w:lang w:val="en-GB"/>
        </w:rPr>
      </w:pPr>
    </w:p>
    <w:p w14:paraId="2E89705F" w14:textId="0E3E2120"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International Valuation Standards Council (IVSC), 2021. International Valuation Standards (IVS 2021). [Online] Available at: </w:t>
      </w:r>
      <w:hyperlink r:id="rId15" w:history="1">
        <w:r w:rsidR="00FB2303" w:rsidRPr="00ED0158">
          <w:rPr>
            <w:rStyle w:val="Hyperlink"/>
            <w:rFonts w:ascii="Palatino Linotype" w:hAnsi="Palatino Linotype" w:cs="Arial"/>
            <w:noProof/>
            <w:sz w:val="22"/>
            <w:szCs w:val="22"/>
            <w:lang w:val="en-GB"/>
          </w:rPr>
          <w:t>https://ivsc.org/</w:t>
        </w:r>
      </w:hyperlink>
      <w:r w:rsidR="00FB2303">
        <w:rPr>
          <w:rFonts w:ascii="Palatino Linotype" w:hAnsi="Palatino Linotype" w:cs="Arial"/>
          <w:noProof/>
          <w:sz w:val="22"/>
          <w:szCs w:val="22"/>
          <w:u w:val="single"/>
          <w:lang w:val="en-GB"/>
        </w:rPr>
        <w:t xml:space="preserve"> </w:t>
      </w:r>
      <w:r w:rsidRPr="008609DA">
        <w:rPr>
          <w:rFonts w:ascii="Palatino Linotype" w:hAnsi="Palatino Linotype" w:cs="Arial"/>
          <w:noProof/>
          <w:sz w:val="22"/>
          <w:szCs w:val="22"/>
          <w:lang w:val="en-GB"/>
        </w:rPr>
        <w:t>[Accessed 25 March 2025].</w:t>
      </w:r>
    </w:p>
    <w:p w14:paraId="5299818D" w14:textId="77777777" w:rsidR="008609DA" w:rsidRDefault="008609DA" w:rsidP="00F3219A">
      <w:pPr>
        <w:pStyle w:val="Bibliography"/>
        <w:rPr>
          <w:rFonts w:ascii="Palatino Linotype" w:hAnsi="Palatino Linotype" w:cs="Arial"/>
          <w:noProof/>
          <w:sz w:val="22"/>
          <w:szCs w:val="22"/>
          <w:lang w:val="en-GB"/>
        </w:rPr>
      </w:pPr>
    </w:p>
    <w:p w14:paraId="08FC9152" w14:textId="5667439B"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Irene, C. &amp; Manya, M. 2021. Valuation problem in developing countries: A New Perspective. Land, 10(12), 1352.</w:t>
      </w:r>
      <w:r w:rsidR="00F85F04" w:rsidRPr="008609DA">
        <w:rPr>
          <w:rFonts w:ascii="Palatino Linotype" w:hAnsi="Palatino Linotype"/>
          <w:sz w:val="22"/>
          <w:szCs w:val="22"/>
          <w:lang w:val="en-GB"/>
        </w:rPr>
        <w:t xml:space="preserve"> </w:t>
      </w:r>
      <w:r w:rsidR="00F85F04" w:rsidRPr="008609DA">
        <w:rPr>
          <w:rFonts w:ascii="Palatino Linotype" w:hAnsi="Palatino Linotype" w:cs="Arial"/>
          <w:noProof/>
          <w:sz w:val="22"/>
          <w:szCs w:val="22"/>
          <w:lang w:val="en-GB"/>
        </w:rPr>
        <w:t>1352; https://doi.org/10.3390/land10121352</w:t>
      </w:r>
      <w:r w:rsidR="00023E7C" w:rsidRPr="008609DA">
        <w:rPr>
          <w:rFonts w:ascii="Palatino Linotype" w:hAnsi="Palatino Linotype" w:cs="Arial"/>
          <w:noProof/>
          <w:sz w:val="22"/>
          <w:szCs w:val="22"/>
          <w:lang w:val="en-GB"/>
        </w:rPr>
        <w:t>.</w:t>
      </w:r>
    </w:p>
    <w:p w14:paraId="6446B901" w14:textId="77777777" w:rsidR="00F3219A" w:rsidRDefault="00F3219A" w:rsidP="00F3219A">
      <w:pPr>
        <w:pStyle w:val="Bibliography"/>
        <w:rPr>
          <w:rFonts w:ascii="Palatino Linotype" w:hAnsi="Palatino Linotype" w:cs="Arial"/>
          <w:noProof/>
          <w:sz w:val="22"/>
          <w:szCs w:val="22"/>
          <w:lang w:val="en-GB"/>
        </w:rPr>
      </w:pPr>
    </w:p>
    <w:p w14:paraId="5F52AA82" w14:textId="432E5A30"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Irene, C. &amp; Mooya, M. 2022. Property valuation problems and market context - evidence from Kenya. Journal of Property Research, 40(5), pp. 1-25.</w:t>
      </w:r>
    </w:p>
    <w:p w14:paraId="586800DA" w14:textId="77777777" w:rsidR="00F3219A" w:rsidRDefault="00F3219A" w:rsidP="00F3219A">
      <w:pPr>
        <w:spacing w:after="0" w:line="240" w:lineRule="auto"/>
        <w:rPr>
          <w:rFonts w:ascii="Palatino Linotype" w:hAnsi="Palatino Linotype" w:cs="Arial"/>
          <w:color w:val="222222"/>
          <w:sz w:val="22"/>
          <w:szCs w:val="22"/>
          <w:shd w:val="clear" w:color="auto" w:fill="FFFFFF"/>
        </w:rPr>
      </w:pPr>
    </w:p>
    <w:p w14:paraId="32BD9337" w14:textId="083445D7" w:rsidR="00D57EBC" w:rsidRPr="008609DA" w:rsidRDefault="00D57EBC" w:rsidP="00F3219A">
      <w:pPr>
        <w:spacing w:after="0" w:line="240" w:lineRule="auto"/>
        <w:rPr>
          <w:rFonts w:ascii="Palatino Linotype" w:hAnsi="Palatino Linotype" w:cs="Arial"/>
          <w:color w:val="222222"/>
          <w:sz w:val="22"/>
          <w:szCs w:val="22"/>
          <w:shd w:val="clear" w:color="auto" w:fill="FFFFFF"/>
        </w:rPr>
      </w:pPr>
      <w:r w:rsidRPr="008609DA">
        <w:rPr>
          <w:rFonts w:ascii="Palatino Linotype" w:hAnsi="Palatino Linotype" w:cs="Arial"/>
          <w:color w:val="222222"/>
          <w:sz w:val="22"/>
          <w:szCs w:val="22"/>
          <w:shd w:val="clear" w:color="auto" w:fill="FFFFFF"/>
        </w:rPr>
        <w:t xml:space="preserve">Khan, A., Mohammadi, B., Nazari, M., </w:t>
      </w:r>
      <w:proofErr w:type="spellStart"/>
      <w:r w:rsidRPr="008609DA">
        <w:rPr>
          <w:rFonts w:ascii="Palatino Linotype" w:hAnsi="Palatino Linotype" w:cs="Arial"/>
          <w:color w:val="222222"/>
          <w:sz w:val="22"/>
          <w:szCs w:val="22"/>
          <w:shd w:val="clear" w:color="auto" w:fill="FFFFFF"/>
        </w:rPr>
        <w:t>Yousufzada</w:t>
      </w:r>
      <w:proofErr w:type="spellEnd"/>
      <w:r w:rsidRPr="008609DA">
        <w:rPr>
          <w:rFonts w:ascii="Palatino Linotype" w:hAnsi="Palatino Linotype" w:cs="Arial"/>
          <w:color w:val="222222"/>
          <w:sz w:val="22"/>
          <w:szCs w:val="22"/>
          <w:shd w:val="clear" w:color="auto" w:fill="FFFFFF"/>
        </w:rPr>
        <w:t xml:space="preserve">, N. and Fayazi, S. 2024. Short </w:t>
      </w:r>
      <w:r w:rsidR="000A3214" w:rsidRPr="008609DA">
        <w:rPr>
          <w:rFonts w:ascii="Palatino Linotype" w:hAnsi="Palatino Linotype" w:cs="Arial"/>
          <w:color w:val="222222"/>
          <w:sz w:val="22"/>
          <w:szCs w:val="22"/>
          <w:shd w:val="clear" w:color="auto" w:fill="FFFFFF"/>
        </w:rPr>
        <w:t>literature review</w:t>
      </w:r>
      <w:r w:rsidRPr="008609DA">
        <w:rPr>
          <w:rFonts w:ascii="Palatino Linotype" w:hAnsi="Palatino Linotype" w:cs="Arial"/>
          <w:color w:val="222222"/>
          <w:sz w:val="22"/>
          <w:szCs w:val="22"/>
          <w:shd w:val="clear" w:color="auto" w:fill="FFFFFF"/>
        </w:rPr>
        <w:t xml:space="preserve">: Types </w:t>
      </w:r>
      <w:r w:rsidR="000A3214" w:rsidRPr="008609DA">
        <w:rPr>
          <w:rFonts w:ascii="Palatino Linotype" w:hAnsi="Palatino Linotype" w:cs="Arial"/>
          <w:color w:val="222222"/>
          <w:sz w:val="22"/>
          <w:szCs w:val="22"/>
          <w:shd w:val="clear" w:color="auto" w:fill="FFFFFF"/>
        </w:rPr>
        <w:t>of questionnaires in research</w:t>
      </w:r>
      <w:r w:rsidRPr="008609DA">
        <w:rPr>
          <w:rFonts w:ascii="Palatino Linotype" w:hAnsi="Palatino Linotype" w:cs="Arial"/>
          <w:color w:val="222222"/>
          <w:sz w:val="22"/>
          <w:szCs w:val="22"/>
          <w:shd w:val="clear" w:color="auto" w:fill="FFFFFF"/>
        </w:rPr>
        <w:t>. Jour Med Resh and Health Sci, 7(10), pp.3224-3230.</w:t>
      </w:r>
    </w:p>
    <w:p w14:paraId="6ECC72A1" w14:textId="77777777" w:rsidR="00F3219A" w:rsidRDefault="00F3219A" w:rsidP="00F3219A">
      <w:pPr>
        <w:spacing w:after="0" w:line="240" w:lineRule="auto"/>
        <w:rPr>
          <w:rFonts w:ascii="Palatino Linotype" w:hAnsi="Palatino Linotype" w:cs="Arial"/>
          <w:color w:val="222222"/>
          <w:sz w:val="22"/>
          <w:szCs w:val="22"/>
          <w:shd w:val="clear" w:color="auto" w:fill="FFFFFF"/>
        </w:rPr>
      </w:pPr>
    </w:p>
    <w:p w14:paraId="3418D0E2" w14:textId="28F58A6E" w:rsidR="00F92563" w:rsidRPr="008609DA" w:rsidRDefault="00F92563" w:rsidP="00F3219A">
      <w:pPr>
        <w:spacing w:after="0" w:line="240" w:lineRule="auto"/>
        <w:rPr>
          <w:rFonts w:ascii="Palatino Linotype" w:hAnsi="Palatino Linotype"/>
          <w:sz w:val="22"/>
          <w:szCs w:val="22"/>
          <w:lang w:val="en-GB"/>
        </w:rPr>
      </w:pPr>
      <w:proofErr w:type="spellStart"/>
      <w:r w:rsidRPr="008609DA">
        <w:rPr>
          <w:rFonts w:ascii="Palatino Linotype" w:hAnsi="Palatino Linotype" w:cs="Arial"/>
          <w:color w:val="222222"/>
          <w:sz w:val="22"/>
          <w:szCs w:val="22"/>
          <w:shd w:val="clear" w:color="auto" w:fill="FFFFFF"/>
        </w:rPr>
        <w:t>Konashevych</w:t>
      </w:r>
      <w:proofErr w:type="spellEnd"/>
      <w:r w:rsidRPr="008609DA">
        <w:rPr>
          <w:rFonts w:ascii="Palatino Linotype" w:hAnsi="Palatino Linotype" w:cs="Arial"/>
          <w:color w:val="222222"/>
          <w:sz w:val="22"/>
          <w:szCs w:val="22"/>
          <w:shd w:val="clear" w:color="auto" w:fill="FFFFFF"/>
        </w:rPr>
        <w:t>, O. 2020. Constraints and benefits of the blockchain use for real estate and property rights. Journal of Property, Planning and Environmental Law, 12(2), pp.109-127.</w:t>
      </w:r>
    </w:p>
    <w:p w14:paraId="2FDCEFC3" w14:textId="07C194DA" w:rsidR="00F85F04"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Kolankov, S. V. 2023. Standardization of </w:t>
      </w:r>
      <w:r w:rsidR="00F85F04" w:rsidRPr="008609DA">
        <w:rPr>
          <w:rFonts w:ascii="Palatino Linotype" w:hAnsi="Palatino Linotype" w:cs="Arial"/>
          <w:noProof/>
          <w:sz w:val="22"/>
          <w:szCs w:val="22"/>
          <w:lang w:val="en-GB"/>
        </w:rPr>
        <w:t>valuation activities in the field of property</w:t>
      </w:r>
      <w:r w:rsidRPr="008609DA">
        <w:rPr>
          <w:rFonts w:ascii="Palatino Linotype" w:hAnsi="Palatino Linotype" w:cs="Arial"/>
          <w:noProof/>
          <w:sz w:val="22"/>
          <w:szCs w:val="22"/>
          <w:lang w:val="en-GB"/>
        </w:rPr>
        <w:t>. E3S Web of Conferences, 460(3), pp. 1-13.</w:t>
      </w:r>
    </w:p>
    <w:p w14:paraId="72C96B72" w14:textId="77777777" w:rsidR="00F3219A" w:rsidRDefault="00F3219A" w:rsidP="00F3219A">
      <w:pPr>
        <w:spacing w:after="0" w:line="240" w:lineRule="auto"/>
        <w:rPr>
          <w:rFonts w:ascii="Palatino Linotype" w:hAnsi="Palatino Linotype" w:cs="Arial"/>
          <w:sz w:val="22"/>
          <w:szCs w:val="22"/>
          <w:lang w:val="en-GB"/>
        </w:rPr>
      </w:pPr>
    </w:p>
    <w:p w14:paraId="0017EE05" w14:textId="34566E12" w:rsidR="008B6E60" w:rsidRPr="008609DA" w:rsidRDefault="008B6E6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t xml:space="preserve">Li, L. &amp; Wan, W. X. 2021. The effect of expected losses on the Hong Kong property market. The Journal of Real Estate Finance and Economics, 68, pp. 654-683. </w:t>
      </w:r>
    </w:p>
    <w:p w14:paraId="1681F57E" w14:textId="77777777" w:rsidR="00F3219A" w:rsidRDefault="00F3219A" w:rsidP="00F3219A">
      <w:pPr>
        <w:spacing w:after="0" w:line="240" w:lineRule="auto"/>
        <w:rPr>
          <w:rFonts w:ascii="Palatino Linotype" w:hAnsi="Palatino Linotype" w:cs="Arial"/>
          <w:color w:val="343A40"/>
          <w:sz w:val="22"/>
          <w:szCs w:val="22"/>
          <w:shd w:val="clear" w:color="auto" w:fill="FFFFFF"/>
        </w:rPr>
      </w:pPr>
    </w:p>
    <w:p w14:paraId="52954C32" w14:textId="342BFC7C" w:rsidR="007E149C" w:rsidRPr="008609DA" w:rsidRDefault="007E149C" w:rsidP="00F3219A">
      <w:pPr>
        <w:spacing w:after="0" w:line="240" w:lineRule="auto"/>
        <w:rPr>
          <w:rFonts w:ascii="Palatino Linotype" w:hAnsi="Palatino Linotype" w:cs="Arial"/>
          <w:sz w:val="22"/>
          <w:szCs w:val="22"/>
          <w:lang w:val="en-GB"/>
        </w:rPr>
      </w:pPr>
      <w:r w:rsidRPr="008609DA">
        <w:rPr>
          <w:rFonts w:ascii="Palatino Linotype" w:hAnsi="Palatino Linotype" w:cs="Arial"/>
          <w:color w:val="343A40"/>
          <w:sz w:val="22"/>
          <w:szCs w:val="22"/>
          <w:shd w:val="clear" w:color="auto" w:fill="FFFFFF"/>
        </w:rPr>
        <w:t>Magagula, B. 2025. The state of the property market in the Kingdom of Eswatini: trends since independence. Unpublished dissertation, University of Cape Town, Faculty of Engineering and the Built Environment, Department of Construction Economics and Management. </w:t>
      </w:r>
      <w:hyperlink r:id="rId16" w:history="1">
        <w:r w:rsidRPr="008609DA">
          <w:rPr>
            <w:rStyle w:val="Hyperlink"/>
            <w:rFonts w:ascii="Palatino Linotype" w:hAnsi="Palatino Linotype" w:cs="Arial"/>
            <w:color w:val="207698"/>
            <w:sz w:val="22"/>
            <w:szCs w:val="22"/>
            <w:shd w:val="clear" w:color="auto" w:fill="FFFFFF"/>
          </w:rPr>
          <w:t>http://hdl.handle.net/11427/42072</w:t>
        </w:r>
      </w:hyperlink>
      <w:r w:rsidR="00483986" w:rsidRPr="008609DA">
        <w:rPr>
          <w:rFonts w:ascii="Palatino Linotype" w:hAnsi="Palatino Linotype" w:cs="Arial"/>
          <w:sz w:val="22"/>
          <w:szCs w:val="22"/>
        </w:rPr>
        <w:t>.</w:t>
      </w:r>
    </w:p>
    <w:p w14:paraId="29DF218D" w14:textId="77777777" w:rsidR="00F3219A" w:rsidRDefault="00F3219A" w:rsidP="00F3219A">
      <w:pPr>
        <w:spacing w:after="0" w:line="240" w:lineRule="auto"/>
        <w:rPr>
          <w:rFonts w:ascii="Palatino Linotype" w:eastAsia="Times New Roman" w:hAnsi="Palatino Linotype" w:cs="Arial"/>
          <w:color w:val="222222"/>
          <w:kern w:val="0"/>
          <w:sz w:val="22"/>
          <w:szCs w:val="22"/>
          <w:shd w:val="clear" w:color="auto" w:fill="FFFFFF"/>
          <w:lang w:val="en-GB"/>
          <w14:ligatures w14:val="none"/>
        </w:rPr>
      </w:pPr>
    </w:p>
    <w:p w14:paraId="0308D8CD" w14:textId="00ED4790" w:rsidR="00F408D0" w:rsidRPr="008609DA" w:rsidRDefault="00F85F04" w:rsidP="00F3219A">
      <w:pPr>
        <w:spacing w:after="0" w:line="240" w:lineRule="auto"/>
        <w:rPr>
          <w:rFonts w:ascii="Palatino Linotype" w:hAnsi="Palatino Linotype" w:cs="Arial"/>
          <w:sz w:val="22"/>
          <w:szCs w:val="22"/>
          <w:lang w:val="en-GB"/>
        </w:rPr>
      </w:pPr>
      <w:proofErr w:type="spellStart"/>
      <w:r w:rsidRPr="008609DA">
        <w:rPr>
          <w:rFonts w:ascii="Palatino Linotype" w:eastAsia="Times New Roman" w:hAnsi="Palatino Linotype" w:cs="Arial"/>
          <w:color w:val="222222"/>
          <w:kern w:val="0"/>
          <w:sz w:val="22"/>
          <w:szCs w:val="22"/>
          <w:shd w:val="clear" w:color="auto" w:fill="FFFFFF"/>
          <w:lang w:val="en-GB"/>
          <w14:ligatures w14:val="none"/>
        </w:rPr>
        <w:t>Mohajan</w:t>
      </w:r>
      <w:proofErr w:type="spellEnd"/>
      <w:r w:rsidRPr="008609DA">
        <w:rPr>
          <w:rFonts w:ascii="Palatino Linotype" w:eastAsia="Times New Roman" w:hAnsi="Palatino Linotype" w:cs="Arial"/>
          <w:color w:val="222222"/>
          <w:kern w:val="0"/>
          <w:sz w:val="22"/>
          <w:szCs w:val="22"/>
          <w:shd w:val="clear" w:color="auto" w:fill="FFFFFF"/>
          <w:lang w:val="en-GB"/>
          <w14:ligatures w14:val="none"/>
        </w:rPr>
        <w:t>, H., 2017. Two criteria for good measurements in research. Validity and Reliability, 17(3), pp.28-</w:t>
      </w:r>
      <w:r w:rsidR="00F408D0" w:rsidRPr="008609DA">
        <w:rPr>
          <w:rFonts w:ascii="Palatino Linotype" w:eastAsia="Times New Roman" w:hAnsi="Palatino Linotype" w:cs="Arial"/>
          <w:color w:val="222222"/>
          <w:kern w:val="0"/>
          <w:sz w:val="22"/>
          <w:szCs w:val="22"/>
          <w:shd w:val="clear" w:color="auto" w:fill="FFFFFF"/>
          <w:lang w:val="en-GB"/>
          <w14:ligatures w14:val="none"/>
        </w:rPr>
        <w:t>82.</w:t>
      </w:r>
      <w:r w:rsidR="00F408D0" w:rsidRPr="008609DA">
        <w:rPr>
          <w:rFonts w:ascii="Palatino Linotype" w:hAnsi="Palatino Linotype" w:cs="Arial"/>
          <w:sz w:val="22"/>
          <w:szCs w:val="22"/>
          <w:lang w:val="en-GB"/>
        </w:rPr>
        <w:t xml:space="preserve"> </w:t>
      </w:r>
    </w:p>
    <w:p w14:paraId="68FF4CE8" w14:textId="77777777" w:rsidR="00F3219A" w:rsidRDefault="00F3219A" w:rsidP="00F3219A">
      <w:pPr>
        <w:spacing w:after="0" w:line="240" w:lineRule="auto"/>
        <w:rPr>
          <w:rFonts w:ascii="Palatino Linotype" w:hAnsi="Palatino Linotype" w:cs="Arial"/>
          <w:sz w:val="22"/>
          <w:szCs w:val="22"/>
          <w:lang w:val="en-GB"/>
        </w:rPr>
      </w:pPr>
    </w:p>
    <w:p w14:paraId="355578A6" w14:textId="18DCC85D" w:rsidR="008B6E60" w:rsidRPr="008609DA" w:rsidRDefault="00F408D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t>Mulenga</w:t>
      </w:r>
      <w:r w:rsidR="008B6E60" w:rsidRPr="008609DA">
        <w:rPr>
          <w:rFonts w:ascii="Palatino Linotype" w:hAnsi="Palatino Linotype" w:cs="Arial"/>
          <w:sz w:val="22"/>
          <w:szCs w:val="22"/>
          <w:lang w:val="en-GB"/>
        </w:rPr>
        <w:t>, C. 2019. Data sharing efficiency on the Zambian residential property market: Cas study of Lusaka. African Journal of Land Policy and Geospatial Sciences, 2(3), pp. 144-163.</w:t>
      </w:r>
    </w:p>
    <w:p w14:paraId="30E13513" w14:textId="77777777" w:rsidR="00F3219A" w:rsidRDefault="00F3219A" w:rsidP="00F3219A">
      <w:pPr>
        <w:pStyle w:val="Bibliography"/>
        <w:rPr>
          <w:rFonts w:ascii="Palatino Linotype" w:hAnsi="Palatino Linotype" w:cs="Arial"/>
          <w:noProof/>
          <w:sz w:val="22"/>
          <w:szCs w:val="22"/>
          <w:lang w:val="en-GB"/>
        </w:rPr>
      </w:pPr>
    </w:p>
    <w:p w14:paraId="1127BD5C" w14:textId="2536582B"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Narayan, S. &amp; Biswas, S. S. 2020. Opportunities </w:t>
      </w:r>
      <w:r w:rsidR="00F85F04" w:rsidRPr="008609DA">
        <w:rPr>
          <w:rFonts w:ascii="Palatino Linotype" w:hAnsi="Palatino Linotype" w:cs="Arial"/>
          <w:noProof/>
          <w:sz w:val="22"/>
          <w:szCs w:val="22"/>
          <w:lang w:val="en-GB"/>
        </w:rPr>
        <w:t xml:space="preserve">and challenges of implementing the international valuation standards in </w:t>
      </w:r>
      <w:r w:rsidRPr="008609DA">
        <w:rPr>
          <w:rFonts w:ascii="Palatino Linotype" w:hAnsi="Palatino Linotype" w:cs="Arial"/>
          <w:noProof/>
          <w:sz w:val="22"/>
          <w:szCs w:val="22"/>
          <w:lang w:val="en-GB"/>
        </w:rPr>
        <w:t>Fiji. The Journal of Pacific Studies, 40(1), pp. 59-80.</w:t>
      </w:r>
    </w:p>
    <w:p w14:paraId="73BB3783" w14:textId="77777777" w:rsidR="00F3219A" w:rsidRDefault="00F3219A" w:rsidP="00F3219A">
      <w:pPr>
        <w:pStyle w:val="Bibliography"/>
        <w:rPr>
          <w:rFonts w:ascii="Palatino Linotype" w:hAnsi="Palatino Linotype" w:cs="Arial"/>
          <w:noProof/>
          <w:sz w:val="22"/>
          <w:szCs w:val="22"/>
          <w:lang w:val="en-GB"/>
        </w:rPr>
      </w:pPr>
    </w:p>
    <w:p w14:paraId="369EDB73" w14:textId="4ABDF05F"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OECD, 2019. Enhancing access to and sharing of data - reconciling risks and benefits for data re-use across societies. Paris: OECD publishing.</w:t>
      </w:r>
    </w:p>
    <w:p w14:paraId="6B7F552F" w14:textId="77777777" w:rsidR="00F3219A" w:rsidRDefault="00F3219A" w:rsidP="00F3219A">
      <w:pPr>
        <w:pStyle w:val="Bibliography"/>
        <w:rPr>
          <w:rFonts w:ascii="Palatino Linotype" w:hAnsi="Palatino Linotype" w:cs="Arial"/>
          <w:noProof/>
          <w:sz w:val="22"/>
          <w:szCs w:val="22"/>
          <w:lang w:val="en-GB"/>
        </w:rPr>
      </w:pPr>
    </w:p>
    <w:p w14:paraId="78463959" w14:textId="704D95F9"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Oladokun, S. O. &amp; Mooya, M. M. 2024. Another look at data challenges in property valuation practice: A case of Lagos property marke. Journal of Property Investment &amp; Finance, 42(4), pp. 325-347.</w:t>
      </w:r>
    </w:p>
    <w:p w14:paraId="3D63410F" w14:textId="77777777" w:rsidR="00F3219A" w:rsidRDefault="00F3219A" w:rsidP="00F3219A">
      <w:pPr>
        <w:pStyle w:val="Bibliography"/>
        <w:rPr>
          <w:rFonts w:ascii="Palatino Linotype" w:hAnsi="Palatino Linotype" w:cs="Arial"/>
          <w:noProof/>
          <w:sz w:val="22"/>
          <w:szCs w:val="22"/>
          <w:lang w:val="en-GB"/>
        </w:rPr>
      </w:pPr>
    </w:p>
    <w:p w14:paraId="297226BE" w14:textId="0EF3E34A"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Olapade, D., Ekemode, B. G. &amp; Olaleye, A. 2019. Considerations for the design and management of property database in opaque markets. Journal of Property Investment and Finance, 27, pp. 445-454.</w:t>
      </w:r>
    </w:p>
    <w:p w14:paraId="268E228C" w14:textId="77777777" w:rsidR="00F3219A" w:rsidRDefault="00F3219A" w:rsidP="00F3219A">
      <w:pPr>
        <w:pStyle w:val="Bibliography"/>
        <w:rPr>
          <w:rFonts w:ascii="Palatino Linotype" w:hAnsi="Palatino Linotype" w:cs="Arial"/>
          <w:noProof/>
          <w:sz w:val="22"/>
          <w:szCs w:val="22"/>
          <w:lang w:val="en-GB"/>
        </w:rPr>
      </w:pPr>
      <w:bookmarkStart w:id="47" w:name="_Hlk213612370"/>
    </w:p>
    <w:p w14:paraId="45F670DD" w14:textId="23C3B89D"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Olapade, D. &amp; Olaleye, A. 2017</w:t>
      </w:r>
      <w:bookmarkEnd w:id="47"/>
      <w:r w:rsidRPr="008609DA">
        <w:rPr>
          <w:rFonts w:ascii="Palatino Linotype" w:hAnsi="Palatino Linotype" w:cs="Arial"/>
          <w:noProof/>
          <w:sz w:val="22"/>
          <w:szCs w:val="22"/>
          <w:lang w:val="en-GB"/>
        </w:rPr>
        <w:t>. Resolving the data debacle in commercial property. Journal of Property Investmenet and Finance, 36(3), pp. 295-304.</w:t>
      </w:r>
    </w:p>
    <w:p w14:paraId="0CA55156" w14:textId="77777777" w:rsidR="00F3219A" w:rsidRDefault="00F3219A" w:rsidP="00F3219A">
      <w:pPr>
        <w:pStyle w:val="Bibliography"/>
        <w:rPr>
          <w:rFonts w:ascii="Palatino Linotype" w:hAnsi="Palatino Linotype" w:cs="Arial"/>
          <w:noProof/>
          <w:sz w:val="22"/>
          <w:szCs w:val="22"/>
          <w:lang w:val="en-GB"/>
        </w:rPr>
      </w:pPr>
    </w:p>
    <w:p w14:paraId="3B44567F" w14:textId="35D02196"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Olapade, D. &amp; Olaleye, A. 2019. Factors affecting accessibility to property data in an opaque market. Emerald Insight, 37(I), pp. 82-96.</w:t>
      </w:r>
    </w:p>
    <w:p w14:paraId="2818299D" w14:textId="77777777" w:rsidR="00F3219A" w:rsidRDefault="00F3219A" w:rsidP="00F3219A">
      <w:pPr>
        <w:pStyle w:val="Bibliography"/>
        <w:rPr>
          <w:rFonts w:ascii="Palatino Linotype" w:hAnsi="Palatino Linotype" w:cs="Arial"/>
          <w:noProof/>
          <w:sz w:val="22"/>
          <w:szCs w:val="22"/>
          <w:lang w:val="en-GB"/>
        </w:rPr>
      </w:pPr>
    </w:p>
    <w:p w14:paraId="58E7D942" w14:textId="3D2DFB8D"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Olapade, D. T. &amp; Olaleye, A. 2018. Factors affecting accessibility to property data in an opaque market. Property Management , 37(1), pp. 82-96.</w:t>
      </w:r>
    </w:p>
    <w:p w14:paraId="4424E818" w14:textId="77777777" w:rsidR="00F3219A" w:rsidRDefault="00F3219A" w:rsidP="00F3219A">
      <w:pPr>
        <w:pStyle w:val="Bibliography"/>
        <w:rPr>
          <w:rFonts w:ascii="Palatino Linotype" w:hAnsi="Palatino Linotype" w:cs="Arial"/>
          <w:noProof/>
          <w:sz w:val="22"/>
          <w:szCs w:val="22"/>
          <w:lang w:val="en-GB"/>
        </w:rPr>
      </w:pPr>
    </w:p>
    <w:p w14:paraId="31D25813" w14:textId="42013A43"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Onwuanyi, N. 2020. A </w:t>
      </w:r>
      <w:r w:rsidR="00EC3570" w:rsidRPr="008609DA">
        <w:rPr>
          <w:rFonts w:ascii="Palatino Linotype" w:hAnsi="Palatino Linotype" w:cs="Arial"/>
          <w:noProof/>
          <w:sz w:val="22"/>
          <w:szCs w:val="22"/>
          <w:lang w:val="en-GB"/>
        </w:rPr>
        <w:t xml:space="preserve">review of the property data challenge </w:t>
      </w:r>
      <w:r w:rsidRPr="008609DA">
        <w:rPr>
          <w:rFonts w:ascii="Palatino Linotype" w:hAnsi="Palatino Linotype" w:cs="Arial"/>
          <w:noProof/>
          <w:sz w:val="22"/>
          <w:szCs w:val="22"/>
          <w:lang w:val="en-GB"/>
        </w:rPr>
        <w:t>in Nigeria. Journal of African Real Estate Research, 5(2), pp. 15-40.</w:t>
      </w:r>
    </w:p>
    <w:p w14:paraId="3736098C" w14:textId="77777777" w:rsidR="00F3219A" w:rsidRDefault="00F3219A" w:rsidP="00F3219A">
      <w:pPr>
        <w:spacing w:after="0" w:line="240" w:lineRule="auto"/>
        <w:rPr>
          <w:rFonts w:ascii="Palatino Linotype" w:hAnsi="Palatino Linotype" w:cs="Arial"/>
          <w:sz w:val="22"/>
          <w:szCs w:val="22"/>
          <w:lang w:val="en-GB"/>
        </w:rPr>
      </w:pPr>
    </w:p>
    <w:p w14:paraId="539F0142" w14:textId="56E8ACB2" w:rsidR="008B6E60" w:rsidRPr="008609DA" w:rsidRDefault="008B6E6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t xml:space="preserve">Personal Data Protection Commission, 2019. Trusted </w:t>
      </w:r>
      <w:r w:rsidR="00EC3570" w:rsidRPr="008609DA">
        <w:rPr>
          <w:rFonts w:ascii="Palatino Linotype" w:hAnsi="Palatino Linotype" w:cs="Arial"/>
          <w:sz w:val="22"/>
          <w:szCs w:val="22"/>
          <w:lang w:val="en-GB"/>
        </w:rPr>
        <w:t>data sharing framework</w:t>
      </w:r>
      <w:r w:rsidRPr="008609DA">
        <w:rPr>
          <w:rFonts w:ascii="Palatino Linotype" w:hAnsi="Palatino Linotype" w:cs="Arial"/>
          <w:sz w:val="22"/>
          <w:szCs w:val="22"/>
          <w:lang w:val="en-GB"/>
        </w:rPr>
        <w:t>, Singapore: Infocom Media Development Authority.</w:t>
      </w:r>
    </w:p>
    <w:p w14:paraId="702FA2E1" w14:textId="77777777" w:rsidR="00F3219A" w:rsidRDefault="00F3219A" w:rsidP="00F3219A">
      <w:pPr>
        <w:pStyle w:val="Bibliography"/>
        <w:rPr>
          <w:rFonts w:ascii="Palatino Linotype" w:hAnsi="Palatino Linotype" w:cs="Arial"/>
          <w:noProof/>
          <w:sz w:val="22"/>
          <w:szCs w:val="22"/>
          <w:lang w:val="en-GB"/>
        </w:rPr>
      </w:pPr>
    </w:p>
    <w:p w14:paraId="1D7910F2" w14:textId="2F191461"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Royal Institution of Chartered Surveyors, 2022. The Bichard Review: RICS Governance Review, London: Royal Institution of Chartered Surveyors.</w:t>
      </w:r>
    </w:p>
    <w:p w14:paraId="38A5A034" w14:textId="77777777" w:rsidR="00A2372A" w:rsidRDefault="00A2372A" w:rsidP="00F3219A">
      <w:pPr>
        <w:pStyle w:val="Bibliography"/>
        <w:rPr>
          <w:rFonts w:ascii="Palatino Linotype" w:hAnsi="Palatino Linotype" w:cs="Arial"/>
          <w:noProof/>
          <w:sz w:val="22"/>
          <w:szCs w:val="22"/>
          <w:lang w:val="en-GB"/>
        </w:rPr>
      </w:pPr>
    </w:p>
    <w:p w14:paraId="361F50FC" w14:textId="00F10050"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Royal Institution of Chartered Surveyors, 2019. Valuation of individual trade related properties. 2nd ed. London: RICS.</w:t>
      </w:r>
    </w:p>
    <w:p w14:paraId="2441EA87" w14:textId="77777777" w:rsidR="00A2372A" w:rsidRDefault="00A2372A" w:rsidP="00F3219A">
      <w:pPr>
        <w:spacing w:after="0" w:line="240" w:lineRule="auto"/>
        <w:rPr>
          <w:rFonts w:ascii="Palatino Linotype" w:hAnsi="Palatino Linotype" w:cs="Arial"/>
          <w:sz w:val="22"/>
          <w:szCs w:val="22"/>
          <w:lang w:val="en-GB"/>
        </w:rPr>
      </w:pPr>
    </w:p>
    <w:p w14:paraId="4A61C400" w14:textId="44FFCC00" w:rsidR="004740CB" w:rsidRPr="008609DA" w:rsidRDefault="004740CB" w:rsidP="00F3219A">
      <w:pPr>
        <w:spacing w:after="0" w:line="240" w:lineRule="auto"/>
        <w:rPr>
          <w:rFonts w:ascii="Palatino Linotype" w:hAnsi="Palatino Linotype" w:cs="Arial"/>
          <w:sz w:val="22"/>
          <w:szCs w:val="22"/>
          <w:lang w:val="en-GB"/>
        </w:rPr>
      </w:pPr>
      <w:proofErr w:type="spellStart"/>
      <w:r w:rsidRPr="008609DA">
        <w:rPr>
          <w:rFonts w:ascii="Palatino Linotype" w:hAnsi="Palatino Linotype" w:cs="Arial"/>
          <w:sz w:val="22"/>
          <w:szCs w:val="22"/>
          <w:lang w:val="en-GB"/>
        </w:rPr>
        <w:t>Seketeme</w:t>
      </w:r>
      <w:proofErr w:type="spellEnd"/>
      <w:r w:rsidRPr="008609DA">
        <w:rPr>
          <w:rFonts w:ascii="Palatino Linotype" w:hAnsi="Palatino Linotype" w:cs="Arial"/>
          <w:sz w:val="22"/>
          <w:szCs w:val="22"/>
          <w:lang w:val="en-GB"/>
        </w:rPr>
        <w:t xml:space="preserve">, K.O. and </w:t>
      </w:r>
      <w:proofErr w:type="spellStart"/>
      <w:r w:rsidRPr="008609DA">
        <w:rPr>
          <w:rFonts w:ascii="Palatino Linotype" w:hAnsi="Palatino Linotype" w:cs="Arial"/>
          <w:sz w:val="22"/>
          <w:szCs w:val="22"/>
          <w:lang w:val="en-GB"/>
        </w:rPr>
        <w:t>Munshifwa</w:t>
      </w:r>
      <w:proofErr w:type="spellEnd"/>
      <w:r w:rsidRPr="008609DA">
        <w:rPr>
          <w:rFonts w:ascii="Palatino Linotype" w:hAnsi="Palatino Linotype" w:cs="Arial"/>
          <w:sz w:val="22"/>
          <w:szCs w:val="22"/>
          <w:lang w:val="en-GB"/>
        </w:rPr>
        <w:t xml:space="preserve">, E.K. 2025. Property valuation, new technologies and digitalization challenges in Botswana. Real Estate Management and Valuation. Ahead of Print, </w:t>
      </w:r>
      <w:hyperlink r:id="rId17" w:history="1">
        <w:r w:rsidRPr="008609DA">
          <w:rPr>
            <w:rStyle w:val="Hyperlink"/>
            <w:rFonts w:ascii="Palatino Linotype" w:hAnsi="Palatino Linotype" w:cs="Arial"/>
            <w:sz w:val="22"/>
            <w:szCs w:val="22"/>
            <w:lang w:val="en-GB"/>
          </w:rPr>
          <w:t>https://doi.org/10.2478/remav-2025-0036</w:t>
        </w:r>
      </w:hyperlink>
      <w:r w:rsidRPr="008609DA">
        <w:rPr>
          <w:rFonts w:ascii="Palatino Linotype" w:hAnsi="Palatino Linotype" w:cs="Arial"/>
          <w:sz w:val="22"/>
          <w:szCs w:val="22"/>
          <w:lang w:val="en-GB"/>
        </w:rPr>
        <w:t xml:space="preserve">. </w:t>
      </w:r>
    </w:p>
    <w:p w14:paraId="12FED832" w14:textId="77777777" w:rsidR="00A2372A" w:rsidRDefault="00A2372A" w:rsidP="00F3219A">
      <w:pPr>
        <w:spacing w:after="0" w:line="240" w:lineRule="auto"/>
        <w:rPr>
          <w:rFonts w:ascii="Palatino Linotype" w:hAnsi="Palatino Linotype" w:cs="Arial"/>
          <w:sz w:val="22"/>
          <w:szCs w:val="22"/>
          <w:lang w:val="en-GB"/>
        </w:rPr>
      </w:pPr>
    </w:p>
    <w:p w14:paraId="4895AD20" w14:textId="0FCEFE4F" w:rsidR="008B6E60" w:rsidRPr="008609DA" w:rsidRDefault="008B6E60" w:rsidP="00F3219A">
      <w:pPr>
        <w:spacing w:after="0" w:line="240" w:lineRule="auto"/>
        <w:rPr>
          <w:rFonts w:ascii="Palatino Linotype" w:hAnsi="Palatino Linotype" w:cs="Arial"/>
          <w:sz w:val="22"/>
          <w:szCs w:val="22"/>
          <w:lang w:val="en-GB"/>
        </w:rPr>
      </w:pPr>
      <w:r w:rsidRPr="008609DA">
        <w:rPr>
          <w:rFonts w:ascii="Palatino Linotype" w:hAnsi="Palatino Linotype" w:cs="Arial"/>
          <w:sz w:val="22"/>
          <w:szCs w:val="22"/>
          <w:lang w:val="en-GB"/>
        </w:rPr>
        <w:t>Singh, A.S. &amp; Masuku, M.B. 2014. Sampling techniques &amp; determination of sample size in applied statistics research: An overview. International Journal of Economics, Commerce and Management, 2(11), pp. 1-22.</w:t>
      </w:r>
    </w:p>
    <w:p w14:paraId="29987B82" w14:textId="77777777" w:rsidR="00A2372A" w:rsidRDefault="00A2372A" w:rsidP="00F3219A">
      <w:pPr>
        <w:pStyle w:val="Bibliography"/>
        <w:rPr>
          <w:rFonts w:ascii="Palatino Linotype" w:hAnsi="Palatino Linotype" w:cs="Arial"/>
          <w:noProof/>
          <w:sz w:val="22"/>
          <w:szCs w:val="22"/>
          <w:lang w:val="en-GB"/>
        </w:rPr>
      </w:pPr>
    </w:p>
    <w:p w14:paraId="1FED30C9" w14:textId="55B8B22E"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South African Property Owners Association, 2005. Method of measuring floor areas in buildings, Pretoria: South African Property Owners Association .</w:t>
      </w:r>
    </w:p>
    <w:p w14:paraId="417862EB" w14:textId="77777777" w:rsidR="00A2372A" w:rsidRDefault="00A2372A" w:rsidP="00F3219A">
      <w:pPr>
        <w:pStyle w:val="Bibliography"/>
        <w:rPr>
          <w:rFonts w:ascii="Palatino Linotype" w:hAnsi="Palatino Linotype" w:cs="Arial"/>
          <w:noProof/>
          <w:sz w:val="22"/>
          <w:szCs w:val="22"/>
          <w:lang w:val="en-GB"/>
        </w:rPr>
      </w:pPr>
    </w:p>
    <w:p w14:paraId="616AB517" w14:textId="77777777" w:rsidR="00A2372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Spiecker genannt Dohmann, I. 2021. The legal framework for access to data from a data protection - especially under the GDPR. In: Wettbewerb &amp; M. Plank, eds. Data Access, </w:t>
      </w:r>
    </w:p>
    <w:p w14:paraId="2EEF97F4" w14:textId="77777777" w:rsidR="00A2372A" w:rsidRDefault="00A2372A" w:rsidP="00F3219A">
      <w:pPr>
        <w:pStyle w:val="Bibliography"/>
        <w:rPr>
          <w:rFonts w:ascii="Palatino Linotype" w:hAnsi="Palatino Linotype" w:cs="Arial"/>
          <w:noProof/>
          <w:sz w:val="22"/>
          <w:szCs w:val="22"/>
          <w:lang w:val="en-GB"/>
        </w:rPr>
      </w:pPr>
    </w:p>
    <w:p w14:paraId="53BB45D7" w14:textId="55B22984"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Consumer Interests and Public Welfare. Baden-Baden: Nomos Verlagsgesellschaft mbH &amp; Co. KG, pp. 175-208.</w:t>
      </w:r>
    </w:p>
    <w:p w14:paraId="04E73D2C" w14:textId="77777777" w:rsidR="00A2372A" w:rsidRDefault="00A2372A" w:rsidP="00F3219A">
      <w:pPr>
        <w:pStyle w:val="Bibliography"/>
        <w:rPr>
          <w:rFonts w:ascii="Palatino Linotype" w:hAnsi="Palatino Linotype" w:cs="Arial"/>
          <w:noProof/>
          <w:sz w:val="22"/>
          <w:szCs w:val="22"/>
          <w:lang w:val="en-GB"/>
        </w:rPr>
      </w:pPr>
    </w:p>
    <w:p w14:paraId="284995FB" w14:textId="4277B1A7"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Sri Lanka Government, 2022. Personal Data Protection Act No. 9 of 2022, Colombo: Ministry of Technology.</w:t>
      </w:r>
    </w:p>
    <w:p w14:paraId="33DAFA39" w14:textId="77777777" w:rsidR="00A2372A" w:rsidRDefault="00A2372A" w:rsidP="00F3219A">
      <w:pPr>
        <w:pStyle w:val="Bibliography"/>
        <w:rPr>
          <w:rFonts w:ascii="Palatino Linotype" w:hAnsi="Palatino Linotype" w:cs="Arial"/>
          <w:noProof/>
          <w:sz w:val="22"/>
          <w:szCs w:val="22"/>
          <w:lang w:val="en-GB"/>
        </w:rPr>
      </w:pPr>
    </w:p>
    <w:p w14:paraId="1836027A" w14:textId="38A52DCE"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The Appraisal Foundation, 2020. Uniform Standards of Professional Appraisal Practice, United States of America: The Appraisal Foundation.</w:t>
      </w:r>
    </w:p>
    <w:p w14:paraId="05DDAEEF" w14:textId="77777777" w:rsidR="00A2372A" w:rsidRDefault="00A2372A" w:rsidP="00F3219A">
      <w:pPr>
        <w:pStyle w:val="Bibliography"/>
        <w:rPr>
          <w:rFonts w:ascii="Palatino Linotype" w:hAnsi="Palatino Linotype" w:cs="Arial"/>
          <w:noProof/>
          <w:sz w:val="22"/>
          <w:szCs w:val="22"/>
          <w:lang w:val="en-GB"/>
        </w:rPr>
      </w:pPr>
    </w:p>
    <w:p w14:paraId="7130C684" w14:textId="72BE33FF"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Thomas, D. 2006. A general inductive approach for qualitative data analysis. American Journal of Evaluation, 27(2), pp. 237-246.</w:t>
      </w:r>
    </w:p>
    <w:p w14:paraId="491661CB" w14:textId="77777777" w:rsidR="00A2372A" w:rsidRDefault="00A2372A" w:rsidP="00F3219A">
      <w:pPr>
        <w:spacing w:after="0" w:line="240" w:lineRule="auto"/>
        <w:rPr>
          <w:rFonts w:ascii="Palatino Linotype" w:hAnsi="Palatino Linotype" w:cs="Arial"/>
          <w:color w:val="222222"/>
          <w:sz w:val="22"/>
          <w:szCs w:val="22"/>
          <w:shd w:val="clear" w:color="auto" w:fill="FFFFFF"/>
        </w:rPr>
      </w:pPr>
      <w:bookmarkStart w:id="48" w:name="_Hlk213612078"/>
    </w:p>
    <w:p w14:paraId="43C30571" w14:textId="2BB49073" w:rsidR="00A2372A" w:rsidRDefault="000E168B" w:rsidP="00F3219A">
      <w:pPr>
        <w:spacing w:after="0" w:line="240" w:lineRule="auto"/>
        <w:rPr>
          <w:rFonts w:ascii="Palatino Linotype" w:hAnsi="Palatino Linotype" w:cs="Arial"/>
          <w:color w:val="222222"/>
          <w:sz w:val="22"/>
          <w:szCs w:val="22"/>
          <w:shd w:val="clear" w:color="auto" w:fill="FFFFFF"/>
        </w:rPr>
      </w:pPr>
      <w:proofErr w:type="spellStart"/>
      <w:r w:rsidRPr="008609DA">
        <w:rPr>
          <w:rFonts w:ascii="Palatino Linotype" w:hAnsi="Palatino Linotype" w:cs="Arial"/>
          <w:color w:val="222222"/>
          <w:sz w:val="22"/>
          <w:szCs w:val="22"/>
          <w:shd w:val="clear" w:color="auto" w:fill="FFFFFF"/>
        </w:rPr>
        <w:t>Topraklı</w:t>
      </w:r>
      <w:proofErr w:type="spellEnd"/>
      <w:r w:rsidRPr="008609DA">
        <w:rPr>
          <w:rFonts w:ascii="Palatino Linotype" w:hAnsi="Palatino Linotype" w:cs="Arial"/>
          <w:color w:val="222222"/>
          <w:sz w:val="22"/>
          <w:szCs w:val="22"/>
          <w:shd w:val="clear" w:color="auto" w:fill="FFFFFF"/>
        </w:rPr>
        <w:t xml:space="preserve">, A.Y. 2025. </w:t>
      </w:r>
      <w:bookmarkEnd w:id="48"/>
      <w:r w:rsidRPr="008609DA">
        <w:rPr>
          <w:rFonts w:ascii="Palatino Linotype" w:hAnsi="Palatino Linotype" w:cs="Arial"/>
          <w:color w:val="222222"/>
          <w:sz w:val="22"/>
          <w:szCs w:val="22"/>
          <w:shd w:val="clear" w:color="auto" w:fill="FFFFFF"/>
        </w:rPr>
        <w:t xml:space="preserve">AI-driven valuation: A new era for real estate appraisal. Journal of </w:t>
      </w:r>
    </w:p>
    <w:p w14:paraId="3E286477" w14:textId="248CAC84" w:rsidR="000E168B" w:rsidRPr="008609DA" w:rsidRDefault="000E168B" w:rsidP="00F3219A">
      <w:pPr>
        <w:spacing w:after="0" w:line="240" w:lineRule="auto"/>
        <w:rPr>
          <w:rFonts w:ascii="Palatino Linotype" w:hAnsi="Palatino Linotype"/>
          <w:sz w:val="22"/>
          <w:szCs w:val="22"/>
          <w:lang w:val="en-GB"/>
        </w:rPr>
      </w:pPr>
      <w:r w:rsidRPr="008609DA">
        <w:rPr>
          <w:rFonts w:ascii="Palatino Linotype" w:hAnsi="Palatino Linotype" w:cs="Arial"/>
          <w:color w:val="222222"/>
          <w:sz w:val="22"/>
          <w:szCs w:val="22"/>
          <w:shd w:val="clear" w:color="auto" w:fill="FFFFFF"/>
        </w:rPr>
        <w:t>European Real Estate Research, 18(1), pp.105-120.</w:t>
      </w:r>
    </w:p>
    <w:p w14:paraId="304AE382" w14:textId="77777777" w:rsidR="00A2372A" w:rsidRDefault="00A2372A" w:rsidP="00F3219A">
      <w:pPr>
        <w:pStyle w:val="Bibliography"/>
        <w:rPr>
          <w:rFonts w:ascii="Palatino Linotype" w:hAnsi="Palatino Linotype" w:cs="Arial"/>
          <w:noProof/>
          <w:sz w:val="22"/>
          <w:szCs w:val="22"/>
          <w:lang w:val="en-GB"/>
        </w:rPr>
      </w:pPr>
    </w:p>
    <w:p w14:paraId="6E4A781B" w14:textId="7AB296AA"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Van Erp, S. 2017. Ownership of data: the numerus clausus of legal objects. Brigham-Kanner Property Rights Conference Journal, Issue 6, pp. 235-257.</w:t>
      </w:r>
    </w:p>
    <w:p w14:paraId="7AA38E7B" w14:textId="4A68F8F1" w:rsidR="00F92563" w:rsidRPr="008609DA" w:rsidRDefault="00F92563" w:rsidP="00F3219A">
      <w:pPr>
        <w:spacing w:after="0" w:line="240" w:lineRule="auto"/>
        <w:rPr>
          <w:rFonts w:ascii="Palatino Linotype" w:hAnsi="Palatino Linotype"/>
          <w:sz w:val="22"/>
          <w:szCs w:val="22"/>
          <w:lang w:val="en-GB"/>
        </w:rPr>
      </w:pPr>
      <w:proofErr w:type="spellStart"/>
      <w:r w:rsidRPr="008609DA">
        <w:rPr>
          <w:rFonts w:ascii="Palatino Linotype" w:hAnsi="Palatino Linotype" w:cs="Arial"/>
          <w:color w:val="222222"/>
          <w:sz w:val="22"/>
          <w:szCs w:val="22"/>
          <w:shd w:val="clear" w:color="auto" w:fill="FFFFFF"/>
        </w:rPr>
        <w:t>Veuger</w:t>
      </w:r>
      <w:proofErr w:type="spellEnd"/>
      <w:r w:rsidRPr="008609DA">
        <w:rPr>
          <w:rFonts w:ascii="Palatino Linotype" w:hAnsi="Palatino Linotype" w:cs="Arial"/>
          <w:color w:val="222222"/>
          <w:sz w:val="22"/>
          <w:szCs w:val="22"/>
          <w:shd w:val="clear" w:color="auto" w:fill="FFFFFF"/>
        </w:rPr>
        <w:t>, J. 2020. Dutch blockchain, real estate and land registration. Journal of Property, Planning and Environmental Law, 12(2), pp.93-108.</w:t>
      </w:r>
    </w:p>
    <w:p w14:paraId="4F34EEDF" w14:textId="77777777" w:rsidR="00A2372A" w:rsidRDefault="00A2372A" w:rsidP="00F3219A">
      <w:pPr>
        <w:pStyle w:val="Bibliography"/>
        <w:rPr>
          <w:rFonts w:ascii="Palatino Linotype" w:hAnsi="Palatino Linotype" w:cs="Arial"/>
          <w:noProof/>
          <w:sz w:val="22"/>
          <w:szCs w:val="22"/>
          <w:lang w:val="en-GB"/>
        </w:rPr>
      </w:pPr>
    </w:p>
    <w:p w14:paraId="0F4584D0" w14:textId="4406AD58"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 xml:space="preserve">Wang, C. &amp; Xiao, H. 2024. Challenges and </w:t>
      </w:r>
      <w:r w:rsidR="00EC3570" w:rsidRPr="008609DA">
        <w:rPr>
          <w:rFonts w:ascii="Palatino Linotype" w:hAnsi="Palatino Linotype" w:cs="Arial"/>
          <w:noProof/>
          <w:sz w:val="22"/>
          <w:szCs w:val="22"/>
          <w:lang w:val="en-GB"/>
        </w:rPr>
        <w:t xml:space="preserve">countermeasures to data sharing in </w:t>
      </w:r>
      <w:r w:rsidRPr="008609DA">
        <w:rPr>
          <w:rFonts w:ascii="Palatino Linotype" w:hAnsi="Palatino Linotype" w:cs="Arial"/>
          <w:noProof/>
          <w:sz w:val="22"/>
          <w:szCs w:val="22"/>
          <w:lang w:val="en-GB"/>
        </w:rPr>
        <w:t>the. Journal of Innovation and Development, 8(1), pp. 2958-4752.</w:t>
      </w:r>
    </w:p>
    <w:p w14:paraId="2F870CCD" w14:textId="77777777" w:rsidR="00A2372A" w:rsidRDefault="00A2372A" w:rsidP="00F3219A">
      <w:pPr>
        <w:pStyle w:val="Bibliography"/>
        <w:rPr>
          <w:rFonts w:ascii="Palatino Linotype" w:hAnsi="Palatino Linotype" w:cs="Arial"/>
          <w:noProof/>
          <w:sz w:val="22"/>
          <w:szCs w:val="22"/>
          <w:lang w:val="en-GB"/>
        </w:rPr>
      </w:pPr>
    </w:p>
    <w:p w14:paraId="475DAC9C" w14:textId="3CBCBC0D"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Wiebe, A. &amp; Dietrich, N. 2017. Open data protection: Study on legal barriers to open data sharing – Data protection and PSI. Göttingen: Universitätsverlag Göttingen.</w:t>
      </w:r>
    </w:p>
    <w:p w14:paraId="664A351A" w14:textId="77777777" w:rsidR="00A2372A" w:rsidRDefault="00A2372A" w:rsidP="00F3219A">
      <w:pPr>
        <w:pStyle w:val="Bibliography"/>
        <w:rPr>
          <w:rFonts w:ascii="Palatino Linotype" w:hAnsi="Palatino Linotype" w:cs="Arial"/>
          <w:noProof/>
          <w:sz w:val="22"/>
          <w:szCs w:val="22"/>
          <w:lang w:val="en-GB"/>
        </w:rPr>
      </w:pPr>
    </w:p>
    <w:p w14:paraId="6FB3B0F7" w14:textId="6B02D249" w:rsidR="008B6E60" w:rsidRPr="008609DA" w:rsidRDefault="008B6E60" w:rsidP="00F3219A">
      <w:pPr>
        <w:pStyle w:val="Bibliography"/>
        <w:rPr>
          <w:rFonts w:ascii="Palatino Linotype" w:hAnsi="Palatino Linotype" w:cs="Arial"/>
          <w:noProof/>
          <w:sz w:val="22"/>
          <w:szCs w:val="22"/>
          <w:lang w:val="en-GB"/>
        </w:rPr>
      </w:pPr>
      <w:r w:rsidRPr="008609DA">
        <w:rPr>
          <w:rFonts w:ascii="Palatino Linotype" w:hAnsi="Palatino Linotype" w:cs="Arial"/>
          <w:noProof/>
          <w:sz w:val="22"/>
          <w:szCs w:val="22"/>
          <w:lang w:val="en-GB"/>
        </w:rPr>
        <w:t>Williamson, I., Enemark, S., Wallace, J. &amp; Rajabifard, A. 2020. Land Administration for Sustainable Development. Redlands: Esri Press.</w:t>
      </w:r>
    </w:p>
    <w:p w14:paraId="299D40B5" w14:textId="77777777" w:rsidR="008B6E60" w:rsidRPr="008609DA" w:rsidRDefault="008B6E60" w:rsidP="00F3219A">
      <w:pPr>
        <w:spacing w:after="0" w:line="240" w:lineRule="auto"/>
        <w:rPr>
          <w:rFonts w:ascii="Palatino Linotype" w:hAnsi="Palatino Linotype" w:cs="Arial"/>
          <w:sz w:val="22"/>
          <w:szCs w:val="22"/>
          <w:lang w:val="en-GB"/>
        </w:rPr>
      </w:pPr>
    </w:p>
    <w:sectPr w:rsidR="008B6E60" w:rsidRPr="008609DA" w:rsidSect="00217A72">
      <w:headerReference w:type="default" r:id="rId18"/>
      <w:footerReference w:type="even" r:id="rId19"/>
      <w:footerReference w:type="default" r:id="rId20"/>
      <w:pgSz w:w="11906" w:h="16838"/>
      <w:pgMar w:top="1440" w:right="1440" w:bottom="1240" w:left="1440" w:header="708" w:footer="708"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00A9" w14:textId="77777777" w:rsidR="0011202E" w:rsidRDefault="0011202E" w:rsidP="00B46C2B">
      <w:pPr>
        <w:spacing w:after="0" w:line="240" w:lineRule="auto"/>
      </w:pPr>
      <w:r>
        <w:separator/>
      </w:r>
    </w:p>
  </w:endnote>
  <w:endnote w:type="continuationSeparator" w:id="0">
    <w:p w14:paraId="6103052D" w14:textId="77777777" w:rsidR="0011202E" w:rsidRDefault="0011202E" w:rsidP="00B4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5472362"/>
      <w:docPartObj>
        <w:docPartGallery w:val="Page Numbers (Bottom of Page)"/>
        <w:docPartUnique/>
      </w:docPartObj>
    </w:sdtPr>
    <w:sdtEndPr>
      <w:rPr>
        <w:rStyle w:val="PageNumber"/>
      </w:rPr>
    </w:sdtEndPr>
    <w:sdtContent>
      <w:p w14:paraId="1A4D62C2" w14:textId="15A9036F" w:rsidR="00217A72" w:rsidRDefault="00217A72"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673447" w14:textId="77777777" w:rsidR="00217A72" w:rsidRDefault="00217A72" w:rsidP="00217A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663004"/>
      <w:docPartObj>
        <w:docPartGallery w:val="Page Numbers (Bottom of Page)"/>
        <w:docPartUnique/>
      </w:docPartObj>
    </w:sdtPr>
    <w:sdtEndPr>
      <w:rPr>
        <w:rStyle w:val="PageNumber"/>
      </w:rPr>
    </w:sdtEndPr>
    <w:sdtContent>
      <w:p w14:paraId="0C554F8C" w14:textId="686D46BD" w:rsidR="00217A72" w:rsidRDefault="00217A72" w:rsidP="00ED01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noProof/>
          </w:rPr>
          <w:t>7</w:t>
        </w:r>
        <w:r>
          <w:rPr>
            <w:rStyle w:val="PageNumber"/>
          </w:rPr>
          <w:fldChar w:fldCharType="end"/>
        </w:r>
      </w:p>
    </w:sdtContent>
  </w:sdt>
  <w:p w14:paraId="24167362" w14:textId="77777777" w:rsidR="00217A72" w:rsidRDefault="00217A72" w:rsidP="00217A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9B42" w14:textId="77777777" w:rsidR="0011202E" w:rsidRDefault="0011202E" w:rsidP="00B46C2B">
      <w:pPr>
        <w:spacing w:after="0" w:line="240" w:lineRule="auto"/>
      </w:pPr>
      <w:r>
        <w:separator/>
      </w:r>
    </w:p>
  </w:footnote>
  <w:footnote w:type="continuationSeparator" w:id="0">
    <w:p w14:paraId="16520010" w14:textId="77777777" w:rsidR="0011202E" w:rsidRDefault="0011202E" w:rsidP="00B4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D24567" w14:paraId="73AE5FEB" w14:textId="77777777" w:rsidTr="00C810E1">
      <w:tc>
        <w:tcPr>
          <w:tcW w:w="7225" w:type="dxa"/>
          <w:vAlign w:val="bottom"/>
        </w:tcPr>
        <w:p w14:paraId="194A2BE3" w14:textId="77777777" w:rsidR="00D24567" w:rsidRPr="001C7896" w:rsidRDefault="00D24567" w:rsidP="00D24567">
          <w:pPr>
            <w:pStyle w:val="Header"/>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14:textOutline w14:w="9525" w14:cap="rnd" w14:cmpd="sng" w14:algn="ctr">
                <w14:noFill/>
                <w14:prstDash w14:val="solid"/>
                <w14:bevel/>
              </w14:textOutline>
            </w:rPr>
            <w:t>PACIFIC RIM PROPERTY RESEARCH JOURNAL</w:t>
          </w:r>
        </w:p>
        <w:p w14:paraId="4D82706A" w14:textId="5409C14D" w:rsidR="00D24567" w:rsidRPr="001C7896" w:rsidRDefault="00D24567" w:rsidP="00D24567">
          <w:pPr>
            <w:pStyle w:val="Header"/>
            <w:rPr>
              <w:rFonts w:ascii="Palatino Linotype" w:eastAsia="Palatino Linotype" w:hAnsi="Palatino Linotype" w:cs="Palatino Linotype"/>
              <w14:textOutline w14:w="9525" w14:cap="rnd" w14:cmpd="sng" w14:algn="ctr">
                <w14:noFill/>
                <w14:prstDash w14:val="solid"/>
                <w14:bevel/>
              </w14:textOutline>
            </w:rPr>
          </w:pPr>
          <w:r w:rsidRPr="0E704322">
            <w:rPr>
              <w:rFonts w:ascii="Palatino Linotype" w:eastAsia="Palatino Linotype" w:hAnsi="Palatino Linotype" w:cs="Palatino Linotype"/>
              <w:b/>
              <w:bCs/>
              <w14:textOutline w14:w="9525" w14:cap="rnd" w14:cmpd="sng" w14:algn="ctr">
                <w14:noFill/>
                <w14:prstDash w14:val="solid"/>
                <w14:bevel/>
              </w14:textOutline>
            </w:rPr>
            <w:t>2025</w:t>
          </w:r>
          <w:r w:rsidRPr="0E704322">
            <w:rPr>
              <w:rFonts w:ascii="Palatino Linotype" w:eastAsia="Palatino Linotype" w:hAnsi="Palatino Linotype" w:cs="Palatino Linotype"/>
              <w14:textOutline w14:w="9525" w14:cap="rnd" w14:cmpd="sng" w14:algn="ctr">
                <w14:noFill/>
                <w14:prstDash w14:val="solid"/>
                <w14:bevel/>
              </w14:textOutline>
            </w:rPr>
            <w:t>, VOL.30, No.</w:t>
          </w:r>
          <w:r>
            <w:rPr>
              <w:rFonts w:ascii="Palatino Linotype" w:eastAsia="Palatino Linotype" w:hAnsi="Palatino Linotype" w:cs="Palatino Linotype"/>
              <w14:textOutline w14:w="9525" w14:cap="rnd" w14:cmpd="sng" w14:algn="ctr">
                <w14:noFill/>
                <w14:prstDash w14:val="solid"/>
                <w14:bevel/>
              </w14:textOutline>
            </w:rPr>
            <w:t>2</w:t>
          </w:r>
          <w:r w:rsidRPr="0E704322">
            <w:rPr>
              <w:rFonts w:ascii="Palatino Linotype" w:eastAsia="Palatino Linotype" w:hAnsi="Palatino Linotype" w:cs="Palatino Linotype"/>
              <w14:textOutline w14:w="9525" w14:cap="rnd" w14:cmpd="sng" w14:algn="ctr">
                <w14:noFill/>
                <w14:prstDash w14:val="solid"/>
                <w14:bevel/>
              </w14:textOutline>
            </w:rPr>
            <w:t xml:space="preserve">, </w:t>
          </w:r>
          <w:r w:rsidR="00217A72">
            <w:rPr>
              <w:rFonts w:ascii="Palatino Linotype" w:eastAsia="Palatino Linotype" w:hAnsi="Palatino Linotype" w:cs="Palatino Linotype"/>
              <w14:textOutline w14:w="9525" w14:cap="rnd" w14:cmpd="sng" w14:algn="ctr">
                <w14:noFill/>
                <w14:prstDash w14:val="solid"/>
                <w14:bevel/>
              </w14:textOutline>
            </w:rPr>
            <w:t>57</w:t>
          </w:r>
          <w:r w:rsidRPr="0E704322">
            <w:rPr>
              <w:rFonts w:ascii="Palatino Linotype" w:eastAsia="Palatino Linotype" w:hAnsi="Palatino Linotype" w:cs="Palatino Linotype"/>
              <w14:textOutline w14:w="9525" w14:cap="rnd" w14:cmpd="sng" w14:algn="ctr">
                <w14:noFill/>
                <w14:prstDash w14:val="solid"/>
                <w14:bevel/>
              </w14:textOutline>
            </w:rPr>
            <w:t>-</w:t>
          </w:r>
          <w:r w:rsidR="00217A72">
            <w:rPr>
              <w:rFonts w:ascii="Palatino Linotype" w:eastAsia="Palatino Linotype" w:hAnsi="Palatino Linotype" w:cs="Palatino Linotype"/>
              <w14:textOutline w14:w="9525" w14:cap="rnd" w14:cmpd="sng" w14:algn="ctr">
                <w14:noFill/>
                <w14:prstDash w14:val="solid"/>
                <w14:bevel/>
              </w14:textOutline>
            </w:rPr>
            <w:t>78</w:t>
          </w:r>
        </w:p>
      </w:tc>
      <w:tc>
        <w:tcPr>
          <w:tcW w:w="1791" w:type="dxa"/>
        </w:tcPr>
        <w:p w14:paraId="201F8141" w14:textId="77777777" w:rsidR="00D24567" w:rsidRPr="001C7896" w:rsidRDefault="00D24567" w:rsidP="00D24567">
          <w:pPr>
            <w:pStyle w:val="Header"/>
            <w:rPr>
              <w14:textOutline w14:w="9525" w14:cap="rnd" w14:cmpd="sng" w14:algn="ctr">
                <w14:noFill/>
                <w14:prstDash w14:val="solid"/>
                <w14:bevel/>
              </w14:textOutline>
            </w:rPr>
          </w:pPr>
          <w:r w:rsidRPr="001C7896">
            <w:rPr>
              <w:noProof/>
              <w14:textOutline w14:w="9525" w14:cap="rnd" w14:cmpd="sng" w14:algn="ctr">
                <w14:noFill/>
                <w14:prstDash w14:val="solid"/>
                <w14:bevel/>
              </w14:textOutline>
            </w:rPr>
            <w:drawing>
              <wp:inline distT="0" distB="0" distL="0" distR="0" wp14:anchorId="03A2BB40" wp14:editId="35BF0E25">
                <wp:extent cx="944245" cy="458209"/>
                <wp:effectExtent l="0" t="0" r="5715" b="0"/>
                <wp:docPr id="204054113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640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245" cy="458209"/>
                        </a:xfrm>
                        <a:prstGeom prst="rect">
                          <a:avLst/>
                        </a:prstGeom>
                      </pic:spPr>
                    </pic:pic>
                  </a:graphicData>
                </a:graphic>
              </wp:inline>
            </w:drawing>
          </w:r>
        </w:p>
      </w:tc>
    </w:tr>
  </w:tbl>
  <w:p w14:paraId="50B051EC" w14:textId="77777777" w:rsidR="00391FC9" w:rsidRDefault="00391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1F2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196F2E"/>
    <w:multiLevelType w:val="multilevel"/>
    <w:tmpl w:val="0BB46BCC"/>
    <w:lvl w:ilvl="0">
      <w:start w:val="1"/>
      <w:numFmt w:val="decimal"/>
      <w:pStyle w:val="Heading1"/>
      <w:lvlText w:val="%1"/>
      <w:lvlJc w:val="left"/>
      <w:pPr>
        <w:tabs>
          <w:tab w:val="num" w:pos="567"/>
        </w:tabs>
        <w:ind w:left="567" w:hanging="567"/>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b w:val="0"/>
        <w:bCs/>
        <w:caps w:val="0"/>
        <w:smallCaps w:val="0"/>
        <w:color w:val="000000" w:themeColor="text1"/>
        <w:spacing w:val="0"/>
        <w:sz w:val="24"/>
        <w:szCs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6DA46B2A"/>
    <w:multiLevelType w:val="hybridMultilevel"/>
    <w:tmpl w:val="471ECAA0"/>
    <w:lvl w:ilvl="0" w:tplc="6ACED796">
      <w:numFmt w:val="bullet"/>
      <w:lvlText w:val="-"/>
      <w:lvlJc w:val="left"/>
      <w:pPr>
        <w:ind w:left="720" w:hanging="360"/>
      </w:pPr>
      <w:rPr>
        <w:rFonts w:ascii="Arial" w:eastAsia="Aptos"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1CA322D"/>
    <w:multiLevelType w:val="multilevel"/>
    <w:tmpl w:val="622A4ABA"/>
    <w:lvl w:ilvl="0">
      <w:start w:val="4"/>
      <w:numFmt w:val="decimal"/>
      <w:lvlText w:val="%1"/>
      <w:lvlJc w:val="left"/>
      <w:pPr>
        <w:ind w:left="672" w:hanging="6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FBC1DE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482496">
    <w:abstractNumId w:val="1"/>
  </w:num>
  <w:num w:numId="2" w16cid:durableId="1862813577">
    <w:abstractNumId w:val="0"/>
  </w:num>
  <w:num w:numId="3" w16cid:durableId="594288114">
    <w:abstractNumId w:val="3"/>
  </w:num>
  <w:num w:numId="4" w16cid:durableId="226916599">
    <w:abstractNumId w:val="4"/>
  </w:num>
  <w:num w:numId="5" w16cid:durableId="118752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removePersonalInformation/>
  <w:removeDateAndTim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F2"/>
    <w:rsid w:val="00003B62"/>
    <w:rsid w:val="00006996"/>
    <w:rsid w:val="00007F33"/>
    <w:rsid w:val="00010101"/>
    <w:rsid w:val="0001564F"/>
    <w:rsid w:val="000162B3"/>
    <w:rsid w:val="0001762B"/>
    <w:rsid w:val="00017740"/>
    <w:rsid w:val="00023885"/>
    <w:rsid w:val="00023D60"/>
    <w:rsid w:val="00023E7C"/>
    <w:rsid w:val="00030CC7"/>
    <w:rsid w:val="00041351"/>
    <w:rsid w:val="00045BD9"/>
    <w:rsid w:val="00053A16"/>
    <w:rsid w:val="00057BA9"/>
    <w:rsid w:val="00062194"/>
    <w:rsid w:val="000634DF"/>
    <w:rsid w:val="0006511F"/>
    <w:rsid w:val="00066944"/>
    <w:rsid w:val="00075BF2"/>
    <w:rsid w:val="00076EA1"/>
    <w:rsid w:val="0007763E"/>
    <w:rsid w:val="00081E6C"/>
    <w:rsid w:val="00084048"/>
    <w:rsid w:val="00085F62"/>
    <w:rsid w:val="00086756"/>
    <w:rsid w:val="00086854"/>
    <w:rsid w:val="00094ED7"/>
    <w:rsid w:val="00097A4A"/>
    <w:rsid w:val="000A1293"/>
    <w:rsid w:val="000A3214"/>
    <w:rsid w:val="000A36F7"/>
    <w:rsid w:val="000B3B93"/>
    <w:rsid w:val="000B4142"/>
    <w:rsid w:val="000B4CA1"/>
    <w:rsid w:val="000B5C86"/>
    <w:rsid w:val="000B6739"/>
    <w:rsid w:val="000C5C1B"/>
    <w:rsid w:val="000C6FB9"/>
    <w:rsid w:val="000D496D"/>
    <w:rsid w:val="000D70CC"/>
    <w:rsid w:val="000E168B"/>
    <w:rsid w:val="000E4764"/>
    <w:rsid w:val="000F0096"/>
    <w:rsid w:val="000F5D69"/>
    <w:rsid w:val="000F6180"/>
    <w:rsid w:val="00101660"/>
    <w:rsid w:val="00104D1F"/>
    <w:rsid w:val="0011202E"/>
    <w:rsid w:val="00121C4B"/>
    <w:rsid w:val="0012558B"/>
    <w:rsid w:val="00127CAE"/>
    <w:rsid w:val="00132223"/>
    <w:rsid w:val="00133893"/>
    <w:rsid w:val="00133D12"/>
    <w:rsid w:val="001411B2"/>
    <w:rsid w:val="00141474"/>
    <w:rsid w:val="00147643"/>
    <w:rsid w:val="00151DEC"/>
    <w:rsid w:val="00154C6A"/>
    <w:rsid w:val="0015535B"/>
    <w:rsid w:val="00156CBB"/>
    <w:rsid w:val="00157B3F"/>
    <w:rsid w:val="00157C6B"/>
    <w:rsid w:val="001611AD"/>
    <w:rsid w:val="001612B3"/>
    <w:rsid w:val="00166A63"/>
    <w:rsid w:val="00167553"/>
    <w:rsid w:val="00167A08"/>
    <w:rsid w:val="0017090F"/>
    <w:rsid w:val="001729D9"/>
    <w:rsid w:val="00172C07"/>
    <w:rsid w:val="00183512"/>
    <w:rsid w:val="00185B06"/>
    <w:rsid w:val="00197FB5"/>
    <w:rsid w:val="001A75B4"/>
    <w:rsid w:val="001B7CE0"/>
    <w:rsid w:val="001C29B5"/>
    <w:rsid w:val="001C31E1"/>
    <w:rsid w:val="001C5F5C"/>
    <w:rsid w:val="001C7DB4"/>
    <w:rsid w:val="001C7FB1"/>
    <w:rsid w:val="001D06AE"/>
    <w:rsid w:val="001D07A2"/>
    <w:rsid w:val="001E1880"/>
    <w:rsid w:val="001E2820"/>
    <w:rsid w:val="001F1313"/>
    <w:rsid w:val="001F4428"/>
    <w:rsid w:val="001F4DAC"/>
    <w:rsid w:val="001F51A9"/>
    <w:rsid w:val="001F5FA9"/>
    <w:rsid w:val="002012A1"/>
    <w:rsid w:val="0021025F"/>
    <w:rsid w:val="002124D3"/>
    <w:rsid w:val="002142AE"/>
    <w:rsid w:val="00215080"/>
    <w:rsid w:val="002156F1"/>
    <w:rsid w:val="00217A72"/>
    <w:rsid w:val="002218A2"/>
    <w:rsid w:val="00223FFB"/>
    <w:rsid w:val="002302BC"/>
    <w:rsid w:val="00232D9E"/>
    <w:rsid w:val="002332A1"/>
    <w:rsid w:val="00236753"/>
    <w:rsid w:val="00236FC4"/>
    <w:rsid w:val="00240FC1"/>
    <w:rsid w:val="00244912"/>
    <w:rsid w:val="00244CF9"/>
    <w:rsid w:val="002470F5"/>
    <w:rsid w:val="002615C9"/>
    <w:rsid w:val="002753CC"/>
    <w:rsid w:val="00276918"/>
    <w:rsid w:val="00276ACF"/>
    <w:rsid w:val="00282ACE"/>
    <w:rsid w:val="00283132"/>
    <w:rsid w:val="00284F5D"/>
    <w:rsid w:val="002921D0"/>
    <w:rsid w:val="00297283"/>
    <w:rsid w:val="002A386A"/>
    <w:rsid w:val="002A59B7"/>
    <w:rsid w:val="002B2262"/>
    <w:rsid w:val="002B3224"/>
    <w:rsid w:val="002B33C8"/>
    <w:rsid w:val="002B5B4F"/>
    <w:rsid w:val="002B60F9"/>
    <w:rsid w:val="002B61E8"/>
    <w:rsid w:val="002C53A5"/>
    <w:rsid w:val="002C6512"/>
    <w:rsid w:val="002D5D7F"/>
    <w:rsid w:val="002E7495"/>
    <w:rsid w:val="002F1AC1"/>
    <w:rsid w:val="002F6F80"/>
    <w:rsid w:val="002F721D"/>
    <w:rsid w:val="00321DC0"/>
    <w:rsid w:val="00322407"/>
    <w:rsid w:val="00325C7F"/>
    <w:rsid w:val="00330723"/>
    <w:rsid w:val="0033204A"/>
    <w:rsid w:val="003356C1"/>
    <w:rsid w:val="003369C7"/>
    <w:rsid w:val="003427DA"/>
    <w:rsid w:val="00350D82"/>
    <w:rsid w:val="00356ED6"/>
    <w:rsid w:val="00357D1F"/>
    <w:rsid w:val="003702CF"/>
    <w:rsid w:val="00374DDE"/>
    <w:rsid w:val="003762DE"/>
    <w:rsid w:val="00376933"/>
    <w:rsid w:val="003769F1"/>
    <w:rsid w:val="0037788F"/>
    <w:rsid w:val="00380346"/>
    <w:rsid w:val="003806CC"/>
    <w:rsid w:val="003808FA"/>
    <w:rsid w:val="00384E37"/>
    <w:rsid w:val="00391FC9"/>
    <w:rsid w:val="00392E7D"/>
    <w:rsid w:val="003947A4"/>
    <w:rsid w:val="003A08B7"/>
    <w:rsid w:val="003A1A73"/>
    <w:rsid w:val="003B51AF"/>
    <w:rsid w:val="003C1939"/>
    <w:rsid w:val="003C4923"/>
    <w:rsid w:val="003C7983"/>
    <w:rsid w:val="003D2B29"/>
    <w:rsid w:val="003E5C8C"/>
    <w:rsid w:val="003F3E9A"/>
    <w:rsid w:val="00403633"/>
    <w:rsid w:val="0040468F"/>
    <w:rsid w:val="00406AD6"/>
    <w:rsid w:val="00407B68"/>
    <w:rsid w:val="00415742"/>
    <w:rsid w:val="004205ED"/>
    <w:rsid w:val="00421C71"/>
    <w:rsid w:val="0042409B"/>
    <w:rsid w:val="0043092B"/>
    <w:rsid w:val="00431782"/>
    <w:rsid w:val="0044083F"/>
    <w:rsid w:val="004410D7"/>
    <w:rsid w:val="00447A44"/>
    <w:rsid w:val="00454EE1"/>
    <w:rsid w:val="004610BA"/>
    <w:rsid w:val="004665F2"/>
    <w:rsid w:val="0047316C"/>
    <w:rsid w:val="004740CB"/>
    <w:rsid w:val="0047507F"/>
    <w:rsid w:val="00475EE1"/>
    <w:rsid w:val="0047665E"/>
    <w:rsid w:val="0048036B"/>
    <w:rsid w:val="00483986"/>
    <w:rsid w:val="00484214"/>
    <w:rsid w:val="00484892"/>
    <w:rsid w:val="004A31F2"/>
    <w:rsid w:val="004A6E5B"/>
    <w:rsid w:val="004C12B5"/>
    <w:rsid w:val="004C3AEA"/>
    <w:rsid w:val="004C4200"/>
    <w:rsid w:val="004C5C64"/>
    <w:rsid w:val="004C5E6C"/>
    <w:rsid w:val="004D5825"/>
    <w:rsid w:val="004D64AB"/>
    <w:rsid w:val="004E0B4B"/>
    <w:rsid w:val="004E11AF"/>
    <w:rsid w:val="004E120C"/>
    <w:rsid w:val="004E2B30"/>
    <w:rsid w:val="004E4561"/>
    <w:rsid w:val="004E6281"/>
    <w:rsid w:val="004F4E0A"/>
    <w:rsid w:val="00503021"/>
    <w:rsid w:val="00511B2C"/>
    <w:rsid w:val="005149E2"/>
    <w:rsid w:val="00524A9C"/>
    <w:rsid w:val="00525E30"/>
    <w:rsid w:val="00527DF5"/>
    <w:rsid w:val="00530D5C"/>
    <w:rsid w:val="005316B8"/>
    <w:rsid w:val="00531BEC"/>
    <w:rsid w:val="00532C67"/>
    <w:rsid w:val="005353E2"/>
    <w:rsid w:val="00542D24"/>
    <w:rsid w:val="00542F59"/>
    <w:rsid w:val="00560008"/>
    <w:rsid w:val="00560035"/>
    <w:rsid w:val="005674A2"/>
    <w:rsid w:val="00571768"/>
    <w:rsid w:val="00572A52"/>
    <w:rsid w:val="00575EAB"/>
    <w:rsid w:val="00583F0C"/>
    <w:rsid w:val="00585FDE"/>
    <w:rsid w:val="00591A02"/>
    <w:rsid w:val="00595CF8"/>
    <w:rsid w:val="005A07E0"/>
    <w:rsid w:val="005A3D8A"/>
    <w:rsid w:val="005A6A5A"/>
    <w:rsid w:val="005A6E46"/>
    <w:rsid w:val="005A7A17"/>
    <w:rsid w:val="005B0D5F"/>
    <w:rsid w:val="005B1E28"/>
    <w:rsid w:val="005B2111"/>
    <w:rsid w:val="005C116B"/>
    <w:rsid w:val="005D1B99"/>
    <w:rsid w:val="005D2E21"/>
    <w:rsid w:val="005D6059"/>
    <w:rsid w:val="005E4389"/>
    <w:rsid w:val="005E44FF"/>
    <w:rsid w:val="005F7C7C"/>
    <w:rsid w:val="00604780"/>
    <w:rsid w:val="00607B9C"/>
    <w:rsid w:val="006128B6"/>
    <w:rsid w:val="00614680"/>
    <w:rsid w:val="00616286"/>
    <w:rsid w:val="00617E79"/>
    <w:rsid w:val="00622ECB"/>
    <w:rsid w:val="006303A7"/>
    <w:rsid w:val="0063233D"/>
    <w:rsid w:val="00634082"/>
    <w:rsid w:val="00640EA9"/>
    <w:rsid w:val="006412C0"/>
    <w:rsid w:val="00641A17"/>
    <w:rsid w:val="006475FB"/>
    <w:rsid w:val="00652B79"/>
    <w:rsid w:val="006553F3"/>
    <w:rsid w:val="006613F4"/>
    <w:rsid w:val="00661C11"/>
    <w:rsid w:val="00664BCA"/>
    <w:rsid w:val="00665F65"/>
    <w:rsid w:val="00670CF5"/>
    <w:rsid w:val="00671C4B"/>
    <w:rsid w:val="00675EEC"/>
    <w:rsid w:val="00676B8E"/>
    <w:rsid w:val="00676F23"/>
    <w:rsid w:val="00681699"/>
    <w:rsid w:val="00685BE0"/>
    <w:rsid w:val="00686D5B"/>
    <w:rsid w:val="006908C4"/>
    <w:rsid w:val="00691268"/>
    <w:rsid w:val="006923D4"/>
    <w:rsid w:val="0069505F"/>
    <w:rsid w:val="006966EC"/>
    <w:rsid w:val="006A1C40"/>
    <w:rsid w:val="006A574D"/>
    <w:rsid w:val="006A5FEE"/>
    <w:rsid w:val="006B123F"/>
    <w:rsid w:val="006B1440"/>
    <w:rsid w:val="006B1F59"/>
    <w:rsid w:val="006B36E1"/>
    <w:rsid w:val="006B3E34"/>
    <w:rsid w:val="006B6982"/>
    <w:rsid w:val="006C1402"/>
    <w:rsid w:val="006C1590"/>
    <w:rsid w:val="006C29D8"/>
    <w:rsid w:val="006C3A43"/>
    <w:rsid w:val="006C3AF9"/>
    <w:rsid w:val="006D70B3"/>
    <w:rsid w:val="006F4C5E"/>
    <w:rsid w:val="00700140"/>
    <w:rsid w:val="007043BD"/>
    <w:rsid w:val="007055AC"/>
    <w:rsid w:val="00705BC1"/>
    <w:rsid w:val="00724552"/>
    <w:rsid w:val="00724F83"/>
    <w:rsid w:val="007315D2"/>
    <w:rsid w:val="00736109"/>
    <w:rsid w:val="007439ED"/>
    <w:rsid w:val="0075223D"/>
    <w:rsid w:val="00755086"/>
    <w:rsid w:val="00760AFE"/>
    <w:rsid w:val="00770EF2"/>
    <w:rsid w:val="0077294B"/>
    <w:rsid w:val="00772D55"/>
    <w:rsid w:val="00774696"/>
    <w:rsid w:val="00777A55"/>
    <w:rsid w:val="00781066"/>
    <w:rsid w:val="007821B4"/>
    <w:rsid w:val="007833C1"/>
    <w:rsid w:val="007A4119"/>
    <w:rsid w:val="007A481E"/>
    <w:rsid w:val="007A63C7"/>
    <w:rsid w:val="007C0DEB"/>
    <w:rsid w:val="007C15AA"/>
    <w:rsid w:val="007C17C9"/>
    <w:rsid w:val="007D30C9"/>
    <w:rsid w:val="007D61BD"/>
    <w:rsid w:val="007D7A8A"/>
    <w:rsid w:val="007E02E9"/>
    <w:rsid w:val="007E149C"/>
    <w:rsid w:val="007E1C1C"/>
    <w:rsid w:val="007E56D3"/>
    <w:rsid w:val="007E666B"/>
    <w:rsid w:val="007F0D41"/>
    <w:rsid w:val="007F6A6A"/>
    <w:rsid w:val="00803344"/>
    <w:rsid w:val="00805BD6"/>
    <w:rsid w:val="00806BC6"/>
    <w:rsid w:val="0080766F"/>
    <w:rsid w:val="008128D2"/>
    <w:rsid w:val="00821DF9"/>
    <w:rsid w:val="00825F94"/>
    <w:rsid w:val="00833FD1"/>
    <w:rsid w:val="0083680E"/>
    <w:rsid w:val="008464E9"/>
    <w:rsid w:val="00846CE8"/>
    <w:rsid w:val="00847217"/>
    <w:rsid w:val="00857A7D"/>
    <w:rsid w:val="008609DA"/>
    <w:rsid w:val="00860FC5"/>
    <w:rsid w:val="0086309C"/>
    <w:rsid w:val="00875EF0"/>
    <w:rsid w:val="0087623B"/>
    <w:rsid w:val="008869BE"/>
    <w:rsid w:val="008917BB"/>
    <w:rsid w:val="0089643B"/>
    <w:rsid w:val="008A1CC5"/>
    <w:rsid w:val="008B4824"/>
    <w:rsid w:val="008B6E60"/>
    <w:rsid w:val="008C16A6"/>
    <w:rsid w:val="008C4D7C"/>
    <w:rsid w:val="008C7716"/>
    <w:rsid w:val="008D0C10"/>
    <w:rsid w:val="008D563F"/>
    <w:rsid w:val="008E3CCE"/>
    <w:rsid w:val="008E4E7C"/>
    <w:rsid w:val="008E4F04"/>
    <w:rsid w:val="008E74BB"/>
    <w:rsid w:val="008F3F46"/>
    <w:rsid w:val="008F6744"/>
    <w:rsid w:val="00902876"/>
    <w:rsid w:val="00903182"/>
    <w:rsid w:val="00903E3F"/>
    <w:rsid w:val="0091510C"/>
    <w:rsid w:val="009158AA"/>
    <w:rsid w:val="009248C4"/>
    <w:rsid w:val="00924D58"/>
    <w:rsid w:val="00933AF6"/>
    <w:rsid w:val="00933B68"/>
    <w:rsid w:val="00935393"/>
    <w:rsid w:val="0093779A"/>
    <w:rsid w:val="0094114C"/>
    <w:rsid w:val="00942532"/>
    <w:rsid w:val="00946901"/>
    <w:rsid w:val="00951754"/>
    <w:rsid w:val="00952CCB"/>
    <w:rsid w:val="00953CD6"/>
    <w:rsid w:val="0096091F"/>
    <w:rsid w:val="00964CFC"/>
    <w:rsid w:val="00970C86"/>
    <w:rsid w:val="009739F7"/>
    <w:rsid w:val="009758B1"/>
    <w:rsid w:val="0098240A"/>
    <w:rsid w:val="00982992"/>
    <w:rsid w:val="00982A9F"/>
    <w:rsid w:val="0099485C"/>
    <w:rsid w:val="009A2ADF"/>
    <w:rsid w:val="009A3BDB"/>
    <w:rsid w:val="009A4750"/>
    <w:rsid w:val="009A7DBB"/>
    <w:rsid w:val="009B4EDF"/>
    <w:rsid w:val="009C311B"/>
    <w:rsid w:val="009C4D91"/>
    <w:rsid w:val="009D003F"/>
    <w:rsid w:val="009D4E03"/>
    <w:rsid w:val="009E1CD1"/>
    <w:rsid w:val="009E1FE4"/>
    <w:rsid w:val="009E28A0"/>
    <w:rsid w:val="009E320F"/>
    <w:rsid w:val="009E4AF7"/>
    <w:rsid w:val="009F0697"/>
    <w:rsid w:val="009F1EE4"/>
    <w:rsid w:val="00A00618"/>
    <w:rsid w:val="00A029E1"/>
    <w:rsid w:val="00A03BAD"/>
    <w:rsid w:val="00A07B04"/>
    <w:rsid w:val="00A11ACF"/>
    <w:rsid w:val="00A13AF8"/>
    <w:rsid w:val="00A2277B"/>
    <w:rsid w:val="00A22DC3"/>
    <w:rsid w:val="00A2372A"/>
    <w:rsid w:val="00A2551D"/>
    <w:rsid w:val="00A2766B"/>
    <w:rsid w:val="00A315F9"/>
    <w:rsid w:val="00A32176"/>
    <w:rsid w:val="00A37626"/>
    <w:rsid w:val="00A45390"/>
    <w:rsid w:val="00A53CD9"/>
    <w:rsid w:val="00A64720"/>
    <w:rsid w:val="00A65130"/>
    <w:rsid w:val="00A7164D"/>
    <w:rsid w:val="00A71AF7"/>
    <w:rsid w:val="00A8004C"/>
    <w:rsid w:val="00A877FE"/>
    <w:rsid w:val="00A90CAF"/>
    <w:rsid w:val="00A916AE"/>
    <w:rsid w:val="00A97936"/>
    <w:rsid w:val="00AA62CE"/>
    <w:rsid w:val="00AA659F"/>
    <w:rsid w:val="00AB02D5"/>
    <w:rsid w:val="00AD0609"/>
    <w:rsid w:val="00AD5D68"/>
    <w:rsid w:val="00AD683A"/>
    <w:rsid w:val="00AE22AF"/>
    <w:rsid w:val="00AE697E"/>
    <w:rsid w:val="00AF77CB"/>
    <w:rsid w:val="00B02786"/>
    <w:rsid w:val="00B0298D"/>
    <w:rsid w:val="00B1658C"/>
    <w:rsid w:val="00B17070"/>
    <w:rsid w:val="00B20F93"/>
    <w:rsid w:val="00B22201"/>
    <w:rsid w:val="00B27814"/>
    <w:rsid w:val="00B3228E"/>
    <w:rsid w:val="00B45AE3"/>
    <w:rsid w:val="00B46C2B"/>
    <w:rsid w:val="00B508B5"/>
    <w:rsid w:val="00B52082"/>
    <w:rsid w:val="00B55CE4"/>
    <w:rsid w:val="00B566CF"/>
    <w:rsid w:val="00B600FB"/>
    <w:rsid w:val="00B6107C"/>
    <w:rsid w:val="00B637B7"/>
    <w:rsid w:val="00B66F9C"/>
    <w:rsid w:val="00B722CC"/>
    <w:rsid w:val="00B737BA"/>
    <w:rsid w:val="00B76D6C"/>
    <w:rsid w:val="00B77A77"/>
    <w:rsid w:val="00B80D65"/>
    <w:rsid w:val="00B82C6E"/>
    <w:rsid w:val="00B874A9"/>
    <w:rsid w:val="00B9342D"/>
    <w:rsid w:val="00B93599"/>
    <w:rsid w:val="00B97D6A"/>
    <w:rsid w:val="00BA2376"/>
    <w:rsid w:val="00BA50B1"/>
    <w:rsid w:val="00BA7F2B"/>
    <w:rsid w:val="00BB1C11"/>
    <w:rsid w:val="00BB24C3"/>
    <w:rsid w:val="00BB5C6A"/>
    <w:rsid w:val="00BB6464"/>
    <w:rsid w:val="00BB696D"/>
    <w:rsid w:val="00BC1173"/>
    <w:rsid w:val="00BC143B"/>
    <w:rsid w:val="00BC6335"/>
    <w:rsid w:val="00BD2A91"/>
    <w:rsid w:val="00BE2F94"/>
    <w:rsid w:val="00BE35A6"/>
    <w:rsid w:val="00BF05DD"/>
    <w:rsid w:val="00BF07CC"/>
    <w:rsid w:val="00BF609B"/>
    <w:rsid w:val="00C021A1"/>
    <w:rsid w:val="00C06E56"/>
    <w:rsid w:val="00C131BF"/>
    <w:rsid w:val="00C1730E"/>
    <w:rsid w:val="00C17430"/>
    <w:rsid w:val="00C26998"/>
    <w:rsid w:val="00C417A7"/>
    <w:rsid w:val="00C423C5"/>
    <w:rsid w:val="00C42A1C"/>
    <w:rsid w:val="00C52905"/>
    <w:rsid w:val="00C5410F"/>
    <w:rsid w:val="00C54BB2"/>
    <w:rsid w:val="00C61ED4"/>
    <w:rsid w:val="00C63C61"/>
    <w:rsid w:val="00C649A7"/>
    <w:rsid w:val="00C64BF8"/>
    <w:rsid w:val="00C727EE"/>
    <w:rsid w:val="00C727FA"/>
    <w:rsid w:val="00C96264"/>
    <w:rsid w:val="00C9628B"/>
    <w:rsid w:val="00CA73D2"/>
    <w:rsid w:val="00CA770E"/>
    <w:rsid w:val="00CB08F7"/>
    <w:rsid w:val="00CB6068"/>
    <w:rsid w:val="00CC4982"/>
    <w:rsid w:val="00CE3A42"/>
    <w:rsid w:val="00CE7352"/>
    <w:rsid w:val="00CF530B"/>
    <w:rsid w:val="00D11D41"/>
    <w:rsid w:val="00D1461A"/>
    <w:rsid w:val="00D21B3C"/>
    <w:rsid w:val="00D24567"/>
    <w:rsid w:val="00D3088C"/>
    <w:rsid w:val="00D36562"/>
    <w:rsid w:val="00D405C0"/>
    <w:rsid w:val="00D4202C"/>
    <w:rsid w:val="00D46D71"/>
    <w:rsid w:val="00D50A96"/>
    <w:rsid w:val="00D57EBC"/>
    <w:rsid w:val="00D61E2D"/>
    <w:rsid w:val="00D7236F"/>
    <w:rsid w:val="00D85C55"/>
    <w:rsid w:val="00D85CE6"/>
    <w:rsid w:val="00D8693B"/>
    <w:rsid w:val="00D869AF"/>
    <w:rsid w:val="00D86D46"/>
    <w:rsid w:val="00D908D6"/>
    <w:rsid w:val="00D944E4"/>
    <w:rsid w:val="00DA0A9F"/>
    <w:rsid w:val="00DA1C47"/>
    <w:rsid w:val="00DB28C3"/>
    <w:rsid w:val="00DB4030"/>
    <w:rsid w:val="00DB40E4"/>
    <w:rsid w:val="00DC0B11"/>
    <w:rsid w:val="00DC1EFE"/>
    <w:rsid w:val="00DC263D"/>
    <w:rsid w:val="00DC600C"/>
    <w:rsid w:val="00DC6149"/>
    <w:rsid w:val="00DC6A4E"/>
    <w:rsid w:val="00DC6D10"/>
    <w:rsid w:val="00DD06FD"/>
    <w:rsid w:val="00DD3BCB"/>
    <w:rsid w:val="00DD5EE4"/>
    <w:rsid w:val="00DE3EC3"/>
    <w:rsid w:val="00DF2B77"/>
    <w:rsid w:val="00DF3B04"/>
    <w:rsid w:val="00DF5A8E"/>
    <w:rsid w:val="00E056F0"/>
    <w:rsid w:val="00E12F6B"/>
    <w:rsid w:val="00E14EAD"/>
    <w:rsid w:val="00E2090F"/>
    <w:rsid w:val="00E22D8F"/>
    <w:rsid w:val="00E27989"/>
    <w:rsid w:val="00E36E2D"/>
    <w:rsid w:val="00E37F0B"/>
    <w:rsid w:val="00E437BA"/>
    <w:rsid w:val="00E4435F"/>
    <w:rsid w:val="00E504EB"/>
    <w:rsid w:val="00E54547"/>
    <w:rsid w:val="00E561B8"/>
    <w:rsid w:val="00E62728"/>
    <w:rsid w:val="00E64AE6"/>
    <w:rsid w:val="00E81EFE"/>
    <w:rsid w:val="00E86FE8"/>
    <w:rsid w:val="00E92C4D"/>
    <w:rsid w:val="00EA0A1B"/>
    <w:rsid w:val="00EA1E96"/>
    <w:rsid w:val="00EC127B"/>
    <w:rsid w:val="00EC3211"/>
    <w:rsid w:val="00EC3224"/>
    <w:rsid w:val="00EC3570"/>
    <w:rsid w:val="00EC3B2B"/>
    <w:rsid w:val="00EC687C"/>
    <w:rsid w:val="00ED4F66"/>
    <w:rsid w:val="00EE2C44"/>
    <w:rsid w:val="00EE338E"/>
    <w:rsid w:val="00EE5D24"/>
    <w:rsid w:val="00EF3D2E"/>
    <w:rsid w:val="00F00A14"/>
    <w:rsid w:val="00F0753D"/>
    <w:rsid w:val="00F108D3"/>
    <w:rsid w:val="00F217BC"/>
    <w:rsid w:val="00F22E1E"/>
    <w:rsid w:val="00F27724"/>
    <w:rsid w:val="00F3219A"/>
    <w:rsid w:val="00F40751"/>
    <w:rsid w:val="00F408D0"/>
    <w:rsid w:val="00F43430"/>
    <w:rsid w:val="00F508E7"/>
    <w:rsid w:val="00F61004"/>
    <w:rsid w:val="00F628DC"/>
    <w:rsid w:val="00F6477C"/>
    <w:rsid w:val="00F679FA"/>
    <w:rsid w:val="00F71C61"/>
    <w:rsid w:val="00F75F04"/>
    <w:rsid w:val="00F7635B"/>
    <w:rsid w:val="00F80157"/>
    <w:rsid w:val="00F821FF"/>
    <w:rsid w:val="00F85F04"/>
    <w:rsid w:val="00F868D2"/>
    <w:rsid w:val="00F910A4"/>
    <w:rsid w:val="00F92563"/>
    <w:rsid w:val="00FA4BF5"/>
    <w:rsid w:val="00FB2303"/>
    <w:rsid w:val="00FB4778"/>
    <w:rsid w:val="00FB481B"/>
    <w:rsid w:val="00FB4BBD"/>
    <w:rsid w:val="00FB7417"/>
    <w:rsid w:val="00FC4264"/>
    <w:rsid w:val="00FC43C0"/>
    <w:rsid w:val="00FC78A0"/>
    <w:rsid w:val="00FC7B0D"/>
    <w:rsid w:val="00FD2706"/>
    <w:rsid w:val="00FD42AD"/>
    <w:rsid w:val="00FD7785"/>
    <w:rsid w:val="00FD7F70"/>
    <w:rsid w:val="00FE4517"/>
    <w:rsid w:val="00FE5081"/>
    <w:rsid w:val="00FE60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B59C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BF2"/>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BF2"/>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5BF2"/>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BF2"/>
    <w:rPr>
      <w:rFonts w:eastAsiaTheme="majorEastAsia" w:cstheme="majorBidi"/>
      <w:color w:val="272727" w:themeColor="text1" w:themeTint="D8"/>
    </w:rPr>
  </w:style>
  <w:style w:type="paragraph" w:styleId="Title">
    <w:name w:val="Title"/>
    <w:basedOn w:val="Normal"/>
    <w:next w:val="Normal"/>
    <w:link w:val="TitleChar"/>
    <w:uiPriority w:val="10"/>
    <w:qFormat/>
    <w:rsid w:val="00075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BF2"/>
    <w:pPr>
      <w:spacing w:before="160"/>
      <w:jc w:val="center"/>
    </w:pPr>
    <w:rPr>
      <w:i/>
      <w:iCs/>
      <w:color w:val="404040" w:themeColor="text1" w:themeTint="BF"/>
    </w:rPr>
  </w:style>
  <w:style w:type="character" w:customStyle="1" w:styleId="QuoteChar">
    <w:name w:val="Quote Char"/>
    <w:basedOn w:val="DefaultParagraphFont"/>
    <w:link w:val="Quote"/>
    <w:uiPriority w:val="29"/>
    <w:rsid w:val="00075BF2"/>
    <w:rPr>
      <w:i/>
      <w:iCs/>
      <w:color w:val="404040" w:themeColor="text1" w:themeTint="BF"/>
    </w:rPr>
  </w:style>
  <w:style w:type="paragraph" w:styleId="ListParagraph">
    <w:name w:val="List Paragraph"/>
    <w:basedOn w:val="Normal"/>
    <w:uiPriority w:val="34"/>
    <w:qFormat/>
    <w:rsid w:val="00075BF2"/>
    <w:pPr>
      <w:ind w:left="720"/>
      <w:contextualSpacing/>
    </w:pPr>
  </w:style>
  <w:style w:type="character" w:styleId="IntenseEmphasis">
    <w:name w:val="Intense Emphasis"/>
    <w:basedOn w:val="DefaultParagraphFont"/>
    <w:uiPriority w:val="21"/>
    <w:qFormat/>
    <w:rsid w:val="00075BF2"/>
    <w:rPr>
      <w:i/>
      <w:iCs/>
      <w:color w:val="0F4761" w:themeColor="accent1" w:themeShade="BF"/>
    </w:rPr>
  </w:style>
  <w:style w:type="paragraph" w:styleId="IntenseQuote">
    <w:name w:val="Intense Quote"/>
    <w:basedOn w:val="Normal"/>
    <w:next w:val="Normal"/>
    <w:link w:val="IntenseQuoteChar"/>
    <w:uiPriority w:val="30"/>
    <w:qFormat/>
    <w:rsid w:val="00075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BF2"/>
    <w:rPr>
      <w:i/>
      <w:iCs/>
      <w:color w:val="0F4761" w:themeColor="accent1" w:themeShade="BF"/>
    </w:rPr>
  </w:style>
  <w:style w:type="character" w:styleId="IntenseReference">
    <w:name w:val="Intense Reference"/>
    <w:basedOn w:val="DefaultParagraphFont"/>
    <w:uiPriority w:val="32"/>
    <w:qFormat/>
    <w:rsid w:val="00075BF2"/>
    <w:rPr>
      <w:b/>
      <w:bCs/>
      <w:smallCaps/>
      <w:color w:val="0F4761" w:themeColor="accent1" w:themeShade="BF"/>
      <w:spacing w:val="5"/>
    </w:rPr>
  </w:style>
  <w:style w:type="paragraph" w:styleId="Caption">
    <w:name w:val="caption"/>
    <w:basedOn w:val="Normal"/>
    <w:next w:val="Normal"/>
    <w:qFormat/>
    <w:rsid w:val="007C15AA"/>
    <w:pPr>
      <w:tabs>
        <w:tab w:val="left" w:pos="1134"/>
      </w:tabs>
      <w:spacing w:before="120" w:after="120" w:line="240" w:lineRule="auto"/>
      <w:ind w:left="1134" w:hanging="1134"/>
    </w:pPr>
    <w:rPr>
      <w:rFonts w:ascii="Arial" w:eastAsia="Times New Roman" w:hAnsi="Arial" w:cs="Times New Roman"/>
      <w:b/>
      <w:bCs/>
      <w:kern w:val="0"/>
      <w:sz w:val="20"/>
      <w:szCs w:val="20"/>
      <w14:ligatures w14:val="none"/>
    </w:rPr>
  </w:style>
  <w:style w:type="paragraph" w:styleId="Bibliography">
    <w:name w:val="Bibliography"/>
    <w:basedOn w:val="Normal"/>
    <w:next w:val="Normal"/>
    <w:uiPriority w:val="37"/>
    <w:unhideWhenUsed/>
    <w:rsid w:val="008B6E60"/>
    <w:pPr>
      <w:spacing w:after="0" w:line="240" w:lineRule="auto"/>
    </w:pPr>
    <w:rPr>
      <w:rFonts w:ascii="Arial" w:eastAsia="Times New Roman" w:hAnsi="Arial" w:cs="Times New Roman"/>
      <w:kern w:val="0"/>
      <w14:ligatures w14:val="none"/>
    </w:rPr>
  </w:style>
  <w:style w:type="paragraph" w:styleId="Revision">
    <w:name w:val="Revision"/>
    <w:hidden/>
    <w:uiPriority w:val="99"/>
    <w:semiHidden/>
    <w:rsid w:val="006D70B3"/>
    <w:pPr>
      <w:spacing w:after="0" w:line="240" w:lineRule="auto"/>
    </w:pPr>
  </w:style>
  <w:style w:type="character" w:styleId="CommentReference">
    <w:name w:val="annotation reference"/>
    <w:basedOn w:val="DefaultParagraphFont"/>
    <w:uiPriority w:val="99"/>
    <w:semiHidden/>
    <w:unhideWhenUsed/>
    <w:rsid w:val="00BF05DD"/>
    <w:rPr>
      <w:sz w:val="16"/>
      <w:szCs w:val="16"/>
    </w:rPr>
  </w:style>
  <w:style w:type="paragraph" w:styleId="CommentText">
    <w:name w:val="annotation text"/>
    <w:basedOn w:val="Normal"/>
    <w:link w:val="CommentTextChar"/>
    <w:uiPriority w:val="99"/>
    <w:unhideWhenUsed/>
    <w:rsid w:val="00BF05DD"/>
    <w:pPr>
      <w:spacing w:line="240" w:lineRule="auto"/>
    </w:pPr>
    <w:rPr>
      <w:sz w:val="20"/>
      <w:szCs w:val="20"/>
    </w:rPr>
  </w:style>
  <w:style w:type="character" w:customStyle="1" w:styleId="CommentTextChar">
    <w:name w:val="Comment Text Char"/>
    <w:basedOn w:val="DefaultParagraphFont"/>
    <w:link w:val="CommentText"/>
    <w:uiPriority w:val="99"/>
    <w:rsid w:val="00BF05DD"/>
    <w:rPr>
      <w:sz w:val="20"/>
      <w:szCs w:val="20"/>
    </w:rPr>
  </w:style>
  <w:style w:type="paragraph" w:styleId="CommentSubject">
    <w:name w:val="annotation subject"/>
    <w:basedOn w:val="CommentText"/>
    <w:next w:val="CommentText"/>
    <w:link w:val="CommentSubjectChar"/>
    <w:uiPriority w:val="99"/>
    <w:semiHidden/>
    <w:unhideWhenUsed/>
    <w:rsid w:val="00BF05DD"/>
    <w:rPr>
      <w:b/>
      <w:bCs/>
    </w:rPr>
  </w:style>
  <w:style w:type="character" w:customStyle="1" w:styleId="CommentSubjectChar">
    <w:name w:val="Comment Subject Char"/>
    <w:basedOn w:val="CommentTextChar"/>
    <w:link w:val="CommentSubject"/>
    <w:uiPriority w:val="99"/>
    <w:semiHidden/>
    <w:rsid w:val="00BF05DD"/>
    <w:rPr>
      <w:b/>
      <w:bCs/>
      <w:sz w:val="20"/>
      <w:szCs w:val="20"/>
    </w:rPr>
  </w:style>
  <w:style w:type="table" w:styleId="TableGridLight">
    <w:name w:val="Grid Table Light"/>
    <w:basedOn w:val="TableNormal"/>
    <w:uiPriority w:val="40"/>
    <w:rsid w:val="00BB69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D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149C"/>
    <w:rPr>
      <w:color w:val="0000FF"/>
      <w:u w:val="single"/>
    </w:rPr>
  </w:style>
  <w:style w:type="paragraph" w:styleId="Header">
    <w:name w:val="header"/>
    <w:basedOn w:val="Normal"/>
    <w:link w:val="HeaderChar"/>
    <w:uiPriority w:val="99"/>
    <w:unhideWhenUsed/>
    <w:rsid w:val="00B46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C2B"/>
  </w:style>
  <w:style w:type="paragraph" w:styleId="Footer">
    <w:name w:val="footer"/>
    <w:basedOn w:val="Normal"/>
    <w:link w:val="FooterChar"/>
    <w:uiPriority w:val="99"/>
    <w:unhideWhenUsed/>
    <w:rsid w:val="00B46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C2B"/>
  </w:style>
  <w:style w:type="character" w:styleId="UnresolvedMention">
    <w:name w:val="Unresolved Mention"/>
    <w:basedOn w:val="DefaultParagraphFont"/>
    <w:uiPriority w:val="99"/>
    <w:semiHidden/>
    <w:unhideWhenUsed/>
    <w:rsid w:val="00197FB5"/>
    <w:rPr>
      <w:color w:val="605E5C"/>
      <w:shd w:val="clear" w:color="auto" w:fill="E1DFDD"/>
    </w:rPr>
  </w:style>
  <w:style w:type="paragraph" w:customStyle="1" w:styleId="paragraph">
    <w:name w:val="paragraph"/>
    <w:basedOn w:val="Normal"/>
    <w:rsid w:val="00391FC9"/>
    <w:pPr>
      <w:spacing w:before="100" w:beforeAutospacing="1" w:after="100" w:afterAutospacing="1" w:line="240" w:lineRule="auto"/>
    </w:pPr>
    <w:rPr>
      <w:rFonts w:ascii="Times New Roman" w:eastAsia="Times New Roman" w:hAnsi="Times New Roman" w:cs="Times New Roman"/>
      <w:kern w:val="0"/>
      <w:lang w:val="en-AU" w:eastAsia="en-GB"/>
      <w14:ligatures w14:val="none"/>
    </w:rPr>
  </w:style>
  <w:style w:type="character" w:customStyle="1" w:styleId="normaltextrun">
    <w:name w:val="normaltextrun"/>
    <w:basedOn w:val="DefaultParagraphFont"/>
    <w:rsid w:val="00391FC9"/>
  </w:style>
  <w:style w:type="character" w:customStyle="1" w:styleId="eop">
    <w:name w:val="eop"/>
    <w:basedOn w:val="DefaultParagraphFont"/>
    <w:rsid w:val="00391FC9"/>
  </w:style>
  <w:style w:type="character" w:customStyle="1" w:styleId="wacimagecontainer">
    <w:name w:val="wacimagecontainer"/>
    <w:basedOn w:val="DefaultParagraphFont"/>
    <w:rsid w:val="00A71AF7"/>
  </w:style>
  <w:style w:type="character" w:styleId="PageNumber">
    <w:name w:val="page number"/>
    <w:basedOn w:val="DefaultParagraphFont"/>
    <w:uiPriority w:val="99"/>
    <w:semiHidden/>
    <w:unhideWhenUsed/>
    <w:rsid w:val="0021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186/s40537-021-0047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rch-methodology.net/" TargetMode="External"/><Relationship Id="rId17" Type="http://schemas.openxmlformats.org/officeDocument/2006/relationships/hyperlink" Target="https://doi.org/10.2478/remav-2025-0036" TargetMode="External"/><Relationship Id="rId2" Type="http://schemas.openxmlformats.org/officeDocument/2006/relationships/numbering" Target="numbering.xml"/><Relationship Id="rId16" Type="http://schemas.openxmlformats.org/officeDocument/2006/relationships/hyperlink" Target="http://hdl.handle.net/11427/4207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4_Worksheet1.xls"/><Relationship Id="rId5" Type="http://schemas.openxmlformats.org/officeDocument/2006/relationships/webSettings" Target="webSettings.xml"/><Relationship Id="rId15" Type="http://schemas.openxmlformats.org/officeDocument/2006/relationships/hyperlink" Target="https://ivsc.org/"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4_Worksheet.xls"/><Relationship Id="rId14" Type="http://schemas.openxmlformats.org/officeDocument/2006/relationships/hyperlink" Target="https://ipmsc.org/memb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Hum06</b:Tag>
    <b:SourceType>Report</b:SourceType>
    <b:Guid>{3882D5BB-47FE-4B29-B11E-13A521E86F06}</b:Guid>
    <b:Title>The role of standards in enabling data driven UK real estate market</b:Title>
    <b:Year>2020</b:Year>
    <b:Author>
      <b:Author>
        <b:NameList>
          <b:Person>
            <b:Last>Hughes</b:Last>
            <b:First>Dan</b:First>
          </b:Person>
        </b:NameList>
      </b:Author>
    </b:Author>
    <b:Publisher>Alpha Property Insight </b:Publisher>
    <b:City>London</b:City>
    <b:RefOrder>1</b:RefOrder>
  </b:Source>
</b:Sources>
</file>

<file path=customXml/itemProps1.xml><?xml version="1.0" encoding="utf-8"?>
<ds:datastoreItem xmlns:ds="http://schemas.openxmlformats.org/officeDocument/2006/customXml" ds:itemID="{40FCCBB7-4203-4DA0-9233-D25CFF406F9E}">
  <ds:schemaRefs>
    <ds:schemaRef ds:uri="http://schemas.openxmlformats.org/officeDocument/2006/bibliography"/>
  </ds:schemaRefs>
</ds:datastoreItem>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2025-11-12T03:18:00Z</dcterms:created>
  <dcterms:modified xsi:type="dcterms:W3CDTF">2025-11-12T03:18:00Z</dcterms:modified>
</cp:coreProperties>
</file>